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bookmarkStart w:id="0" w:name="_GoBack"/>
      <w:bookmarkEnd w:id="0"/>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交银施罗德先进制造混合型证券投资基金</w:t>
      </w:r>
    </w:p>
    <w:p w:rsidR="002279D3" w:rsidRPr="0081286B" w:rsidRDefault="002279D3" w:rsidP="00C15CAC">
      <w:pPr>
        <w:spacing w:before="29" w:line="288" w:lineRule="auto"/>
        <w:jc w:val="center"/>
        <w:rPr>
          <w:b/>
          <w:sz w:val="36"/>
          <w:szCs w:val="36"/>
        </w:rPr>
      </w:pPr>
      <w:r w:rsidRPr="0081286B">
        <w:rPr>
          <w:b/>
          <w:sz w:val="36"/>
          <w:szCs w:val="36"/>
        </w:rPr>
        <w:t>2016</w:t>
      </w:r>
      <w:r w:rsidRPr="0081286B">
        <w:rPr>
          <w:b/>
          <w:sz w:val="36"/>
          <w:szCs w:val="36"/>
        </w:rPr>
        <w:t>年第</w:t>
      </w:r>
      <w:r w:rsidRPr="0081286B">
        <w:rPr>
          <w:b/>
          <w:sz w:val="36"/>
          <w:szCs w:val="36"/>
        </w:rPr>
        <w:t>4</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2016</w:t>
      </w:r>
      <w:r w:rsidRPr="0081286B">
        <w:rPr>
          <w:b/>
          <w:sz w:val="36"/>
          <w:szCs w:val="36"/>
        </w:rPr>
        <w:t>年</w:t>
      </w:r>
      <w:r w:rsidRPr="0081286B">
        <w:rPr>
          <w:b/>
          <w:sz w:val="36"/>
          <w:szCs w:val="36"/>
        </w:rPr>
        <w:t>12</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基金托管人：中国农业银行股份有限公司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二〇一七年一月十九日</w:t>
      </w:r>
    </w:p>
    <w:p w:rsidR="004061AC" w:rsidRPr="00414345" w:rsidRDefault="004061AC" w:rsidP="00AB6E79">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4F5C45" w:rsidRDefault="00155C02">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4F5C45" w:rsidRDefault="00155C02">
      <w:pPr>
        <w:spacing w:before="29" w:line="288" w:lineRule="auto"/>
        <w:ind w:firstLineChars="200" w:firstLine="480"/>
        <w:rPr>
          <w:color w:val="000000"/>
          <w:sz w:val="24"/>
          <w:szCs w:val="24"/>
        </w:rPr>
      </w:pPr>
      <w:r>
        <w:rPr>
          <w:color w:val="000000"/>
          <w:sz w:val="24"/>
          <w:szCs w:val="24"/>
        </w:rPr>
        <w:t>基金托管人中国农业银行股份有限公司根据本基金合同规定，于</w:t>
      </w:r>
      <w:r>
        <w:rPr>
          <w:color w:val="000000"/>
          <w:sz w:val="24"/>
          <w:szCs w:val="24"/>
        </w:rPr>
        <w:t>2017</w:t>
      </w:r>
      <w:r>
        <w:rPr>
          <w:color w:val="000000"/>
          <w:sz w:val="24"/>
          <w:szCs w:val="24"/>
        </w:rPr>
        <w:t>年</w:t>
      </w:r>
      <w:r>
        <w:rPr>
          <w:color w:val="000000"/>
          <w:sz w:val="24"/>
          <w:szCs w:val="24"/>
        </w:rPr>
        <w:t>1</w:t>
      </w:r>
      <w:r>
        <w:rPr>
          <w:color w:val="000000"/>
          <w:sz w:val="24"/>
          <w:szCs w:val="24"/>
        </w:rPr>
        <w:t>月</w:t>
      </w:r>
      <w:r>
        <w:rPr>
          <w:color w:val="000000"/>
          <w:sz w:val="24"/>
          <w:szCs w:val="24"/>
        </w:rPr>
        <w:t>18</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4F5C45" w:rsidRDefault="00155C02">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4F5C45" w:rsidRDefault="00155C02">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4F5C45" w:rsidRDefault="00155C02">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2016</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交银先进制造混合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519704</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519704</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519705</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2011</w:t>
            </w:r>
            <w:r w:rsidRPr="00414345">
              <w:rPr>
                <w:color w:val="000000"/>
                <w:kern w:val="0"/>
                <w:sz w:val="24"/>
                <w:szCs w:val="24"/>
              </w:rPr>
              <w:t>年</w:t>
            </w:r>
            <w:r w:rsidRPr="00414345">
              <w:rPr>
                <w:color w:val="000000"/>
                <w:kern w:val="0"/>
                <w:sz w:val="24"/>
                <w:szCs w:val="24"/>
              </w:rPr>
              <w:t>6</w:t>
            </w:r>
            <w:r w:rsidRPr="00414345">
              <w:rPr>
                <w:color w:val="000000"/>
                <w:kern w:val="0"/>
                <w:sz w:val="24"/>
                <w:szCs w:val="24"/>
              </w:rPr>
              <w:t>月</w:t>
            </w:r>
            <w:r w:rsidRPr="00414345">
              <w:rPr>
                <w:color w:val="000000"/>
                <w:kern w:val="0"/>
                <w:sz w:val="24"/>
                <w:szCs w:val="24"/>
              </w:rPr>
              <w:t>22</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1,223,221,570.26</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本基金通过重点投资于与装备制造相关的优质企业，把握中国产业结构升级的投资机会，在控制风险并保持基金资产良好的流动性的前提下，力争实现基金资产的长期稳定增值。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本基金充分发挥基金管理人的研究优势，将严谨、规范化的选股方法与积极主动的投资风格相结合，自下而上挖掘与装备制造相关的上市公司投资机会，以谋求良好收益。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申银万国装备制造指数收益率</w:t>
            </w:r>
            <w:r w:rsidRPr="00414345">
              <w:rPr>
                <w:color w:val="000000"/>
                <w:kern w:val="0"/>
                <w:sz w:val="24"/>
                <w:szCs w:val="24"/>
              </w:rPr>
              <w:t>+25%×</w:t>
            </w:r>
            <w:r w:rsidRPr="00414345">
              <w:rPr>
                <w:color w:val="000000"/>
                <w:kern w:val="0"/>
                <w:sz w:val="24"/>
                <w:szCs w:val="24"/>
              </w:rPr>
              <w:t>中证综合债券指数收益率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本基金是一只混合型基金，其风险和预期收益高于债券型基金和货币市场基金，低于股票型基金。属于承</w:t>
            </w:r>
            <w:r w:rsidRPr="00414345">
              <w:rPr>
                <w:color w:val="000000"/>
                <w:kern w:val="0"/>
                <w:sz w:val="24"/>
                <w:szCs w:val="24"/>
              </w:rPr>
              <w:lastRenderedPageBreak/>
              <w:t>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中国农业银行股份有限公司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155C02" w:rsidRPr="00414345" w:rsidTr="00155C02">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(2016</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-2016</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155C02" w:rsidRPr="00414345" w:rsidTr="00155C02">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63,355,180.40</w:t>
            </w:r>
          </w:p>
        </w:tc>
      </w:tr>
      <w:tr w:rsidR="00155C02" w:rsidRPr="00414345" w:rsidTr="00155C02">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51,233,008.68</w:t>
            </w:r>
          </w:p>
        </w:tc>
      </w:tr>
      <w:tr w:rsidR="00155C02" w:rsidRPr="00414345" w:rsidTr="00155C02">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0.0619</w:t>
            </w:r>
          </w:p>
        </w:tc>
      </w:tr>
      <w:tr w:rsidR="00155C02" w:rsidRPr="00414345" w:rsidTr="00155C02">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2,630,959,889.24</w:t>
            </w:r>
          </w:p>
        </w:tc>
      </w:tr>
      <w:tr w:rsidR="00155C02" w:rsidRPr="00414345" w:rsidTr="00155C02">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2.151</w:t>
            </w:r>
          </w:p>
        </w:tc>
      </w:tr>
    </w:tbl>
    <w:p w:rsidR="004F5C45" w:rsidRDefault="00155C02">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4F5C45">
        <w:trPr>
          <w:jc w:val="center"/>
        </w:trPr>
        <w:tc>
          <w:tcPr>
            <w:tcW w:w="1701" w:type="dxa"/>
            <w:vAlign w:val="center"/>
          </w:tcPr>
          <w:p w:rsidR="004F5C45" w:rsidRDefault="00155C02">
            <w:pPr>
              <w:jc w:val="left"/>
            </w:pPr>
            <w:r>
              <w:rPr>
                <w:color w:val="000000"/>
                <w:sz w:val="24"/>
                <w:szCs w:val="24"/>
              </w:rPr>
              <w:t>过去三个月</w:t>
            </w:r>
          </w:p>
        </w:tc>
        <w:tc>
          <w:tcPr>
            <w:tcW w:w="1045" w:type="dxa"/>
            <w:vAlign w:val="center"/>
          </w:tcPr>
          <w:p w:rsidR="004F5C45" w:rsidRDefault="00155C02">
            <w:pPr>
              <w:jc w:val="center"/>
            </w:pPr>
            <w:r>
              <w:rPr>
                <w:color w:val="000000"/>
                <w:sz w:val="24"/>
                <w:szCs w:val="24"/>
              </w:rPr>
              <w:t>4.05%</w:t>
            </w:r>
          </w:p>
        </w:tc>
        <w:tc>
          <w:tcPr>
            <w:tcW w:w="1344" w:type="dxa"/>
            <w:vAlign w:val="center"/>
          </w:tcPr>
          <w:p w:rsidR="004F5C45" w:rsidRDefault="00155C02">
            <w:pPr>
              <w:jc w:val="center"/>
            </w:pPr>
            <w:r>
              <w:rPr>
                <w:color w:val="000000"/>
                <w:sz w:val="24"/>
                <w:szCs w:val="24"/>
              </w:rPr>
              <w:t>0.78%</w:t>
            </w:r>
          </w:p>
        </w:tc>
        <w:tc>
          <w:tcPr>
            <w:tcW w:w="1194" w:type="dxa"/>
            <w:vAlign w:val="center"/>
          </w:tcPr>
          <w:p w:rsidR="004F5C45" w:rsidRDefault="00155C02">
            <w:pPr>
              <w:jc w:val="center"/>
            </w:pPr>
            <w:r>
              <w:rPr>
                <w:color w:val="000000"/>
                <w:sz w:val="24"/>
                <w:szCs w:val="24"/>
              </w:rPr>
              <w:t>-0.79%</w:t>
            </w:r>
          </w:p>
        </w:tc>
        <w:tc>
          <w:tcPr>
            <w:tcW w:w="1492" w:type="dxa"/>
            <w:vAlign w:val="center"/>
          </w:tcPr>
          <w:p w:rsidR="004F5C45" w:rsidRDefault="00155C02">
            <w:pPr>
              <w:jc w:val="center"/>
            </w:pPr>
            <w:r>
              <w:rPr>
                <w:color w:val="000000"/>
                <w:sz w:val="24"/>
                <w:szCs w:val="24"/>
              </w:rPr>
              <w:t>0.69%</w:t>
            </w:r>
          </w:p>
        </w:tc>
        <w:tc>
          <w:tcPr>
            <w:tcW w:w="1194" w:type="dxa"/>
            <w:vAlign w:val="center"/>
          </w:tcPr>
          <w:p w:rsidR="004F5C45" w:rsidRDefault="00155C02">
            <w:pPr>
              <w:jc w:val="center"/>
            </w:pPr>
            <w:r>
              <w:rPr>
                <w:color w:val="000000"/>
                <w:sz w:val="24"/>
                <w:szCs w:val="24"/>
              </w:rPr>
              <w:t>4.84%</w:t>
            </w:r>
          </w:p>
        </w:tc>
        <w:tc>
          <w:tcPr>
            <w:tcW w:w="898" w:type="dxa"/>
            <w:vAlign w:val="center"/>
          </w:tcPr>
          <w:p w:rsidR="004F5C45" w:rsidRDefault="00155C02">
            <w:pPr>
              <w:jc w:val="center"/>
            </w:pPr>
            <w:r>
              <w:rPr>
                <w:color w:val="000000"/>
                <w:sz w:val="24"/>
                <w:szCs w:val="24"/>
              </w:rPr>
              <w:t>0.09%</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“75%×</w:t>
      </w:r>
      <w:r w:rsidRPr="00414345">
        <w:rPr>
          <w:color w:val="000000"/>
          <w:sz w:val="24"/>
          <w:szCs w:val="24"/>
        </w:rPr>
        <w:t>申银万国装备制造指数收益率</w:t>
      </w:r>
      <w:r w:rsidRPr="00414345">
        <w:rPr>
          <w:color w:val="000000"/>
          <w:sz w:val="24"/>
          <w:szCs w:val="24"/>
        </w:rPr>
        <w:t>+25%×</w:t>
      </w:r>
      <w:r w:rsidRPr="00414345">
        <w:rPr>
          <w:color w:val="000000"/>
          <w:sz w:val="24"/>
          <w:szCs w:val="24"/>
        </w:rPr>
        <w:t>中信标普全债指数收益率</w:t>
      </w:r>
      <w:r w:rsidRPr="00414345">
        <w:rPr>
          <w:color w:val="000000"/>
          <w:sz w:val="24"/>
          <w:szCs w:val="24"/>
        </w:rPr>
        <w:t>”</w:t>
      </w:r>
      <w:r w:rsidRPr="00414345">
        <w:rPr>
          <w:color w:val="000000"/>
          <w:sz w:val="24"/>
          <w:szCs w:val="24"/>
        </w:rPr>
        <w:t>变更为</w:t>
      </w:r>
      <w:r w:rsidRPr="00414345">
        <w:rPr>
          <w:color w:val="000000"/>
          <w:sz w:val="24"/>
          <w:szCs w:val="24"/>
        </w:rPr>
        <w:t>“75%×</w:t>
      </w:r>
      <w:r w:rsidRPr="00414345">
        <w:rPr>
          <w:color w:val="000000"/>
          <w:sz w:val="24"/>
          <w:szCs w:val="24"/>
        </w:rPr>
        <w:t>申银万国装备制造指数收益率</w:t>
      </w:r>
      <w:r w:rsidRPr="00414345">
        <w:rPr>
          <w:color w:val="000000"/>
          <w:sz w:val="24"/>
          <w:szCs w:val="24"/>
        </w:rPr>
        <w:t>+25%×</w:t>
      </w:r>
      <w:r w:rsidRPr="00414345">
        <w:rPr>
          <w:color w:val="000000"/>
          <w:sz w:val="24"/>
          <w:szCs w:val="24"/>
        </w:rPr>
        <w:t>中证综合债券指数收益率</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w:t>
      </w:r>
      <w:r w:rsidR="00C6002A" w:rsidRPr="00414345">
        <w:rPr>
          <w:b/>
          <w:bCs/>
          <w:color w:val="000000"/>
          <w:sz w:val="24"/>
        </w:rPr>
        <w:lastRenderedPageBreak/>
        <w:t>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交银施罗德先进制造混合型证券投资基金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2011</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6</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22</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2016</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12</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4F5C45">
        <w:trPr>
          <w:jc w:val="center"/>
        </w:trPr>
        <w:tc>
          <w:tcPr>
            <w:tcW w:w="846" w:type="dxa"/>
            <w:vAlign w:val="center"/>
          </w:tcPr>
          <w:p w:rsidR="004F5C45" w:rsidRDefault="00155C02">
            <w:pPr>
              <w:jc w:val="center"/>
            </w:pPr>
            <w:r>
              <w:rPr>
                <w:color w:val="000000"/>
                <w:sz w:val="24"/>
                <w:szCs w:val="24"/>
              </w:rPr>
              <w:t>任相栋</w:t>
            </w:r>
          </w:p>
        </w:tc>
        <w:tc>
          <w:tcPr>
            <w:tcW w:w="845" w:type="dxa"/>
            <w:vAlign w:val="center"/>
          </w:tcPr>
          <w:p w:rsidR="004F5C45" w:rsidRDefault="00155C02">
            <w:pPr>
              <w:jc w:val="center"/>
            </w:pPr>
            <w:r>
              <w:rPr>
                <w:color w:val="000000"/>
                <w:sz w:val="24"/>
                <w:szCs w:val="24"/>
              </w:rPr>
              <w:t>交银先进制造混合、交银经济新动力混合的基金经理</w:t>
            </w:r>
          </w:p>
        </w:tc>
        <w:tc>
          <w:tcPr>
            <w:tcW w:w="1549" w:type="dxa"/>
            <w:vAlign w:val="center"/>
          </w:tcPr>
          <w:p w:rsidR="004F5C45" w:rsidRDefault="00155C02">
            <w:pPr>
              <w:jc w:val="center"/>
            </w:pPr>
            <w:r>
              <w:rPr>
                <w:color w:val="000000"/>
                <w:sz w:val="24"/>
                <w:szCs w:val="24"/>
              </w:rPr>
              <w:t>2015-01-21</w:t>
            </w:r>
          </w:p>
        </w:tc>
        <w:tc>
          <w:tcPr>
            <w:tcW w:w="1548" w:type="dxa"/>
            <w:vAlign w:val="center"/>
          </w:tcPr>
          <w:p w:rsidR="004F5C45" w:rsidRDefault="00155C02">
            <w:pPr>
              <w:jc w:val="center"/>
            </w:pPr>
            <w:r>
              <w:rPr>
                <w:color w:val="000000"/>
                <w:sz w:val="24"/>
                <w:szCs w:val="24"/>
              </w:rPr>
              <w:t>-</w:t>
            </w:r>
          </w:p>
        </w:tc>
        <w:tc>
          <w:tcPr>
            <w:tcW w:w="1407" w:type="dxa"/>
            <w:vAlign w:val="center"/>
          </w:tcPr>
          <w:p w:rsidR="004F5C45" w:rsidRDefault="00155C02">
            <w:pPr>
              <w:jc w:val="center"/>
            </w:pPr>
            <w:r>
              <w:rPr>
                <w:color w:val="000000"/>
                <w:sz w:val="24"/>
                <w:szCs w:val="24"/>
              </w:rPr>
              <w:t>6</w:t>
            </w:r>
            <w:r>
              <w:rPr>
                <w:color w:val="000000"/>
                <w:sz w:val="24"/>
                <w:szCs w:val="24"/>
              </w:rPr>
              <w:t>年</w:t>
            </w:r>
          </w:p>
        </w:tc>
        <w:tc>
          <w:tcPr>
            <w:tcW w:w="2673" w:type="dxa"/>
            <w:vAlign w:val="center"/>
          </w:tcPr>
          <w:p w:rsidR="004F5C45" w:rsidRDefault="00155C02">
            <w:r>
              <w:rPr>
                <w:color w:val="000000"/>
                <w:sz w:val="24"/>
                <w:szCs w:val="24"/>
              </w:rPr>
              <w:t>任相栋先生，上海交通大学金融学硕士。</w:t>
            </w:r>
            <w:r>
              <w:rPr>
                <w:color w:val="000000"/>
                <w:sz w:val="24"/>
                <w:szCs w:val="24"/>
              </w:rPr>
              <w:t>2010</w:t>
            </w:r>
            <w:r>
              <w:rPr>
                <w:color w:val="000000"/>
                <w:sz w:val="24"/>
                <w:szCs w:val="24"/>
              </w:rPr>
              <w:t>年加入交银施罗德基金管理有限公司，历任行业分析师。</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4F5C45" w:rsidRDefault="00155C02">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4F5C45" w:rsidRDefault="00155C02">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4F5C45" w:rsidRDefault="00155C02">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本基金于本报告期内未发现异常交易行为。本报告期内，本公司管理的所有投资组合参与的交易所公开竞价同日反向交易成交较少的单边交易量超过该证券当日总成交量</w:t>
      </w:r>
      <w:r w:rsidRPr="00414345">
        <w:rPr>
          <w:color w:val="000000"/>
          <w:sz w:val="24"/>
          <w:szCs w:val="24"/>
        </w:rPr>
        <w:t>5%</w:t>
      </w:r>
      <w:r w:rsidRPr="00414345">
        <w:rPr>
          <w:color w:val="000000"/>
          <w:sz w:val="24"/>
          <w:szCs w:val="24"/>
        </w:rPr>
        <w:t>的情况有</w:t>
      </w:r>
      <w:r w:rsidRPr="00414345">
        <w:rPr>
          <w:color w:val="000000"/>
          <w:sz w:val="24"/>
          <w:szCs w:val="24"/>
        </w:rPr>
        <w:t>1</w:t>
      </w:r>
      <w:r w:rsidRPr="00414345">
        <w:rPr>
          <w:color w:val="000000"/>
          <w:sz w:val="24"/>
          <w:szCs w:val="24"/>
        </w:rPr>
        <w:t>次，是投资组合因投资策略需要而发生同日反向交易，未发现不公平交易和利益输送的情况。本基金与本公司管理的其他投资组合在不同时间窗下（如日内、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日内）同向交易的交易价差未发现异常。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4F5C45" w:rsidRDefault="00155C02">
      <w:pPr>
        <w:spacing w:before="29" w:line="288" w:lineRule="auto"/>
        <w:ind w:firstLineChars="200" w:firstLine="480"/>
        <w:rPr>
          <w:color w:val="000000"/>
          <w:sz w:val="24"/>
          <w:szCs w:val="24"/>
        </w:rPr>
      </w:pPr>
      <w:r>
        <w:rPr>
          <w:color w:val="000000"/>
          <w:sz w:val="24"/>
          <w:szCs w:val="24"/>
        </w:rPr>
        <w:t>2016</w:t>
      </w:r>
      <w:r>
        <w:rPr>
          <w:color w:val="000000"/>
          <w:sz w:val="24"/>
          <w:szCs w:val="24"/>
        </w:rPr>
        <w:t>年四季度股指先扬后抑，上证综指涨幅明显高于创业板指数，化工、央企改革、保险公司举牌等概念板块一度表现抢眼。回顾</w:t>
      </w:r>
      <w:r>
        <w:rPr>
          <w:color w:val="000000"/>
          <w:sz w:val="24"/>
          <w:szCs w:val="24"/>
        </w:rPr>
        <w:t>2016</w:t>
      </w:r>
      <w:r>
        <w:rPr>
          <w:color w:val="000000"/>
          <w:sz w:val="24"/>
          <w:szCs w:val="24"/>
        </w:rPr>
        <w:t>年四季度的股票市场，业绩在个股涨跌中起了相比以往更加主导的作用，体现出了市场整体风险偏好的下降，这一表</w:t>
      </w:r>
      <w:r>
        <w:rPr>
          <w:color w:val="000000"/>
          <w:sz w:val="24"/>
          <w:szCs w:val="24"/>
        </w:rPr>
        <w:lastRenderedPageBreak/>
        <w:t>现应该可以看作对过去三年创业板大牛市的回归。</w:t>
      </w:r>
    </w:p>
    <w:p w:rsidR="004F5C45" w:rsidRDefault="00155C02">
      <w:pPr>
        <w:spacing w:before="29" w:line="288" w:lineRule="auto"/>
        <w:ind w:firstLineChars="200" w:firstLine="480"/>
        <w:rPr>
          <w:color w:val="000000"/>
          <w:sz w:val="24"/>
          <w:szCs w:val="24"/>
        </w:rPr>
      </w:pPr>
      <w:r>
        <w:rPr>
          <w:color w:val="000000"/>
          <w:sz w:val="24"/>
          <w:szCs w:val="24"/>
        </w:rPr>
        <w:t>本基金</w:t>
      </w:r>
      <w:r>
        <w:rPr>
          <w:color w:val="000000"/>
          <w:sz w:val="24"/>
          <w:szCs w:val="24"/>
        </w:rPr>
        <w:t>2016</w:t>
      </w:r>
      <w:r>
        <w:rPr>
          <w:color w:val="000000"/>
          <w:sz w:val="24"/>
          <w:szCs w:val="24"/>
        </w:rPr>
        <w:t>年四季度跑赢业绩比较基准，主要是个股选择带来的超额收益。</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未来，我们认为伴随着经济先行指标的逐步见顶，周期性行业盈利向好的环比动量将减弱，成长性行业有望重新吸引投资者的眼光，但考虑到未来整体的流动性环境仍难言乐观，估值与盈利增速在成长股的选股中将扮演更加重要的作用，真正的成长股有望在未来的市场中获得超额回报。本基金将继续致力于在控制好风险的情况下，努力为持有人取得更高的回报。</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2016</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日，本基金份额净值为</w:t>
      </w:r>
      <w:r w:rsidRPr="00414345">
        <w:rPr>
          <w:color w:val="000000"/>
          <w:sz w:val="24"/>
          <w:szCs w:val="24"/>
        </w:rPr>
        <w:t>2.151</w:t>
      </w:r>
      <w:r w:rsidRPr="00414345">
        <w:rPr>
          <w:color w:val="000000"/>
          <w:sz w:val="24"/>
          <w:szCs w:val="24"/>
        </w:rPr>
        <w:t>元，本报告期份额净值增长率为</w:t>
      </w:r>
      <w:r w:rsidRPr="00414345">
        <w:rPr>
          <w:color w:val="000000"/>
          <w:sz w:val="24"/>
          <w:szCs w:val="24"/>
        </w:rPr>
        <w:t>4.05%</w:t>
      </w:r>
      <w:r w:rsidRPr="00414345">
        <w:rPr>
          <w:color w:val="000000"/>
          <w:sz w:val="24"/>
          <w:szCs w:val="24"/>
        </w:rPr>
        <w:t>，同期业绩比较基准增长率</w:t>
      </w:r>
      <w:r w:rsidRPr="00414345">
        <w:rPr>
          <w:color w:val="000000"/>
          <w:sz w:val="24"/>
          <w:szCs w:val="24"/>
        </w:rPr>
        <w:t>-0.79%</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2,042,095,141.10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76.19</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2,042,095,141.10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76.19</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99,850,000.00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3.73</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99,850,000.00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3.73</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348,000,762.00</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12.98</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169,942,772.64</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6.34</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20,530,916.07</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0.77</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2,680,419,591.81</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lastRenderedPageBreak/>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1,839,182,715.28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69.91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88,106,833.77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3.35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42,467,455.98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9,458.68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241,692.20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106,780.00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17,480,025.50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0.66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54,500,179.69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2.07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2,042,095,141.10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77.62</w:t>
            </w:r>
          </w:p>
        </w:tc>
      </w:tr>
    </w:tbl>
    <w:p w:rsidR="00155C02" w:rsidRDefault="00155C02" w:rsidP="00F51C4E">
      <w:pPr>
        <w:jc w:val="left"/>
        <w:rPr>
          <w:rFonts w:asciiTheme="minorEastAsia" w:eastAsiaTheme="minorEastAsia" w:hAnsiTheme="minorEastAsia"/>
          <w:b/>
          <w:bCs/>
          <w:color w:val="000000" w:themeColor="text1"/>
          <w:kern w:val="0"/>
          <w:sz w:val="24"/>
        </w:rPr>
      </w:pPr>
    </w:p>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5.2.2报告期末按行业分类的沪港通投资股票投资组合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本基金本报告期末未持有通过沪港通投资的股票。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lastRenderedPageBreak/>
              <w:t>（％）</w:t>
            </w:r>
          </w:p>
        </w:tc>
      </w:tr>
      <w:tr w:rsidR="004F5C45">
        <w:trPr>
          <w:jc w:val="center"/>
        </w:trPr>
        <w:tc>
          <w:tcPr>
            <w:tcW w:w="855" w:type="dxa"/>
            <w:vAlign w:val="center"/>
          </w:tcPr>
          <w:p w:rsidR="004F5C45" w:rsidRDefault="00155C02">
            <w:pPr>
              <w:jc w:val="center"/>
            </w:pPr>
            <w:r>
              <w:rPr>
                <w:color w:val="000000"/>
                <w:sz w:val="24"/>
                <w:szCs w:val="24"/>
              </w:rPr>
              <w:lastRenderedPageBreak/>
              <w:t>1</w:t>
            </w:r>
          </w:p>
        </w:tc>
        <w:tc>
          <w:tcPr>
            <w:tcW w:w="1334" w:type="dxa"/>
            <w:vAlign w:val="center"/>
          </w:tcPr>
          <w:p w:rsidR="004F5C45" w:rsidRDefault="00155C02">
            <w:pPr>
              <w:jc w:val="center"/>
            </w:pPr>
            <w:r>
              <w:rPr>
                <w:color w:val="000000"/>
                <w:sz w:val="24"/>
                <w:szCs w:val="24"/>
              </w:rPr>
              <w:t>300129</w:t>
            </w:r>
          </w:p>
        </w:tc>
        <w:tc>
          <w:tcPr>
            <w:tcW w:w="1777" w:type="dxa"/>
            <w:vAlign w:val="center"/>
          </w:tcPr>
          <w:p w:rsidR="004F5C45" w:rsidRDefault="00155C02">
            <w:pPr>
              <w:jc w:val="center"/>
            </w:pPr>
            <w:r>
              <w:rPr>
                <w:color w:val="000000"/>
                <w:sz w:val="24"/>
                <w:szCs w:val="24"/>
              </w:rPr>
              <w:t>泰胜风能</w:t>
            </w:r>
          </w:p>
        </w:tc>
        <w:tc>
          <w:tcPr>
            <w:tcW w:w="1334" w:type="dxa"/>
            <w:vAlign w:val="center"/>
          </w:tcPr>
          <w:p w:rsidR="004F5C45" w:rsidRDefault="00155C02">
            <w:pPr>
              <w:jc w:val="right"/>
            </w:pPr>
            <w:r>
              <w:rPr>
                <w:color w:val="000000"/>
                <w:sz w:val="24"/>
                <w:szCs w:val="24"/>
              </w:rPr>
              <w:t>24,710,777</w:t>
            </w:r>
          </w:p>
        </w:tc>
        <w:tc>
          <w:tcPr>
            <w:tcW w:w="1924" w:type="dxa"/>
            <w:vAlign w:val="center"/>
          </w:tcPr>
          <w:p w:rsidR="004F5C45" w:rsidRDefault="00155C02">
            <w:pPr>
              <w:jc w:val="right"/>
            </w:pPr>
            <w:r>
              <w:rPr>
                <w:color w:val="000000"/>
                <w:sz w:val="24"/>
                <w:szCs w:val="24"/>
              </w:rPr>
              <w:t>216,219,298.75</w:t>
            </w:r>
          </w:p>
        </w:tc>
        <w:tc>
          <w:tcPr>
            <w:tcW w:w="1644" w:type="dxa"/>
            <w:vAlign w:val="center"/>
          </w:tcPr>
          <w:p w:rsidR="004F5C45" w:rsidRDefault="00155C02">
            <w:pPr>
              <w:jc w:val="right"/>
            </w:pPr>
            <w:r>
              <w:rPr>
                <w:color w:val="000000"/>
                <w:sz w:val="24"/>
                <w:szCs w:val="24"/>
              </w:rPr>
              <w:t>8.22</w:t>
            </w:r>
          </w:p>
        </w:tc>
      </w:tr>
      <w:tr w:rsidR="004F5C45">
        <w:trPr>
          <w:jc w:val="center"/>
        </w:trPr>
        <w:tc>
          <w:tcPr>
            <w:tcW w:w="855" w:type="dxa"/>
            <w:vAlign w:val="center"/>
          </w:tcPr>
          <w:p w:rsidR="004F5C45" w:rsidRDefault="00155C02">
            <w:pPr>
              <w:jc w:val="center"/>
            </w:pPr>
            <w:r>
              <w:rPr>
                <w:color w:val="000000"/>
                <w:sz w:val="24"/>
                <w:szCs w:val="24"/>
              </w:rPr>
              <w:t>2</w:t>
            </w:r>
          </w:p>
        </w:tc>
        <w:tc>
          <w:tcPr>
            <w:tcW w:w="1334" w:type="dxa"/>
            <w:vAlign w:val="center"/>
          </w:tcPr>
          <w:p w:rsidR="004F5C45" w:rsidRDefault="00155C02">
            <w:pPr>
              <w:jc w:val="center"/>
            </w:pPr>
            <w:r>
              <w:rPr>
                <w:color w:val="000000"/>
                <w:sz w:val="24"/>
                <w:szCs w:val="24"/>
              </w:rPr>
              <w:t>600967</w:t>
            </w:r>
          </w:p>
        </w:tc>
        <w:tc>
          <w:tcPr>
            <w:tcW w:w="1777" w:type="dxa"/>
            <w:vAlign w:val="center"/>
          </w:tcPr>
          <w:p w:rsidR="004F5C45" w:rsidRDefault="00155C02">
            <w:pPr>
              <w:jc w:val="center"/>
            </w:pPr>
            <w:r>
              <w:rPr>
                <w:color w:val="000000"/>
                <w:sz w:val="24"/>
                <w:szCs w:val="24"/>
              </w:rPr>
              <w:t>北方创业</w:t>
            </w:r>
          </w:p>
        </w:tc>
        <w:tc>
          <w:tcPr>
            <w:tcW w:w="1334" w:type="dxa"/>
            <w:vAlign w:val="center"/>
          </w:tcPr>
          <w:p w:rsidR="004F5C45" w:rsidRDefault="00155C02">
            <w:pPr>
              <w:jc w:val="right"/>
            </w:pPr>
            <w:r>
              <w:rPr>
                <w:color w:val="000000"/>
                <w:sz w:val="24"/>
                <w:szCs w:val="24"/>
              </w:rPr>
              <w:t>15,452,598</w:t>
            </w:r>
          </w:p>
        </w:tc>
        <w:tc>
          <w:tcPr>
            <w:tcW w:w="1924" w:type="dxa"/>
            <w:vAlign w:val="center"/>
          </w:tcPr>
          <w:p w:rsidR="004F5C45" w:rsidRDefault="00155C02">
            <w:pPr>
              <w:jc w:val="right"/>
            </w:pPr>
            <w:r>
              <w:rPr>
                <w:color w:val="000000"/>
                <w:sz w:val="24"/>
                <w:szCs w:val="24"/>
              </w:rPr>
              <w:t>209,691,754.86</w:t>
            </w:r>
          </w:p>
        </w:tc>
        <w:tc>
          <w:tcPr>
            <w:tcW w:w="1644" w:type="dxa"/>
            <w:vAlign w:val="center"/>
          </w:tcPr>
          <w:p w:rsidR="004F5C45" w:rsidRDefault="00155C02">
            <w:pPr>
              <w:jc w:val="right"/>
            </w:pPr>
            <w:r>
              <w:rPr>
                <w:color w:val="000000"/>
                <w:sz w:val="24"/>
                <w:szCs w:val="24"/>
              </w:rPr>
              <w:t>7.97</w:t>
            </w:r>
          </w:p>
        </w:tc>
      </w:tr>
      <w:tr w:rsidR="004F5C45">
        <w:trPr>
          <w:jc w:val="center"/>
        </w:trPr>
        <w:tc>
          <w:tcPr>
            <w:tcW w:w="855" w:type="dxa"/>
            <w:vAlign w:val="center"/>
          </w:tcPr>
          <w:p w:rsidR="004F5C45" w:rsidRDefault="00155C02">
            <w:pPr>
              <w:jc w:val="center"/>
            </w:pPr>
            <w:r>
              <w:rPr>
                <w:color w:val="000000"/>
                <w:sz w:val="24"/>
                <w:szCs w:val="24"/>
              </w:rPr>
              <w:t>3</w:t>
            </w:r>
          </w:p>
        </w:tc>
        <w:tc>
          <w:tcPr>
            <w:tcW w:w="1334" w:type="dxa"/>
            <w:vAlign w:val="center"/>
          </w:tcPr>
          <w:p w:rsidR="004F5C45" w:rsidRDefault="00155C02">
            <w:pPr>
              <w:jc w:val="center"/>
            </w:pPr>
            <w:r>
              <w:rPr>
                <w:color w:val="000000"/>
                <w:sz w:val="24"/>
                <w:szCs w:val="24"/>
              </w:rPr>
              <w:t>001696</w:t>
            </w:r>
          </w:p>
        </w:tc>
        <w:tc>
          <w:tcPr>
            <w:tcW w:w="1777" w:type="dxa"/>
            <w:vAlign w:val="center"/>
          </w:tcPr>
          <w:p w:rsidR="004F5C45" w:rsidRDefault="00155C02">
            <w:pPr>
              <w:jc w:val="center"/>
            </w:pPr>
            <w:r>
              <w:rPr>
                <w:color w:val="000000"/>
                <w:sz w:val="24"/>
                <w:szCs w:val="24"/>
              </w:rPr>
              <w:t>宗申动力</w:t>
            </w:r>
          </w:p>
        </w:tc>
        <w:tc>
          <w:tcPr>
            <w:tcW w:w="1334" w:type="dxa"/>
            <w:vAlign w:val="center"/>
          </w:tcPr>
          <w:p w:rsidR="004F5C45" w:rsidRDefault="00155C02">
            <w:pPr>
              <w:jc w:val="right"/>
            </w:pPr>
            <w:r>
              <w:rPr>
                <w:color w:val="000000"/>
                <w:sz w:val="24"/>
                <w:szCs w:val="24"/>
              </w:rPr>
              <w:t>16,902,190</w:t>
            </w:r>
          </w:p>
        </w:tc>
        <w:tc>
          <w:tcPr>
            <w:tcW w:w="1924" w:type="dxa"/>
            <w:vAlign w:val="center"/>
          </w:tcPr>
          <w:p w:rsidR="004F5C45" w:rsidRDefault="00155C02">
            <w:pPr>
              <w:jc w:val="right"/>
            </w:pPr>
            <w:r>
              <w:rPr>
                <w:color w:val="000000"/>
                <w:sz w:val="24"/>
                <w:szCs w:val="24"/>
              </w:rPr>
              <w:t>158,880,586.00</w:t>
            </w:r>
          </w:p>
        </w:tc>
        <w:tc>
          <w:tcPr>
            <w:tcW w:w="1644" w:type="dxa"/>
            <w:vAlign w:val="center"/>
          </w:tcPr>
          <w:p w:rsidR="004F5C45" w:rsidRDefault="00155C02">
            <w:pPr>
              <w:jc w:val="right"/>
            </w:pPr>
            <w:r>
              <w:rPr>
                <w:color w:val="000000"/>
                <w:sz w:val="24"/>
                <w:szCs w:val="24"/>
              </w:rPr>
              <w:t>6.04</w:t>
            </w:r>
          </w:p>
        </w:tc>
      </w:tr>
      <w:tr w:rsidR="004F5C45">
        <w:trPr>
          <w:jc w:val="center"/>
        </w:trPr>
        <w:tc>
          <w:tcPr>
            <w:tcW w:w="855" w:type="dxa"/>
            <w:vAlign w:val="center"/>
          </w:tcPr>
          <w:p w:rsidR="004F5C45" w:rsidRDefault="00155C02">
            <w:pPr>
              <w:jc w:val="center"/>
            </w:pPr>
            <w:r>
              <w:rPr>
                <w:color w:val="000000"/>
                <w:sz w:val="24"/>
                <w:szCs w:val="24"/>
              </w:rPr>
              <w:t>4</w:t>
            </w:r>
          </w:p>
        </w:tc>
        <w:tc>
          <w:tcPr>
            <w:tcW w:w="1334" w:type="dxa"/>
            <w:vAlign w:val="center"/>
          </w:tcPr>
          <w:p w:rsidR="004F5C45" w:rsidRDefault="00155C02">
            <w:pPr>
              <w:jc w:val="center"/>
            </w:pPr>
            <w:r>
              <w:rPr>
                <w:color w:val="000000"/>
                <w:sz w:val="24"/>
                <w:szCs w:val="24"/>
              </w:rPr>
              <w:t>300458</w:t>
            </w:r>
          </w:p>
        </w:tc>
        <w:tc>
          <w:tcPr>
            <w:tcW w:w="1777" w:type="dxa"/>
            <w:vAlign w:val="center"/>
          </w:tcPr>
          <w:p w:rsidR="004F5C45" w:rsidRDefault="00155C02">
            <w:pPr>
              <w:jc w:val="center"/>
            </w:pPr>
            <w:r>
              <w:rPr>
                <w:color w:val="000000"/>
                <w:sz w:val="24"/>
                <w:szCs w:val="24"/>
              </w:rPr>
              <w:t>全志科技</w:t>
            </w:r>
          </w:p>
        </w:tc>
        <w:tc>
          <w:tcPr>
            <w:tcW w:w="1334" w:type="dxa"/>
            <w:vAlign w:val="center"/>
          </w:tcPr>
          <w:p w:rsidR="004F5C45" w:rsidRDefault="00155C02">
            <w:pPr>
              <w:jc w:val="right"/>
            </w:pPr>
            <w:r>
              <w:rPr>
                <w:color w:val="000000"/>
                <w:sz w:val="24"/>
                <w:szCs w:val="24"/>
              </w:rPr>
              <w:t>1,189,433</w:t>
            </w:r>
          </w:p>
        </w:tc>
        <w:tc>
          <w:tcPr>
            <w:tcW w:w="1924" w:type="dxa"/>
            <w:vAlign w:val="center"/>
          </w:tcPr>
          <w:p w:rsidR="004F5C45" w:rsidRDefault="00155C02">
            <w:pPr>
              <w:jc w:val="right"/>
            </w:pPr>
            <w:r>
              <w:rPr>
                <w:color w:val="000000"/>
                <w:sz w:val="24"/>
                <w:szCs w:val="24"/>
              </w:rPr>
              <w:t>108,749,859.19</w:t>
            </w:r>
          </w:p>
        </w:tc>
        <w:tc>
          <w:tcPr>
            <w:tcW w:w="1644" w:type="dxa"/>
            <w:vAlign w:val="center"/>
          </w:tcPr>
          <w:p w:rsidR="004F5C45" w:rsidRDefault="00155C02">
            <w:pPr>
              <w:jc w:val="right"/>
            </w:pPr>
            <w:r>
              <w:rPr>
                <w:color w:val="000000"/>
                <w:sz w:val="24"/>
                <w:szCs w:val="24"/>
              </w:rPr>
              <w:t>4.13</w:t>
            </w:r>
          </w:p>
        </w:tc>
      </w:tr>
      <w:tr w:rsidR="004F5C45">
        <w:trPr>
          <w:jc w:val="center"/>
        </w:trPr>
        <w:tc>
          <w:tcPr>
            <w:tcW w:w="855" w:type="dxa"/>
            <w:vAlign w:val="center"/>
          </w:tcPr>
          <w:p w:rsidR="004F5C45" w:rsidRDefault="00155C02">
            <w:pPr>
              <w:jc w:val="center"/>
            </w:pPr>
            <w:r>
              <w:rPr>
                <w:color w:val="000000"/>
                <w:sz w:val="24"/>
                <w:szCs w:val="24"/>
              </w:rPr>
              <w:t>5</w:t>
            </w:r>
          </w:p>
        </w:tc>
        <w:tc>
          <w:tcPr>
            <w:tcW w:w="1334" w:type="dxa"/>
            <w:vAlign w:val="center"/>
          </w:tcPr>
          <w:p w:rsidR="004F5C45" w:rsidRDefault="00155C02">
            <w:pPr>
              <w:jc w:val="center"/>
            </w:pPr>
            <w:r>
              <w:rPr>
                <w:color w:val="000000"/>
                <w:sz w:val="24"/>
                <w:szCs w:val="24"/>
              </w:rPr>
              <w:t>600104</w:t>
            </w:r>
          </w:p>
        </w:tc>
        <w:tc>
          <w:tcPr>
            <w:tcW w:w="1777" w:type="dxa"/>
            <w:vAlign w:val="center"/>
          </w:tcPr>
          <w:p w:rsidR="004F5C45" w:rsidRDefault="00155C02">
            <w:pPr>
              <w:jc w:val="center"/>
            </w:pPr>
            <w:r>
              <w:rPr>
                <w:color w:val="000000"/>
                <w:sz w:val="24"/>
                <w:szCs w:val="24"/>
              </w:rPr>
              <w:t>上汽集团</w:t>
            </w:r>
          </w:p>
        </w:tc>
        <w:tc>
          <w:tcPr>
            <w:tcW w:w="1334" w:type="dxa"/>
            <w:vAlign w:val="center"/>
          </w:tcPr>
          <w:p w:rsidR="004F5C45" w:rsidRDefault="00155C02">
            <w:pPr>
              <w:jc w:val="right"/>
            </w:pPr>
            <w:r>
              <w:rPr>
                <w:color w:val="000000"/>
                <w:sz w:val="24"/>
                <w:szCs w:val="24"/>
              </w:rPr>
              <w:t>4,002,338</w:t>
            </w:r>
          </w:p>
        </w:tc>
        <w:tc>
          <w:tcPr>
            <w:tcW w:w="1924" w:type="dxa"/>
            <w:vAlign w:val="center"/>
          </w:tcPr>
          <w:p w:rsidR="004F5C45" w:rsidRDefault="00155C02">
            <w:pPr>
              <w:jc w:val="right"/>
            </w:pPr>
            <w:r>
              <w:rPr>
                <w:color w:val="000000"/>
                <w:sz w:val="24"/>
                <w:szCs w:val="24"/>
              </w:rPr>
              <w:t>93,854,826.10</w:t>
            </w:r>
          </w:p>
        </w:tc>
        <w:tc>
          <w:tcPr>
            <w:tcW w:w="1644" w:type="dxa"/>
            <w:vAlign w:val="center"/>
          </w:tcPr>
          <w:p w:rsidR="004F5C45" w:rsidRDefault="00155C02">
            <w:pPr>
              <w:jc w:val="right"/>
            </w:pPr>
            <w:r>
              <w:rPr>
                <w:color w:val="000000"/>
                <w:sz w:val="24"/>
                <w:szCs w:val="24"/>
              </w:rPr>
              <w:t>3.57</w:t>
            </w:r>
          </w:p>
        </w:tc>
      </w:tr>
      <w:tr w:rsidR="004F5C45">
        <w:trPr>
          <w:jc w:val="center"/>
        </w:trPr>
        <w:tc>
          <w:tcPr>
            <w:tcW w:w="855" w:type="dxa"/>
            <w:vAlign w:val="center"/>
          </w:tcPr>
          <w:p w:rsidR="004F5C45" w:rsidRDefault="00155C02">
            <w:pPr>
              <w:jc w:val="center"/>
            </w:pPr>
            <w:r>
              <w:rPr>
                <w:color w:val="000000"/>
                <w:sz w:val="24"/>
                <w:szCs w:val="24"/>
              </w:rPr>
              <w:t>6</w:t>
            </w:r>
          </w:p>
        </w:tc>
        <w:tc>
          <w:tcPr>
            <w:tcW w:w="1334" w:type="dxa"/>
            <w:vAlign w:val="center"/>
          </w:tcPr>
          <w:p w:rsidR="004F5C45" w:rsidRDefault="00155C02">
            <w:pPr>
              <w:jc w:val="center"/>
            </w:pPr>
            <w:r>
              <w:rPr>
                <w:color w:val="000000"/>
                <w:sz w:val="24"/>
                <w:szCs w:val="24"/>
              </w:rPr>
              <w:t>600686</w:t>
            </w:r>
          </w:p>
        </w:tc>
        <w:tc>
          <w:tcPr>
            <w:tcW w:w="1777" w:type="dxa"/>
            <w:vAlign w:val="center"/>
          </w:tcPr>
          <w:p w:rsidR="004F5C45" w:rsidRDefault="00155C02">
            <w:pPr>
              <w:jc w:val="center"/>
            </w:pPr>
            <w:r>
              <w:rPr>
                <w:color w:val="000000"/>
                <w:sz w:val="24"/>
                <w:szCs w:val="24"/>
              </w:rPr>
              <w:t>金龙汽车</w:t>
            </w:r>
          </w:p>
        </w:tc>
        <w:tc>
          <w:tcPr>
            <w:tcW w:w="1334" w:type="dxa"/>
            <w:vAlign w:val="center"/>
          </w:tcPr>
          <w:p w:rsidR="004F5C45" w:rsidRDefault="00155C02">
            <w:pPr>
              <w:jc w:val="right"/>
            </w:pPr>
            <w:r>
              <w:rPr>
                <w:color w:val="000000"/>
                <w:sz w:val="24"/>
                <w:szCs w:val="24"/>
              </w:rPr>
              <w:t>5,311,321</w:t>
            </w:r>
          </w:p>
        </w:tc>
        <w:tc>
          <w:tcPr>
            <w:tcW w:w="1924" w:type="dxa"/>
            <w:vAlign w:val="center"/>
          </w:tcPr>
          <w:p w:rsidR="004F5C45" w:rsidRDefault="00155C02">
            <w:pPr>
              <w:jc w:val="right"/>
            </w:pPr>
            <w:r>
              <w:rPr>
                <w:color w:val="000000"/>
                <w:sz w:val="24"/>
                <w:szCs w:val="24"/>
              </w:rPr>
              <w:t>75,473,871.41</w:t>
            </w:r>
          </w:p>
        </w:tc>
        <w:tc>
          <w:tcPr>
            <w:tcW w:w="1644" w:type="dxa"/>
            <w:vAlign w:val="center"/>
          </w:tcPr>
          <w:p w:rsidR="004F5C45" w:rsidRDefault="00155C02">
            <w:pPr>
              <w:jc w:val="right"/>
            </w:pPr>
            <w:r>
              <w:rPr>
                <w:color w:val="000000"/>
                <w:sz w:val="24"/>
                <w:szCs w:val="24"/>
              </w:rPr>
              <w:t>2.87</w:t>
            </w:r>
          </w:p>
        </w:tc>
      </w:tr>
      <w:tr w:rsidR="004F5C45">
        <w:trPr>
          <w:jc w:val="center"/>
        </w:trPr>
        <w:tc>
          <w:tcPr>
            <w:tcW w:w="855" w:type="dxa"/>
            <w:vAlign w:val="center"/>
          </w:tcPr>
          <w:p w:rsidR="004F5C45" w:rsidRDefault="00155C02">
            <w:pPr>
              <w:jc w:val="center"/>
            </w:pPr>
            <w:r>
              <w:rPr>
                <w:color w:val="000000"/>
                <w:sz w:val="24"/>
                <w:szCs w:val="24"/>
              </w:rPr>
              <w:t>7</w:t>
            </w:r>
          </w:p>
        </w:tc>
        <w:tc>
          <w:tcPr>
            <w:tcW w:w="1334" w:type="dxa"/>
            <w:vAlign w:val="center"/>
          </w:tcPr>
          <w:p w:rsidR="004F5C45" w:rsidRDefault="00155C02">
            <w:pPr>
              <w:jc w:val="center"/>
            </w:pPr>
            <w:r>
              <w:rPr>
                <w:color w:val="000000"/>
                <w:sz w:val="24"/>
                <w:szCs w:val="24"/>
              </w:rPr>
              <w:t>000821</w:t>
            </w:r>
          </w:p>
        </w:tc>
        <w:tc>
          <w:tcPr>
            <w:tcW w:w="1777" w:type="dxa"/>
            <w:vAlign w:val="center"/>
          </w:tcPr>
          <w:p w:rsidR="004F5C45" w:rsidRDefault="00155C02">
            <w:pPr>
              <w:jc w:val="center"/>
            </w:pPr>
            <w:r>
              <w:rPr>
                <w:color w:val="000000"/>
                <w:sz w:val="24"/>
                <w:szCs w:val="24"/>
              </w:rPr>
              <w:t>京山轻机</w:t>
            </w:r>
          </w:p>
        </w:tc>
        <w:tc>
          <w:tcPr>
            <w:tcW w:w="1334" w:type="dxa"/>
            <w:vAlign w:val="center"/>
          </w:tcPr>
          <w:p w:rsidR="004F5C45" w:rsidRDefault="00155C02">
            <w:pPr>
              <w:jc w:val="right"/>
            </w:pPr>
            <w:r>
              <w:rPr>
                <w:color w:val="000000"/>
                <w:sz w:val="24"/>
                <w:szCs w:val="24"/>
              </w:rPr>
              <w:t>4,857,355</w:t>
            </w:r>
          </w:p>
        </w:tc>
        <w:tc>
          <w:tcPr>
            <w:tcW w:w="1924" w:type="dxa"/>
            <w:vAlign w:val="center"/>
          </w:tcPr>
          <w:p w:rsidR="004F5C45" w:rsidRDefault="00155C02">
            <w:pPr>
              <w:jc w:val="right"/>
            </w:pPr>
            <w:r>
              <w:rPr>
                <w:color w:val="000000"/>
                <w:sz w:val="24"/>
                <w:szCs w:val="24"/>
              </w:rPr>
              <w:t>74,511,825.70</w:t>
            </w:r>
          </w:p>
        </w:tc>
        <w:tc>
          <w:tcPr>
            <w:tcW w:w="1644" w:type="dxa"/>
            <w:vAlign w:val="center"/>
          </w:tcPr>
          <w:p w:rsidR="004F5C45" w:rsidRDefault="00155C02">
            <w:pPr>
              <w:jc w:val="right"/>
            </w:pPr>
            <w:r>
              <w:rPr>
                <w:color w:val="000000"/>
                <w:sz w:val="24"/>
                <w:szCs w:val="24"/>
              </w:rPr>
              <w:t>2.83</w:t>
            </w:r>
          </w:p>
        </w:tc>
      </w:tr>
      <w:tr w:rsidR="004F5C45">
        <w:trPr>
          <w:jc w:val="center"/>
        </w:trPr>
        <w:tc>
          <w:tcPr>
            <w:tcW w:w="855" w:type="dxa"/>
            <w:vAlign w:val="center"/>
          </w:tcPr>
          <w:p w:rsidR="004F5C45" w:rsidRDefault="00155C02">
            <w:pPr>
              <w:jc w:val="center"/>
            </w:pPr>
            <w:r>
              <w:rPr>
                <w:color w:val="000000"/>
                <w:sz w:val="24"/>
                <w:szCs w:val="24"/>
              </w:rPr>
              <w:t>8</w:t>
            </w:r>
          </w:p>
        </w:tc>
        <w:tc>
          <w:tcPr>
            <w:tcW w:w="1334" w:type="dxa"/>
            <w:vAlign w:val="center"/>
          </w:tcPr>
          <w:p w:rsidR="004F5C45" w:rsidRDefault="00155C02">
            <w:pPr>
              <w:jc w:val="center"/>
            </w:pPr>
            <w:r>
              <w:rPr>
                <w:color w:val="000000"/>
                <w:sz w:val="24"/>
                <w:szCs w:val="24"/>
              </w:rPr>
              <w:t>300161</w:t>
            </w:r>
          </w:p>
        </w:tc>
        <w:tc>
          <w:tcPr>
            <w:tcW w:w="1777" w:type="dxa"/>
            <w:vAlign w:val="center"/>
          </w:tcPr>
          <w:p w:rsidR="004F5C45" w:rsidRDefault="00155C02">
            <w:pPr>
              <w:jc w:val="center"/>
            </w:pPr>
            <w:r>
              <w:rPr>
                <w:color w:val="000000"/>
                <w:sz w:val="24"/>
                <w:szCs w:val="24"/>
              </w:rPr>
              <w:t>华中数控</w:t>
            </w:r>
          </w:p>
        </w:tc>
        <w:tc>
          <w:tcPr>
            <w:tcW w:w="1334" w:type="dxa"/>
            <w:vAlign w:val="center"/>
          </w:tcPr>
          <w:p w:rsidR="004F5C45" w:rsidRDefault="00155C02">
            <w:pPr>
              <w:jc w:val="right"/>
            </w:pPr>
            <w:r>
              <w:rPr>
                <w:color w:val="000000"/>
                <w:sz w:val="24"/>
                <w:szCs w:val="24"/>
              </w:rPr>
              <w:t>2,746,309</w:t>
            </w:r>
          </w:p>
        </w:tc>
        <w:tc>
          <w:tcPr>
            <w:tcW w:w="1924" w:type="dxa"/>
            <w:vAlign w:val="center"/>
          </w:tcPr>
          <w:p w:rsidR="004F5C45" w:rsidRDefault="00155C02">
            <w:pPr>
              <w:jc w:val="right"/>
            </w:pPr>
            <w:r>
              <w:rPr>
                <w:color w:val="000000"/>
                <w:sz w:val="24"/>
                <w:szCs w:val="24"/>
              </w:rPr>
              <w:t>71,404,034.00</w:t>
            </w:r>
          </w:p>
        </w:tc>
        <w:tc>
          <w:tcPr>
            <w:tcW w:w="1644" w:type="dxa"/>
            <w:vAlign w:val="center"/>
          </w:tcPr>
          <w:p w:rsidR="004F5C45" w:rsidRDefault="00155C02">
            <w:pPr>
              <w:jc w:val="right"/>
            </w:pPr>
            <w:r>
              <w:rPr>
                <w:color w:val="000000"/>
                <w:sz w:val="24"/>
                <w:szCs w:val="24"/>
              </w:rPr>
              <w:t>2.71</w:t>
            </w:r>
          </w:p>
        </w:tc>
      </w:tr>
      <w:tr w:rsidR="004F5C45">
        <w:trPr>
          <w:jc w:val="center"/>
        </w:trPr>
        <w:tc>
          <w:tcPr>
            <w:tcW w:w="855" w:type="dxa"/>
            <w:vAlign w:val="center"/>
          </w:tcPr>
          <w:p w:rsidR="004F5C45" w:rsidRDefault="00155C02">
            <w:pPr>
              <w:jc w:val="center"/>
            </w:pPr>
            <w:r>
              <w:rPr>
                <w:color w:val="000000"/>
                <w:sz w:val="24"/>
                <w:szCs w:val="24"/>
              </w:rPr>
              <w:t>9</w:t>
            </w:r>
          </w:p>
        </w:tc>
        <w:tc>
          <w:tcPr>
            <w:tcW w:w="1334" w:type="dxa"/>
            <w:vAlign w:val="center"/>
          </w:tcPr>
          <w:p w:rsidR="004F5C45" w:rsidRDefault="00155C02">
            <w:pPr>
              <w:jc w:val="center"/>
            </w:pPr>
            <w:r>
              <w:rPr>
                <w:color w:val="000000"/>
                <w:sz w:val="24"/>
                <w:szCs w:val="24"/>
              </w:rPr>
              <w:t>002045</w:t>
            </w:r>
          </w:p>
        </w:tc>
        <w:tc>
          <w:tcPr>
            <w:tcW w:w="1777" w:type="dxa"/>
            <w:vAlign w:val="center"/>
          </w:tcPr>
          <w:p w:rsidR="004F5C45" w:rsidRDefault="00155C02">
            <w:pPr>
              <w:jc w:val="center"/>
            </w:pPr>
            <w:r>
              <w:rPr>
                <w:color w:val="000000"/>
                <w:sz w:val="24"/>
                <w:szCs w:val="24"/>
              </w:rPr>
              <w:t>国光电器</w:t>
            </w:r>
          </w:p>
        </w:tc>
        <w:tc>
          <w:tcPr>
            <w:tcW w:w="1334" w:type="dxa"/>
            <w:vAlign w:val="center"/>
          </w:tcPr>
          <w:p w:rsidR="004F5C45" w:rsidRDefault="00155C02">
            <w:pPr>
              <w:jc w:val="right"/>
            </w:pPr>
            <w:r>
              <w:rPr>
                <w:color w:val="000000"/>
                <w:sz w:val="24"/>
                <w:szCs w:val="24"/>
              </w:rPr>
              <w:t>5,511,000</w:t>
            </w:r>
          </w:p>
        </w:tc>
        <w:tc>
          <w:tcPr>
            <w:tcW w:w="1924" w:type="dxa"/>
            <w:vAlign w:val="center"/>
          </w:tcPr>
          <w:p w:rsidR="004F5C45" w:rsidRDefault="00155C02">
            <w:pPr>
              <w:jc w:val="right"/>
            </w:pPr>
            <w:r>
              <w:rPr>
                <w:color w:val="000000"/>
                <w:sz w:val="24"/>
                <w:szCs w:val="24"/>
              </w:rPr>
              <w:t>68,611,950.00</w:t>
            </w:r>
          </w:p>
        </w:tc>
        <w:tc>
          <w:tcPr>
            <w:tcW w:w="1644" w:type="dxa"/>
            <w:vAlign w:val="center"/>
          </w:tcPr>
          <w:p w:rsidR="004F5C45" w:rsidRDefault="00155C02">
            <w:pPr>
              <w:jc w:val="right"/>
            </w:pPr>
            <w:r>
              <w:rPr>
                <w:color w:val="000000"/>
                <w:sz w:val="24"/>
                <w:szCs w:val="24"/>
              </w:rPr>
              <w:t>2.61</w:t>
            </w:r>
          </w:p>
        </w:tc>
      </w:tr>
      <w:tr w:rsidR="004F5C45">
        <w:trPr>
          <w:jc w:val="center"/>
        </w:trPr>
        <w:tc>
          <w:tcPr>
            <w:tcW w:w="855" w:type="dxa"/>
            <w:vAlign w:val="center"/>
          </w:tcPr>
          <w:p w:rsidR="004F5C45" w:rsidRDefault="00155C02">
            <w:pPr>
              <w:jc w:val="center"/>
            </w:pPr>
            <w:r>
              <w:rPr>
                <w:color w:val="000000"/>
                <w:sz w:val="24"/>
                <w:szCs w:val="24"/>
              </w:rPr>
              <w:t>10</w:t>
            </w:r>
          </w:p>
        </w:tc>
        <w:tc>
          <w:tcPr>
            <w:tcW w:w="1334" w:type="dxa"/>
            <w:vAlign w:val="center"/>
          </w:tcPr>
          <w:p w:rsidR="004F5C45" w:rsidRDefault="00155C02">
            <w:pPr>
              <w:jc w:val="center"/>
            </w:pPr>
            <w:r>
              <w:rPr>
                <w:color w:val="000000"/>
                <w:sz w:val="24"/>
                <w:szCs w:val="24"/>
              </w:rPr>
              <w:t>002635</w:t>
            </w:r>
          </w:p>
        </w:tc>
        <w:tc>
          <w:tcPr>
            <w:tcW w:w="1777" w:type="dxa"/>
            <w:vAlign w:val="center"/>
          </w:tcPr>
          <w:p w:rsidR="004F5C45" w:rsidRDefault="00155C02">
            <w:pPr>
              <w:jc w:val="center"/>
            </w:pPr>
            <w:r>
              <w:rPr>
                <w:color w:val="000000"/>
                <w:sz w:val="24"/>
                <w:szCs w:val="24"/>
              </w:rPr>
              <w:t>安洁科技</w:t>
            </w:r>
          </w:p>
        </w:tc>
        <w:tc>
          <w:tcPr>
            <w:tcW w:w="1334" w:type="dxa"/>
            <w:vAlign w:val="center"/>
          </w:tcPr>
          <w:p w:rsidR="004F5C45" w:rsidRDefault="00155C02">
            <w:pPr>
              <w:jc w:val="right"/>
            </w:pPr>
            <w:r>
              <w:rPr>
                <w:color w:val="000000"/>
                <w:sz w:val="24"/>
                <w:szCs w:val="24"/>
              </w:rPr>
              <w:t>1,856,500</w:t>
            </w:r>
          </w:p>
        </w:tc>
        <w:tc>
          <w:tcPr>
            <w:tcW w:w="1924" w:type="dxa"/>
            <w:vAlign w:val="center"/>
          </w:tcPr>
          <w:p w:rsidR="004F5C45" w:rsidRDefault="00155C02">
            <w:pPr>
              <w:jc w:val="right"/>
            </w:pPr>
            <w:r>
              <w:rPr>
                <w:color w:val="000000"/>
                <w:sz w:val="24"/>
                <w:szCs w:val="24"/>
              </w:rPr>
              <w:t>62,638,310.00</w:t>
            </w:r>
          </w:p>
        </w:tc>
        <w:tc>
          <w:tcPr>
            <w:tcW w:w="1644" w:type="dxa"/>
            <w:vAlign w:val="center"/>
          </w:tcPr>
          <w:p w:rsidR="004F5C45" w:rsidRDefault="00155C02">
            <w:pPr>
              <w:jc w:val="right"/>
            </w:pPr>
            <w:r>
              <w:rPr>
                <w:color w:val="000000"/>
                <w:sz w:val="24"/>
                <w:szCs w:val="24"/>
              </w:rPr>
              <w:t>2.38</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99,850,000.00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3.80</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99,850,000.00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3.80</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99,850,000.00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3.80</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4F5C45">
        <w:trPr>
          <w:jc w:val="center"/>
        </w:trPr>
        <w:tc>
          <w:tcPr>
            <w:tcW w:w="850" w:type="dxa"/>
            <w:vAlign w:val="center"/>
          </w:tcPr>
          <w:p w:rsidR="004F5C45" w:rsidRDefault="00155C02">
            <w:pPr>
              <w:jc w:val="center"/>
            </w:pPr>
            <w:r>
              <w:rPr>
                <w:color w:val="000000"/>
                <w:sz w:val="24"/>
                <w:szCs w:val="24"/>
              </w:rPr>
              <w:t>1</w:t>
            </w:r>
          </w:p>
        </w:tc>
        <w:tc>
          <w:tcPr>
            <w:tcW w:w="1475" w:type="dxa"/>
            <w:vAlign w:val="center"/>
          </w:tcPr>
          <w:p w:rsidR="004F5C45" w:rsidRDefault="00155C02">
            <w:pPr>
              <w:jc w:val="center"/>
            </w:pPr>
            <w:r>
              <w:rPr>
                <w:color w:val="000000"/>
                <w:sz w:val="24"/>
                <w:szCs w:val="24"/>
              </w:rPr>
              <w:t>160304</w:t>
            </w:r>
          </w:p>
        </w:tc>
        <w:tc>
          <w:tcPr>
            <w:tcW w:w="1769" w:type="dxa"/>
            <w:vAlign w:val="center"/>
          </w:tcPr>
          <w:p w:rsidR="004F5C45" w:rsidRDefault="00155C02">
            <w:pPr>
              <w:jc w:val="center"/>
            </w:pPr>
            <w:r>
              <w:rPr>
                <w:color w:val="000000"/>
                <w:sz w:val="24"/>
                <w:szCs w:val="24"/>
              </w:rPr>
              <w:t>16</w:t>
            </w:r>
            <w:r>
              <w:rPr>
                <w:color w:val="000000"/>
                <w:sz w:val="24"/>
                <w:szCs w:val="24"/>
              </w:rPr>
              <w:t>进出</w:t>
            </w:r>
            <w:r>
              <w:rPr>
                <w:color w:val="000000"/>
                <w:sz w:val="24"/>
                <w:szCs w:val="24"/>
              </w:rPr>
              <w:t>04</w:t>
            </w:r>
          </w:p>
        </w:tc>
        <w:tc>
          <w:tcPr>
            <w:tcW w:w="1387" w:type="dxa"/>
            <w:vAlign w:val="center"/>
          </w:tcPr>
          <w:p w:rsidR="004F5C45" w:rsidRDefault="00155C02">
            <w:pPr>
              <w:jc w:val="right"/>
            </w:pPr>
            <w:r>
              <w:rPr>
                <w:color w:val="000000"/>
                <w:sz w:val="24"/>
                <w:szCs w:val="24"/>
              </w:rPr>
              <w:t>1,000,000</w:t>
            </w:r>
          </w:p>
        </w:tc>
        <w:tc>
          <w:tcPr>
            <w:tcW w:w="2150" w:type="dxa"/>
            <w:vAlign w:val="center"/>
          </w:tcPr>
          <w:p w:rsidR="004F5C45" w:rsidRDefault="00155C02">
            <w:pPr>
              <w:jc w:val="right"/>
            </w:pPr>
            <w:r>
              <w:rPr>
                <w:color w:val="000000"/>
                <w:sz w:val="24"/>
                <w:szCs w:val="24"/>
              </w:rPr>
              <w:t>99,850,000.00</w:t>
            </w:r>
          </w:p>
        </w:tc>
        <w:tc>
          <w:tcPr>
            <w:tcW w:w="1237" w:type="dxa"/>
            <w:vAlign w:val="center"/>
          </w:tcPr>
          <w:p w:rsidR="004F5C45" w:rsidRDefault="00155C02">
            <w:pPr>
              <w:jc w:val="right"/>
            </w:pPr>
            <w:r>
              <w:rPr>
                <w:color w:val="000000"/>
                <w:sz w:val="24"/>
                <w:szCs w:val="24"/>
              </w:rPr>
              <w:t>3.80</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报告期内本基金投资的前十名证券的发行主体除金龙汽车（证券代码：</w:t>
      </w:r>
      <w:r w:rsidRPr="00BE5388">
        <w:rPr>
          <w:bCs/>
          <w:color w:val="000000"/>
          <w:kern w:val="0"/>
          <w:sz w:val="24"/>
          <w:szCs w:val="24"/>
        </w:rPr>
        <w:t>600686</w:t>
      </w:r>
      <w:r w:rsidRPr="00BE5388">
        <w:rPr>
          <w:bCs/>
          <w:color w:val="000000"/>
          <w:kern w:val="0"/>
          <w:sz w:val="24"/>
          <w:szCs w:val="24"/>
        </w:rPr>
        <w:t>）外，未出现被监管部门立案调查，或在报告编制日前一年内受到公开谴责、处罚的情形。</w:t>
      </w:r>
    </w:p>
    <w:p w:rsidR="004F5C45" w:rsidRDefault="00155C02">
      <w:pPr>
        <w:autoSpaceDE w:val="0"/>
        <w:autoSpaceDN w:val="0"/>
        <w:adjustRightInd w:val="0"/>
        <w:spacing w:before="29" w:line="288" w:lineRule="auto"/>
        <w:jc w:val="left"/>
        <w:rPr>
          <w:bCs/>
          <w:color w:val="000000"/>
          <w:kern w:val="0"/>
          <w:sz w:val="24"/>
          <w:szCs w:val="24"/>
        </w:rPr>
      </w:pPr>
      <w:r>
        <w:rPr>
          <w:bCs/>
          <w:color w:val="000000"/>
          <w:kern w:val="0"/>
          <w:sz w:val="24"/>
          <w:szCs w:val="24"/>
        </w:rPr>
        <w:t>报告期内本基金投资的前十名证券之一金龙汽车（证券代码：</w:t>
      </w:r>
      <w:r>
        <w:rPr>
          <w:bCs/>
          <w:color w:val="000000"/>
          <w:kern w:val="0"/>
          <w:sz w:val="24"/>
          <w:szCs w:val="24"/>
        </w:rPr>
        <w:t>600686</w:t>
      </w:r>
      <w:r>
        <w:rPr>
          <w:bCs/>
          <w:color w:val="000000"/>
          <w:kern w:val="0"/>
          <w:sz w:val="24"/>
          <w:szCs w:val="24"/>
        </w:rPr>
        <w:t>）于</w:t>
      </w:r>
      <w:r>
        <w:rPr>
          <w:bCs/>
          <w:color w:val="000000"/>
          <w:kern w:val="0"/>
          <w:sz w:val="24"/>
          <w:szCs w:val="24"/>
        </w:rPr>
        <w:t>2016</w:t>
      </w:r>
      <w:r>
        <w:rPr>
          <w:bCs/>
          <w:color w:val="000000"/>
          <w:kern w:val="0"/>
          <w:sz w:val="24"/>
          <w:szCs w:val="24"/>
        </w:rPr>
        <w:t>年</w:t>
      </w:r>
      <w:r>
        <w:rPr>
          <w:bCs/>
          <w:color w:val="000000"/>
          <w:kern w:val="0"/>
          <w:sz w:val="24"/>
          <w:szCs w:val="24"/>
        </w:rPr>
        <w:t>11</w:t>
      </w:r>
      <w:r>
        <w:rPr>
          <w:bCs/>
          <w:color w:val="000000"/>
          <w:kern w:val="0"/>
          <w:sz w:val="24"/>
          <w:szCs w:val="24"/>
        </w:rPr>
        <w:t>月</w:t>
      </w:r>
      <w:r>
        <w:rPr>
          <w:bCs/>
          <w:color w:val="000000"/>
          <w:kern w:val="0"/>
          <w:sz w:val="24"/>
          <w:szCs w:val="24"/>
        </w:rPr>
        <w:t>29</w:t>
      </w:r>
      <w:r>
        <w:rPr>
          <w:bCs/>
          <w:color w:val="000000"/>
          <w:kern w:val="0"/>
          <w:sz w:val="24"/>
          <w:szCs w:val="24"/>
        </w:rPr>
        <w:t>日公告，公司控股子公司金龙联合汽车工业（苏州）有限公司因违反了《财政违法行为处罚处分条例》、《私人购买新能源汽车试点财政补助资金管理暂行办法》和《财政部</w:t>
      </w:r>
      <w:r>
        <w:rPr>
          <w:bCs/>
          <w:color w:val="000000"/>
          <w:kern w:val="0"/>
          <w:sz w:val="24"/>
          <w:szCs w:val="24"/>
        </w:rPr>
        <w:t xml:space="preserve"> </w:t>
      </w:r>
      <w:r>
        <w:rPr>
          <w:bCs/>
          <w:color w:val="000000"/>
          <w:kern w:val="0"/>
          <w:sz w:val="24"/>
          <w:szCs w:val="24"/>
        </w:rPr>
        <w:t>科技部</w:t>
      </w:r>
      <w:r>
        <w:rPr>
          <w:bCs/>
          <w:color w:val="000000"/>
          <w:kern w:val="0"/>
          <w:sz w:val="24"/>
          <w:szCs w:val="24"/>
        </w:rPr>
        <w:t xml:space="preserve"> </w:t>
      </w:r>
      <w:r>
        <w:rPr>
          <w:bCs/>
          <w:color w:val="000000"/>
          <w:kern w:val="0"/>
          <w:sz w:val="24"/>
          <w:szCs w:val="24"/>
        </w:rPr>
        <w:t>工业和信息化部</w:t>
      </w:r>
      <w:r>
        <w:rPr>
          <w:bCs/>
          <w:color w:val="000000"/>
          <w:kern w:val="0"/>
          <w:sz w:val="24"/>
          <w:szCs w:val="24"/>
        </w:rPr>
        <w:t xml:space="preserve"> </w:t>
      </w:r>
      <w:r>
        <w:rPr>
          <w:bCs/>
          <w:color w:val="000000"/>
          <w:kern w:val="0"/>
          <w:sz w:val="24"/>
          <w:szCs w:val="24"/>
        </w:rPr>
        <w:t>发展改革委关于继续开展新能源汽车推广应用工作的通知》的有关规定，于</w:t>
      </w:r>
      <w:r>
        <w:rPr>
          <w:bCs/>
          <w:color w:val="000000"/>
          <w:kern w:val="0"/>
          <w:sz w:val="24"/>
          <w:szCs w:val="24"/>
        </w:rPr>
        <w:t>2016</w:t>
      </w:r>
      <w:r>
        <w:rPr>
          <w:bCs/>
          <w:color w:val="000000"/>
          <w:kern w:val="0"/>
          <w:sz w:val="24"/>
          <w:szCs w:val="24"/>
        </w:rPr>
        <w:t>年</w:t>
      </w:r>
      <w:r>
        <w:rPr>
          <w:bCs/>
          <w:color w:val="000000"/>
          <w:kern w:val="0"/>
          <w:sz w:val="24"/>
          <w:szCs w:val="24"/>
        </w:rPr>
        <w:t>11</w:t>
      </w:r>
      <w:r>
        <w:rPr>
          <w:bCs/>
          <w:color w:val="000000"/>
          <w:kern w:val="0"/>
          <w:sz w:val="24"/>
          <w:szCs w:val="24"/>
        </w:rPr>
        <w:t>月</w:t>
      </w:r>
      <w:r>
        <w:rPr>
          <w:bCs/>
          <w:color w:val="000000"/>
          <w:kern w:val="0"/>
          <w:sz w:val="24"/>
          <w:szCs w:val="24"/>
        </w:rPr>
        <w:t>25</w:t>
      </w:r>
      <w:r>
        <w:rPr>
          <w:bCs/>
          <w:color w:val="000000"/>
          <w:kern w:val="0"/>
          <w:sz w:val="24"/>
          <w:szCs w:val="24"/>
        </w:rPr>
        <w:t>日收到财政部下发的《财政部行政处罚决定书》（财监</w:t>
      </w:r>
      <w:r>
        <w:rPr>
          <w:bCs/>
          <w:color w:val="000000"/>
          <w:kern w:val="0"/>
          <w:sz w:val="24"/>
          <w:szCs w:val="24"/>
        </w:rPr>
        <w:t>[2016]46</w:t>
      </w:r>
      <w:r>
        <w:rPr>
          <w:bCs/>
          <w:color w:val="000000"/>
          <w:kern w:val="0"/>
          <w:sz w:val="24"/>
          <w:szCs w:val="24"/>
        </w:rPr>
        <w:t>号）和《财政部关于金龙联合汽车工业</w:t>
      </w:r>
      <w:r w:rsidR="007E6EC1">
        <w:rPr>
          <w:rFonts w:hint="eastAsia"/>
          <w:bCs/>
          <w:color w:val="000000"/>
          <w:kern w:val="0"/>
          <w:sz w:val="24"/>
          <w:szCs w:val="24"/>
        </w:rPr>
        <w:t>（</w:t>
      </w:r>
      <w:r>
        <w:rPr>
          <w:bCs/>
          <w:color w:val="000000"/>
          <w:kern w:val="0"/>
          <w:sz w:val="24"/>
          <w:szCs w:val="24"/>
        </w:rPr>
        <w:t>苏州</w:t>
      </w:r>
      <w:r w:rsidR="007E6EC1">
        <w:rPr>
          <w:rFonts w:hint="eastAsia"/>
          <w:bCs/>
          <w:color w:val="000000"/>
          <w:kern w:val="0"/>
          <w:sz w:val="24"/>
          <w:szCs w:val="24"/>
        </w:rPr>
        <w:t>）</w:t>
      </w:r>
      <w:r>
        <w:rPr>
          <w:bCs/>
          <w:color w:val="000000"/>
          <w:kern w:val="0"/>
          <w:sz w:val="24"/>
          <w:szCs w:val="24"/>
        </w:rPr>
        <w:t>有限公司新能源汽车推广应用补助资金专项检查的处理决定》</w:t>
      </w:r>
      <w:r w:rsidR="007E6EC1">
        <w:rPr>
          <w:rFonts w:hint="eastAsia"/>
          <w:bCs/>
          <w:color w:val="000000"/>
          <w:kern w:val="0"/>
          <w:sz w:val="24"/>
          <w:szCs w:val="24"/>
        </w:rPr>
        <w:t>（</w:t>
      </w:r>
      <w:r>
        <w:rPr>
          <w:bCs/>
          <w:color w:val="000000"/>
          <w:kern w:val="0"/>
          <w:sz w:val="24"/>
          <w:szCs w:val="24"/>
        </w:rPr>
        <w:t>财监</w:t>
      </w:r>
      <w:r>
        <w:rPr>
          <w:bCs/>
          <w:color w:val="000000"/>
          <w:kern w:val="0"/>
          <w:sz w:val="24"/>
          <w:szCs w:val="24"/>
        </w:rPr>
        <w:t>[2016]50</w:t>
      </w:r>
      <w:r>
        <w:rPr>
          <w:bCs/>
          <w:color w:val="000000"/>
          <w:kern w:val="0"/>
          <w:sz w:val="24"/>
          <w:szCs w:val="24"/>
        </w:rPr>
        <w:t>号</w:t>
      </w:r>
      <w:r w:rsidR="007E6EC1">
        <w:rPr>
          <w:rFonts w:hint="eastAsia"/>
          <w:bCs/>
          <w:color w:val="000000"/>
          <w:kern w:val="0"/>
          <w:sz w:val="24"/>
          <w:szCs w:val="24"/>
        </w:rPr>
        <w:t>）</w:t>
      </w:r>
      <w:r>
        <w:rPr>
          <w:bCs/>
          <w:color w:val="000000"/>
          <w:kern w:val="0"/>
          <w:sz w:val="24"/>
          <w:szCs w:val="24"/>
        </w:rPr>
        <w:t>。据此，财政部决定对苏州金龙公司作出按违规问题金额的</w:t>
      </w:r>
      <w:r>
        <w:rPr>
          <w:bCs/>
          <w:color w:val="000000"/>
          <w:kern w:val="0"/>
          <w:sz w:val="24"/>
          <w:szCs w:val="24"/>
        </w:rPr>
        <w:t>50%</w:t>
      </w:r>
      <w:r>
        <w:rPr>
          <w:bCs/>
          <w:color w:val="000000"/>
          <w:kern w:val="0"/>
          <w:sz w:val="24"/>
          <w:szCs w:val="24"/>
        </w:rPr>
        <w:t>处以</w:t>
      </w:r>
      <w:r>
        <w:rPr>
          <w:bCs/>
          <w:color w:val="000000"/>
          <w:kern w:val="0"/>
          <w:sz w:val="24"/>
          <w:szCs w:val="24"/>
        </w:rPr>
        <w:t>25,960.5</w:t>
      </w:r>
      <w:r>
        <w:rPr>
          <w:bCs/>
          <w:color w:val="000000"/>
          <w:kern w:val="0"/>
          <w:sz w:val="24"/>
          <w:szCs w:val="24"/>
        </w:rPr>
        <w:t>万元罚款的行政处罚；财政部决定追回苏州金龙公司</w:t>
      </w:r>
      <w:r>
        <w:rPr>
          <w:bCs/>
          <w:color w:val="000000"/>
          <w:kern w:val="0"/>
          <w:sz w:val="24"/>
          <w:szCs w:val="24"/>
        </w:rPr>
        <w:t>2015</w:t>
      </w:r>
      <w:r>
        <w:rPr>
          <w:bCs/>
          <w:color w:val="000000"/>
          <w:kern w:val="0"/>
          <w:sz w:val="24"/>
          <w:szCs w:val="24"/>
        </w:rPr>
        <w:t>年中央财政预拨资金</w:t>
      </w:r>
      <w:r>
        <w:rPr>
          <w:bCs/>
          <w:color w:val="000000"/>
          <w:kern w:val="0"/>
          <w:sz w:val="24"/>
          <w:szCs w:val="24"/>
        </w:rPr>
        <w:t>51,921</w:t>
      </w:r>
      <w:r>
        <w:rPr>
          <w:bCs/>
          <w:color w:val="000000"/>
          <w:kern w:val="0"/>
          <w:sz w:val="24"/>
          <w:szCs w:val="24"/>
        </w:rPr>
        <w:t>万元，该笔资金将在</w:t>
      </w:r>
      <w:r>
        <w:rPr>
          <w:bCs/>
          <w:color w:val="000000"/>
          <w:kern w:val="0"/>
          <w:sz w:val="24"/>
          <w:szCs w:val="24"/>
        </w:rPr>
        <w:t>2015</w:t>
      </w:r>
      <w:r>
        <w:rPr>
          <w:bCs/>
          <w:color w:val="000000"/>
          <w:kern w:val="0"/>
          <w:sz w:val="24"/>
          <w:szCs w:val="24"/>
        </w:rPr>
        <w:t>年度资金清算过程中予以扣减；从</w:t>
      </w:r>
      <w:r>
        <w:rPr>
          <w:bCs/>
          <w:color w:val="000000"/>
          <w:kern w:val="0"/>
          <w:sz w:val="24"/>
          <w:szCs w:val="24"/>
        </w:rPr>
        <w:t>2016</w:t>
      </w:r>
      <w:r>
        <w:rPr>
          <w:bCs/>
          <w:color w:val="000000"/>
          <w:kern w:val="0"/>
          <w:sz w:val="24"/>
          <w:szCs w:val="24"/>
        </w:rPr>
        <w:t>年起取消苏州金龙公司中央财政补助资格。公司于</w:t>
      </w:r>
      <w:r>
        <w:rPr>
          <w:bCs/>
          <w:color w:val="000000"/>
          <w:kern w:val="0"/>
          <w:sz w:val="24"/>
          <w:szCs w:val="24"/>
        </w:rPr>
        <w:t>2016</w:t>
      </w:r>
      <w:r>
        <w:rPr>
          <w:bCs/>
          <w:color w:val="000000"/>
          <w:kern w:val="0"/>
          <w:sz w:val="24"/>
          <w:szCs w:val="24"/>
        </w:rPr>
        <w:t>年</w:t>
      </w:r>
      <w:r>
        <w:rPr>
          <w:bCs/>
          <w:color w:val="000000"/>
          <w:kern w:val="0"/>
          <w:sz w:val="24"/>
          <w:szCs w:val="24"/>
        </w:rPr>
        <w:t>12</w:t>
      </w:r>
      <w:r>
        <w:rPr>
          <w:bCs/>
          <w:color w:val="000000"/>
          <w:kern w:val="0"/>
          <w:sz w:val="24"/>
          <w:szCs w:val="24"/>
        </w:rPr>
        <w:t>月</w:t>
      </w:r>
      <w:r>
        <w:rPr>
          <w:bCs/>
          <w:color w:val="000000"/>
          <w:kern w:val="0"/>
          <w:sz w:val="24"/>
          <w:szCs w:val="24"/>
        </w:rPr>
        <w:t>23</w:t>
      </w:r>
      <w:r>
        <w:rPr>
          <w:bCs/>
          <w:color w:val="000000"/>
          <w:kern w:val="0"/>
          <w:sz w:val="24"/>
          <w:szCs w:val="24"/>
        </w:rPr>
        <w:t>日公告，公司控股子公司金龙联合汽车工业（苏州）有限公司因违反《道路机动车辆生产企业及产品公告》管理中关于生产一致性和合格证管理的相关规定，于</w:t>
      </w:r>
      <w:r>
        <w:rPr>
          <w:bCs/>
          <w:color w:val="000000"/>
          <w:kern w:val="0"/>
          <w:sz w:val="24"/>
          <w:szCs w:val="24"/>
        </w:rPr>
        <w:t>2016</w:t>
      </w:r>
      <w:r>
        <w:rPr>
          <w:bCs/>
          <w:color w:val="000000"/>
          <w:kern w:val="0"/>
          <w:sz w:val="24"/>
          <w:szCs w:val="24"/>
        </w:rPr>
        <w:t>年</w:t>
      </w:r>
      <w:r>
        <w:rPr>
          <w:bCs/>
          <w:color w:val="000000"/>
          <w:kern w:val="0"/>
          <w:sz w:val="24"/>
          <w:szCs w:val="24"/>
        </w:rPr>
        <w:t>12</w:t>
      </w:r>
      <w:r>
        <w:rPr>
          <w:bCs/>
          <w:color w:val="000000"/>
          <w:kern w:val="0"/>
          <w:sz w:val="24"/>
          <w:szCs w:val="24"/>
        </w:rPr>
        <w:t>月</w:t>
      </w:r>
      <w:r>
        <w:rPr>
          <w:bCs/>
          <w:color w:val="000000"/>
          <w:kern w:val="0"/>
          <w:sz w:val="24"/>
          <w:szCs w:val="24"/>
        </w:rPr>
        <w:t>21</w:t>
      </w:r>
      <w:r>
        <w:rPr>
          <w:bCs/>
          <w:color w:val="000000"/>
          <w:kern w:val="0"/>
          <w:sz w:val="24"/>
          <w:szCs w:val="24"/>
        </w:rPr>
        <w:t>日收到中华人民共和国工业和信息化部下发的《工业和信息化部行政处罚决定书》（工信装罚</w:t>
      </w:r>
      <w:r>
        <w:rPr>
          <w:bCs/>
          <w:color w:val="000000"/>
          <w:kern w:val="0"/>
          <w:sz w:val="24"/>
          <w:szCs w:val="24"/>
        </w:rPr>
        <w:t>[2016]002</w:t>
      </w:r>
      <w:r>
        <w:rPr>
          <w:bCs/>
          <w:color w:val="000000"/>
          <w:kern w:val="0"/>
          <w:sz w:val="24"/>
          <w:szCs w:val="24"/>
        </w:rPr>
        <w:t>号</w:t>
      </w:r>
      <w:r w:rsidR="007E6EC1">
        <w:rPr>
          <w:rFonts w:hint="eastAsia"/>
          <w:bCs/>
          <w:color w:val="000000"/>
          <w:kern w:val="0"/>
          <w:sz w:val="24"/>
          <w:szCs w:val="24"/>
        </w:rPr>
        <w:t>）</w:t>
      </w:r>
      <w:r>
        <w:rPr>
          <w:bCs/>
          <w:color w:val="000000"/>
          <w:kern w:val="0"/>
          <w:sz w:val="24"/>
          <w:szCs w:val="24"/>
        </w:rPr>
        <w:t>。据此，工信部决定对苏州金龙公司给予以下行政处罚：（一）责令苏州金龙公司停止生产和销售问题车型。（二）暂停苏州金龙公司申报新能源汽车推广应用推荐车型资质，并将问题车型从《新能源汽车推广应用推荐车型目录》中剔除。（三）责成苏州金龙公司进行为期</w:t>
      </w:r>
      <w:r>
        <w:rPr>
          <w:bCs/>
          <w:color w:val="000000"/>
          <w:kern w:val="0"/>
          <w:sz w:val="24"/>
          <w:szCs w:val="24"/>
        </w:rPr>
        <w:t>6</w:t>
      </w:r>
      <w:r>
        <w:rPr>
          <w:bCs/>
          <w:color w:val="000000"/>
          <w:kern w:val="0"/>
          <w:sz w:val="24"/>
          <w:szCs w:val="24"/>
        </w:rPr>
        <w:t>个月整改，整改完成后，工信部将对整改情况进行验收。</w:t>
      </w:r>
    </w:p>
    <w:p w:rsidR="004F5C45" w:rsidRDefault="00155C02">
      <w:pPr>
        <w:autoSpaceDE w:val="0"/>
        <w:autoSpaceDN w:val="0"/>
        <w:adjustRightInd w:val="0"/>
        <w:spacing w:before="29" w:line="288" w:lineRule="auto"/>
        <w:jc w:val="left"/>
        <w:rPr>
          <w:bCs/>
          <w:color w:val="000000"/>
          <w:kern w:val="0"/>
          <w:sz w:val="24"/>
          <w:szCs w:val="24"/>
        </w:rPr>
      </w:pPr>
      <w:r>
        <w:rPr>
          <w:bCs/>
          <w:color w:val="000000"/>
          <w:kern w:val="0"/>
          <w:sz w:val="24"/>
          <w:szCs w:val="24"/>
        </w:rPr>
        <w:lastRenderedPageBreak/>
        <w:t>本基金管理人对该证券投资决策程序的说明如下：本基金管理人对证券投资特别是重仓股的投资有严格的投资决策流程控制。本基金在对该证券的投资也严格执行投资决策流程。在对该证券的选择上，严格执行公司股票池审核流程进入公司核心股票池。在对该证券的持有过程中公司研究员密切关注上市公司动向。在上述事件发生时及时分析其对投资决策的影响，经过分析认为上述事件对上市公司财务状况、经营成果和现金流量未产生重大的实质性影响，所以不影响对该公司基本面和公司治理的投资判断。</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1,894,243.68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9,867,274.79</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1,960,829.36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6,808,568.24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20,530,916.07</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E62FB" w:rsidRPr="00414345" w:rsidTr="00BC216C">
        <w:trPr>
          <w:jc w:val="center"/>
        </w:trPr>
        <w:tc>
          <w:tcPr>
            <w:tcW w:w="1083"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AC063D" w:rsidRPr="00414345">
              <w:rPr>
                <w:color w:val="000000"/>
                <w:sz w:val="24"/>
                <w:szCs w:val="24"/>
              </w:rPr>
              <w:t>(</w:t>
            </w:r>
            <w:r w:rsidR="00AC063D" w:rsidRPr="00414345">
              <w:rPr>
                <w:color w:val="000000"/>
                <w:sz w:val="24"/>
                <w:szCs w:val="24"/>
              </w:rPr>
              <w:t>％</w:t>
            </w:r>
            <w:r w:rsidR="00AC063D" w:rsidRPr="00414345">
              <w:rPr>
                <w:color w:val="000000"/>
                <w:sz w:val="24"/>
                <w:szCs w:val="24"/>
              </w:rPr>
              <w:t>)</w:t>
            </w:r>
          </w:p>
        </w:tc>
        <w:tc>
          <w:tcPr>
            <w:tcW w:w="136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rsidR="004F5C45">
        <w:trPr>
          <w:jc w:val="center"/>
        </w:trPr>
        <w:tc>
          <w:tcPr>
            <w:tcW w:w="1129" w:type="dxa"/>
            <w:vAlign w:val="center"/>
          </w:tcPr>
          <w:p w:rsidR="004F5C45" w:rsidRDefault="00155C02">
            <w:pPr>
              <w:jc w:val="center"/>
            </w:pPr>
            <w:r>
              <w:rPr>
                <w:color w:val="000000"/>
                <w:sz w:val="24"/>
                <w:szCs w:val="24"/>
              </w:rPr>
              <w:t>1</w:t>
            </w:r>
          </w:p>
        </w:tc>
        <w:tc>
          <w:tcPr>
            <w:tcW w:w="1356" w:type="dxa"/>
            <w:vAlign w:val="center"/>
          </w:tcPr>
          <w:p w:rsidR="004F5C45" w:rsidRDefault="00155C02">
            <w:pPr>
              <w:jc w:val="center"/>
            </w:pPr>
            <w:r>
              <w:rPr>
                <w:color w:val="000000"/>
                <w:sz w:val="24"/>
                <w:szCs w:val="24"/>
              </w:rPr>
              <w:t>000821</w:t>
            </w:r>
          </w:p>
        </w:tc>
        <w:tc>
          <w:tcPr>
            <w:tcW w:w="1355" w:type="dxa"/>
            <w:vAlign w:val="center"/>
          </w:tcPr>
          <w:p w:rsidR="004F5C45" w:rsidRDefault="00155C02">
            <w:pPr>
              <w:jc w:val="center"/>
            </w:pPr>
            <w:r>
              <w:rPr>
                <w:color w:val="000000"/>
                <w:sz w:val="24"/>
                <w:szCs w:val="24"/>
              </w:rPr>
              <w:t>京山轻机</w:t>
            </w:r>
          </w:p>
        </w:tc>
        <w:tc>
          <w:tcPr>
            <w:tcW w:w="1880" w:type="dxa"/>
            <w:vAlign w:val="center"/>
          </w:tcPr>
          <w:p w:rsidR="004F5C45" w:rsidRDefault="00155C02">
            <w:pPr>
              <w:jc w:val="right"/>
            </w:pPr>
            <w:r>
              <w:rPr>
                <w:color w:val="000000"/>
                <w:sz w:val="24"/>
                <w:szCs w:val="24"/>
              </w:rPr>
              <w:t>74,511,825.70</w:t>
            </w:r>
          </w:p>
        </w:tc>
        <w:tc>
          <w:tcPr>
            <w:tcW w:w="1724" w:type="dxa"/>
            <w:vAlign w:val="center"/>
          </w:tcPr>
          <w:p w:rsidR="004F5C45" w:rsidRDefault="00155C02">
            <w:pPr>
              <w:jc w:val="right"/>
            </w:pPr>
            <w:r>
              <w:rPr>
                <w:color w:val="000000"/>
                <w:sz w:val="24"/>
                <w:szCs w:val="24"/>
              </w:rPr>
              <w:t>2.83</w:t>
            </w:r>
          </w:p>
        </w:tc>
        <w:tc>
          <w:tcPr>
            <w:tcW w:w="1424" w:type="dxa"/>
            <w:vAlign w:val="center"/>
          </w:tcPr>
          <w:p w:rsidR="004F5C45" w:rsidRDefault="00155C02">
            <w:pPr>
              <w:jc w:val="right"/>
            </w:pPr>
            <w:r>
              <w:rPr>
                <w:color w:val="000000"/>
                <w:sz w:val="24"/>
                <w:szCs w:val="24"/>
              </w:rPr>
              <w:t>重大事项</w:t>
            </w:r>
          </w:p>
        </w:tc>
      </w:tr>
      <w:tr w:rsidR="004F5C45">
        <w:trPr>
          <w:jc w:val="center"/>
        </w:trPr>
        <w:tc>
          <w:tcPr>
            <w:tcW w:w="1129" w:type="dxa"/>
            <w:vAlign w:val="center"/>
          </w:tcPr>
          <w:p w:rsidR="004F5C45" w:rsidRDefault="00155C02">
            <w:pPr>
              <w:jc w:val="center"/>
            </w:pPr>
            <w:r>
              <w:rPr>
                <w:color w:val="000000"/>
                <w:sz w:val="24"/>
                <w:szCs w:val="24"/>
              </w:rPr>
              <w:t>2</w:t>
            </w:r>
          </w:p>
        </w:tc>
        <w:tc>
          <w:tcPr>
            <w:tcW w:w="1356" w:type="dxa"/>
            <w:vAlign w:val="center"/>
          </w:tcPr>
          <w:p w:rsidR="004F5C45" w:rsidRDefault="00155C02">
            <w:pPr>
              <w:jc w:val="center"/>
            </w:pPr>
            <w:r>
              <w:rPr>
                <w:color w:val="000000"/>
                <w:sz w:val="24"/>
                <w:szCs w:val="24"/>
              </w:rPr>
              <w:t>002635</w:t>
            </w:r>
          </w:p>
        </w:tc>
        <w:tc>
          <w:tcPr>
            <w:tcW w:w="1355" w:type="dxa"/>
            <w:vAlign w:val="center"/>
          </w:tcPr>
          <w:p w:rsidR="004F5C45" w:rsidRDefault="00155C02">
            <w:pPr>
              <w:jc w:val="center"/>
            </w:pPr>
            <w:r>
              <w:rPr>
                <w:color w:val="000000"/>
                <w:sz w:val="24"/>
                <w:szCs w:val="24"/>
              </w:rPr>
              <w:t>安洁科技</w:t>
            </w:r>
          </w:p>
        </w:tc>
        <w:tc>
          <w:tcPr>
            <w:tcW w:w="1880" w:type="dxa"/>
            <w:vAlign w:val="center"/>
          </w:tcPr>
          <w:p w:rsidR="004F5C45" w:rsidRDefault="00155C02">
            <w:pPr>
              <w:jc w:val="right"/>
            </w:pPr>
            <w:r>
              <w:rPr>
                <w:color w:val="000000"/>
                <w:sz w:val="24"/>
                <w:szCs w:val="24"/>
              </w:rPr>
              <w:t>62,638,310.00</w:t>
            </w:r>
          </w:p>
        </w:tc>
        <w:tc>
          <w:tcPr>
            <w:tcW w:w="1724" w:type="dxa"/>
            <w:vAlign w:val="center"/>
          </w:tcPr>
          <w:p w:rsidR="004F5C45" w:rsidRDefault="00155C02">
            <w:pPr>
              <w:jc w:val="right"/>
            </w:pPr>
            <w:r>
              <w:rPr>
                <w:color w:val="000000"/>
                <w:sz w:val="24"/>
                <w:szCs w:val="24"/>
              </w:rPr>
              <w:t>2.38</w:t>
            </w:r>
          </w:p>
        </w:tc>
        <w:tc>
          <w:tcPr>
            <w:tcW w:w="1424" w:type="dxa"/>
            <w:vAlign w:val="center"/>
          </w:tcPr>
          <w:p w:rsidR="004F5C45" w:rsidRDefault="00155C02">
            <w:pPr>
              <w:jc w:val="right"/>
            </w:pPr>
            <w:r>
              <w:rPr>
                <w:color w:val="000000"/>
                <w:sz w:val="24"/>
                <w:szCs w:val="24"/>
              </w:rPr>
              <w:t>重大事项</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lastRenderedPageBreak/>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609,876,438.15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734,993,774.60</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121,648,642.49</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1,223,221,570.26</w:t>
            </w:r>
          </w:p>
        </w:tc>
      </w:tr>
    </w:tbl>
    <w:p w:rsidR="004F5C45" w:rsidRDefault="00155C02">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AB6E79">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4F5C45" w:rsidRDefault="00155C02">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、中国证监会核准交银施罗德先进制造股票证券投资基金募集的文件；</w:t>
      </w:r>
      <w:r>
        <w:rPr>
          <w:color w:val="000000"/>
          <w:sz w:val="24"/>
          <w:szCs w:val="24"/>
        </w:rPr>
        <w:t xml:space="preserve"> </w:t>
      </w:r>
    </w:p>
    <w:p w:rsidR="004F5C45" w:rsidRDefault="00155C02">
      <w:pPr>
        <w:spacing w:before="29" w:line="288" w:lineRule="auto"/>
        <w:ind w:firstLineChars="200" w:firstLine="480"/>
        <w:rPr>
          <w:color w:val="000000"/>
          <w:sz w:val="24"/>
          <w:szCs w:val="24"/>
        </w:rPr>
      </w:pPr>
      <w:r>
        <w:rPr>
          <w:color w:val="000000"/>
          <w:sz w:val="24"/>
          <w:szCs w:val="24"/>
        </w:rPr>
        <w:t>2</w:t>
      </w:r>
      <w:r>
        <w:rPr>
          <w:color w:val="000000"/>
          <w:sz w:val="24"/>
          <w:szCs w:val="24"/>
        </w:rPr>
        <w:t>、《交银施罗德先进制造混合型证券投资基金基金合同》；</w:t>
      </w:r>
      <w:r>
        <w:rPr>
          <w:color w:val="000000"/>
          <w:sz w:val="24"/>
          <w:szCs w:val="24"/>
        </w:rPr>
        <w:t xml:space="preserve"> </w:t>
      </w:r>
    </w:p>
    <w:p w:rsidR="004F5C45" w:rsidRDefault="00155C02">
      <w:pPr>
        <w:spacing w:before="29" w:line="288" w:lineRule="auto"/>
        <w:ind w:firstLineChars="200" w:firstLine="480"/>
        <w:rPr>
          <w:color w:val="000000"/>
          <w:sz w:val="24"/>
          <w:szCs w:val="24"/>
        </w:rPr>
      </w:pPr>
      <w:r>
        <w:rPr>
          <w:color w:val="000000"/>
          <w:sz w:val="24"/>
          <w:szCs w:val="24"/>
        </w:rPr>
        <w:t>3</w:t>
      </w:r>
      <w:r>
        <w:rPr>
          <w:color w:val="000000"/>
          <w:sz w:val="24"/>
          <w:szCs w:val="24"/>
        </w:rPr>
        <w:t>、《交银施罗德先进制造混合型证券投资基金招募说明书》；</w:t>
      </w:r>
      <w:r>
        <w:rPr>
          <w:color w:val="000000"/>
          <w:sz w:val="24"/>
          <w:szCs w:val="24"/>
        </w:rPr>
        <w:t xml:space="preserve"> </w:t>
      </w:r>
    </w:p>
    <w:p w:rsidR="004F5C45" w:rsidRDefault="00155C02">
      <w:pPr>
        <w:spacing w:before="29" w:line="288" w:lineRule="auto"/>
        <w:ind w:firstLineChars="200" w:firstLine="480"/>
        <w:rPr>
          <w:color w:val="000000"/>
          <w:sz w:val="24"/>
          <w:szCs w:val="24"/>
        </w:rPr>
      </w:pPr>
      <w:r>
        <w:rPr>
          <w:color w:val="000000"/>
          <w:sz w:val="24"/>
          <w:szCs w:val="24"/>
        </w:rPr>
        <w:t>4</w:t>
      </w:r>
      <w:r>
        <w:rPr>
          <w:color w:val="000000"/>
          <w:sz w:val="24"/>
          <w:szCs w:val="24"/>
        </w:rPr>
        <w:t>、《交银施罗德先进制造混合型证券投资基金托管协议》；</w:t>
      </w:r>
    </w:p>
    <w:p w:rsidR="004F5C45" w:rsidRDefault="00155C02">
      <w:pPr>
        <w:spacing w:before="29" w:line="288" w:lineRule="auto"/>
        <w:ind w:firstLineChars="200" w:firstLine="480"/>
        <w:rPr>
          <w:color w:val="000000"/>
          <w:sz w:val="24"/>
          <w:szCs w:val="24"/>
        </w:rPr>
      </w:pPr>
      <w:r>
        <w:rPr>
          <w:color w:val="000000"/>
          <w:sz w:val="24"/>
          <w:szCs w:val="24"/>
        </w:rPr>
        <w:t>5</w:t>
      </w:r>
      <w:r>
        <w:rPr>
          <w:color w:val="000000"/>
          <w:sz w:val="24"/>
          <w:szCs w:val="24"/>
        </w:rPr>
        <w:t>、关于募集交银施罗德先进制造股票证券投资基金之法律意见书；</w:t>
      </w:r>
    </w:p>
    <w:p w:rsidR="004F5C45" w:rsidRDefault="00155C02">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p>
    <w:p w:rsidR="004F5C45" w:rsidRDefault="00155C02">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、报告期内交银施罗德先进制造混合型证券投资基金在指定报刊上各项公告的原稿。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8</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4F5C45" w:rsidRDefault="00155C02">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2D4" w:rsidRDefault="001862D4" w:rsidP="00876D65">
      <w:r>
        <w:separator/>
      </w:r>
    </w:p>
  </w:endnote>
  <w:endnote w:type="continuationSeparator" w:id="0">
    <w:p w:rsidR="001862D4" w:rsidRDefault="001862D4"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B62AC1">
      <w:rPr>
        <w:kern w:val="0"/>
        <w:szCs w:val="21"/>
      </w:rPr>
      <w:fldChar w:fldCharType="begin"/>
    </w:r>
    <w:r>
      <w:rPr>
        <w:kern w:val="0"/>
        <w:szCs w:val="21"/>
      </w:rPr>
      <w:instrText xml:space="preserve"> PAGE </w:instrText>
    </w:r>
    <w:r w:rsidR="00B62AC1">
      <w:rPr>
        <w:kern w:val="0"/>
        <w:szCs w:val="21"/>
      </w:rPr>
      <w:fldChar w:fldCharType="separate"/>
    </w:r>
    <w:r w:rsidR="00E83EF4">
      <w:rPr>
        <w:noProof/>
        <w:kern w:val="0"/>
        <w:szCs w:val="21"/>
      </w:rPr>
      <w:t>1</w:t>
    </w:r>
    <w:r w:rsidR="00B62AC1">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B62AC1">
      <w:rPr>
        <w:kern w:val="0"/>
        <w:szCs w:val="21"/>
      </w:rPr>
      <w:fldChar w:fldCharType="begin"/>
    </w:r>
    <w:r>
      <w:rPr>
        <w:kern w:val="0"/>
        <w:szCs w:val="21"/>
      </w:rPr>
      <w:instrText xml:space="preserve"> NUMPAGES </w:instrText>
    </w:r>
    <w:r w:rsidR="00B62AC1">
      <w:rPr>
        <w:kern w:val="0"/>
        <w:szCs w:val="21"/>
      </w:rPr>
      <w:fldChar w:fldCharType="separate"/>
    </w:r>
    <w:r w:rsidR="00E83EF4">
      <w:rPr>
        <w:noProof/>
        <w:kern w:val="0"/>
        <w:szCs w:val="21"/>
      </w:rPr>
      <w:t>12</w:t>
    </w:r>
    <w:r w:rsidR="00B62AC1">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2D4" w:rsidRDefault="001862D4" w:rsidP="00876D65">
      <w:r>
        <w:separator/>
      </w:r>
    </w:p>
  </w:footnote>
  <w:footnote w:type="continuationSeparator" w:id="0">
    <w:p w:rsidR="001862D4" w:rsidRDefault="001862D4"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7E5E"/>
    <w:rsid w:val="000F6CC8"/>
    <w:rsid w:val="00111261"/>
    <w:rsid w:val="00133015"/>
    <w:rsid w:val="00137452"/>
    <w:rsid w:val="00137B31"/>
    <w:rsid w:val="00144F93"/>
    <w:rsid w:val="00147376"/>
    <w:rsid w:val="0015450B"/>
    <w:rsid w:val="00154BE1"/>
    <w:rsid w:val="00155C02"/>
    <w:rsid w:val="0015710B"/>
    <w:rsid w:val="00160EDC"/>
    <w:rsid w:val="00162D61"/>
    <w:rsid w:val="001675CD"/>
    <w:rsid w:val="001717D5"/>
    <w:rsid w:val="00171EF0"/>
    <w:rsid w:val="001761D2"/>
    <w:rsid w:val="00176C21"/>
    <w:rsid w:val="001830D7"/>
    <w:rsid w:val="00185A34"/>
    <w:rsid w:val="001862D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6061"/>
    <w:rsid w:val="003B3494"/>
    <w:rsid w:val="003B5E08"/>
    <w:rsid w:val="003B6FBC"/>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4F5C45"/>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E6EC1"/>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42C4"/>
    <w:rsid w:val="00844DB2"/>
    <w:rsid w:val="00846739"/>
    <w:rsid w:val="00851A45"/>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36549"/>
    <w:rsid w:val="00E40D31"/>
    <w:rsid w:val="00E41260"/>
    <w:rsid w:val="00E44E18"/>
    <w:rsid w:val="00E52DBC"/>
    <w:rsid w:val="00E54301"/>
    <w:rsid w:val="00E54BF5"/>
    <w:rsid w:val="00E554A1"/>
    <w:rsid w:val="00E55ABD"/>
    <w:rsid w:val="00E60817"/>
    <w:rsid w:val="00E62DE5"/>
    <w:rsid w:val="00E705CC"/>
    <w:rsid w:val="00E83EF4"/>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3D5724-748C-4C3A-945C-CF8E63D9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E96FD-636B-4A3B-8EC0-CE70890A8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TotalTime>
  <Pages>12</Pages>
  <Words>1151</Words>
  <Characters>6561</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565</cp:revision>
  <dcterms:created xsi:type="dcterms:W3CDTF">2012-10-16T06:07:00Z</dcterms:created>
  <dcterms:modified xsi:type="dcterms:W3CDTF">2017-01-17T10:29:00Z</dcterms:modified>
</cp:coreProperties>
</file>