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bookmarkStart w:id="0" w:name="_GoBack"/>
      <w:bookmarkEnd w:id="0"/>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828B2" w:rsidRDefault="00AF6C7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1,308,473,200.53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F6C71" w:rsidRPr="00414345" w:rsidTr="00AF6C7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F6C71" w:rsidRPr="00414345" w:rsidTr="00AF6C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70,197,147.19</w:t>
            </w:r>
          </w:p>
        </w:tc>
      </w:tr>
      <w:tr w:rsidR="00AF6C71" w:rsidRPr="00414345" w:rsidTr="00AF6C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28,972,813.74</w:t>
            </w:r>
          </w:p>
        </w:tc>
      </w:tr>
      <w:tr w:rsidR="00AF6C71" w:rsidRPr="00414345" w:rsidTr="00AF6C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0.0288</w:t>
            </w:r>
          </w:p>
        </w:tc>
      </w:tr>
      <w:tr w:rsidR="00AF6C71" w:rsidRPr="00414345" w:rsidTr="00AF6C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1,563,626,749.68</w:t>
            </w:r>
          </w:p>
        </w:tc>
      </w:tr>
      <w:tr w:rsidR="00AF6C71" w:rsidRPr="00414345" w:rsidTr="00AF6C7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1.195</w:t>
            </w:r>
          </w:p>
        </w:tc>
      </w:tr>
    </w:tbl>
    <w:p w:rsidR="009828B2" w:rsidRDefault="00AF6C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AF6C71">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828B2">
        <w:trPr>
          <w:jc w:val="center"/>
        </w:trPr>
        <w:tc>
          <w:tcPr>
            <w:tcW w:w="1701" w:type="dxa"/>
            <w:vAlign w:val="center"/>
          </w:tcPr>
          <w:p w:rsidR="009828B2" w:rsidRDefault="00AF6C71">
            <w:pPr>
              <w:jc w:val="left"/>
            </w:pPr>
            <w:r>
              <w:rPr>
                <w:color w:val="000000"/>
                <w:sz w:val="24"/>
                <w:szCs w:val="24"/>
              </w:rPr>
              <w:t>过去三个月</w:t>
            </w:r>
          </w:p>
        </w:tc>
        <w:tc>
          <w:tcPr>
            <w:tcW w:w="1045" w:type="dxa"/>
            <w:vAlign w:val="center"/>
          </w:tcPr>
          <w:p w:rsidR="009828B2" w:rsidRDefault="00AF6C71">
            <w:pPr>
              <w:jc w:val="center"/>
            </w:pPr>
            <w:r>
              <w:rPr>
                <w:color w:val="000000"/>
                <w:sz w:val="24"/>
                <w:szCs w:val="24"/>
              </w:rPr>
              <w:t>3.46%</w:t>
            </w:r>
          </w:p>
        </w:tc>
        <w:tc>
          <w:tcPr>
            <w:tcW w:w="1344" w:type="dxa"/>
            <w:vAlign w:val="center"/>
          </w:tcPr>
          <w:p w:rsidR="009828B2" w:rsidRDefault="00AF6C71">
            <w:pPr>
              <w:jc w:val="center"/>
            </w:pPr>
            <w:r>
              <w:rPr>
                <w:color w:val="000000"/>
                <w:sz w:val="24"/>
                <w:szCs w:val="24"/>
              </w:rPr>
              <w:t>0.83%</w:t>
            </w:r>
          </w:p>
        </w:tc>
        <w:tc>
          <w:tcPr>
            <w:tcW w:w="1194" w:type="dxa"/>
            <w:vAlign w:val="center"/>
          </w:tcPr>
          <w:p w:rsidR="009828B2" w:rsidRDefault="00AF6C71">
            <w:pPr>
              <w:jc w:val="center"/>
            </w:pPr>
            <w:r>
              <w:rPr>
                <w:color w:val="000000"/>
                <w:sz w:val="24"/>
                <w:szCs w:val="24"/>
              </w:rPr>
              <w:t>0.98%</w:t>
            </w:r>
          </w:p>
        </w:tc>
        <w:tc>
          <w:tcPr>
            <w:tcW w:w="1492" w:type="dxa"/>
            <w:vAlign w:val="center"/>
          </w:tcPr>
          <w:p w:rsidR="009828B2" w:rsidRDefault="00AF6C71">
            <w:pPr>
              <w:jc w:val="center"/>
            </w:pPr>
            <w:r>
              <w:rPr>
                <w:color w:val="000000"/>
                <w:sz w:val="24"/>
                <w:szCs w:val="24"/>
              </w:rPr>
              <w:t>0.54%</w:t>
            </w:r>
          </w:p>
        </w:tc>
        <w:tc>
          <w:tcPr>
            <w:tcW w:w="1194" w:type="dxa"/>
            <w:vAlign w:val="center"/>
          </w:tcPr>
          <w:p w:rsidR="009828B2" w:rsidRDefault="00AF6C71">
            <w:pPr>
              <w:jc w:val="center"/>
            </w:pPr>
            <w:r>
              <w:rPr>
                <w:color w:val="000000"/>
                <w:sz w:val="24"/>
                <w:szCs w:val="24"/>
              </w:rPr>
              <w:t>2.48%</w:t>
            </w:r>
          </w:p>
        </w:tc>
        <w:tc>
          <w:tcPr>
            <w:tcW w:w="898" w:type="dxa"/>
            <w:vAlign w:val="center"/>
          </w:tcPr>
          <w:p w:rsidR="009828B2" w:rsidRDefault="00AF6C71">
            <w:pPr>
              <w:jc w:val="center"/>
            </w:pPr>
            <w:r>
              <w:rPr>
                <w:color w:val="000000"/>
                <w:sz w:val="24"/>
                <w:szCs w:val="24"/>
              </w:rPr>
              <w:t>0.29%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828B2">
        <w:trPr>
          <w:jc w:val="center"/>
        </w:trPr>
        <w:tc>
          <w:tcPr>
            <w:tcW w:w="846" w:type="dxa"/>
            <w:vAlign w:val="center"/>
          </w:tcPr>
          <w:p w:rsidR="009828B2" w:rsidRDefault="00AF6C71">
            <w:pPr>
              <w:jc w:val="center"/>
            </w:pPr>
            <w:r>
              <w:rPr>
                <w:color w:val="000000"/>
                <w:sz w:val="24"/>
                <w:szCs w:val="24"/>
              </w:rPr>
              <w:t>曹文俊</w:t>
            </w:r>
          </w:p>
        </w:tc>
        <w:tc>
          <w:tcPr>
            <w:tcW w:w="845" w:type="dxa"/>
            <w:vAlign w:val="center"/>
          </w:tcPr>
          <w:p w:rsidR="009828B2" w:rsidRDefault="00AF6C71">
            <w:pPr>
              <w:jc w:val="center"/>
            </w:pPr>
            <w:r>
              <w:rPr>
                <w:color w:val="000000"/>
                <w:sz w:val="24"/>
                <w:szCs w:val="24"/>
              </w:rPr>
              <w:t>交银精选混合、交银趋势混合的基金经理</w:t>
            </w:r>
          </w:p>
        </w:tc>
        <w:tc>
          <w:tcPr>
            <w:tcW w:w="1549" w:type="dxa"/>
            <w:vAlign w:val="center"/>
          </w:tcPr>
          <w:p w:rsidR="009828B2" w:rsidRDefault="00AF6C71">
            <w:pPr>
              <w:jc w:val="center"/>
            </w:pPr>
            <w:r>
              <w:rPr>
                <w:color w:val="000000"/>
                <w:sz w:val="24"/>
                <w:szCs w:val="24"/>
              </w:rPr>
              <w:t>2013-08-08</w:t>
            </w:r>
          </w:p>
        </w:tc>
        <w:tc>
          <w:tcPr>
            <w:tcW w:w="1548" w:type="dxa"/>
            <w:vAlign w:val="center"/>
          </w:tcPr>
          <w:p w:rsidR="009828B2" w:rsidRDefault="00AF6C71">
            <w:pPr>
              <w:jc w:val="center"/>
            </w:pPr>
            <w:r>
              <w:rPr>
                <w:color w:val="000000"/>
                <w:sz w:val="24"/>
                <w:szCs w:val="24"/>
              </w:rPr>
              <w:t>-</w:t>
            </w:r>
          </w:p>
        </w:tc>
        <w:tc>
          <w:tcPr>
            <w:tcW w:w="1407" w:type="dxa"/>
            <w:vAlign w:val="center"/>
          </w:tcPr>
          <w:p w:rsidR="009828B2" w:rsidRDefault="00AF6C71">
            <w:pPr>
              <w:jc w:val="center"/>
            </w:pPr>
            <w:r>
              <w:rPr>
                <w:color w:val="000000"/>
                <w:sz w:val="24"/>
                <w:szCs w:val="24"/>
              </w:rPr>
              <w:t>11</w:t>
            </w:r>
            <w:r>
              <w:rPr>
                <w:color w:val="000000"/>
                <w:sz w:val="24"/>
                <w:szCs w:val="24"/>
              </w:rPr>
              <w:t>年</w:t>
            </w:r>
          </w:p>
        </w:tc>
        <w:tc>
          <w:tcPr>
            <w:tcW w:w="2673" w:type="dxa"/>
            <w:vAlign w:val="center"/>
          </w:tcPr>
          <w:p w:rsidR="009828B2" w:rsidRDefault="00AF6C71">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828B2" w:rsidRDefault="00AF6C7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828B2" w:rsidRDefault="00AF6C7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828B2" w:rsidRDefault="00AF6C7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9828B2" w:rsidRDefault="00AF6C71">
      <w:pPr>
        <w:spacing w:before="29" w:line="288" w:lineRule="auto"/>
        <w:ind w:firstLineChars="200" w:firstLine="480"/>
        <w:rPr>
          <w:color w:val="000000"/>
          <w:sz w:val="24"/>
          <w:szCs w:val="24"/>
        </w:rPr>
      </w:pPr>
      <w:r>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Pr>
          <w:color w:val="000000"/>
          <w:sz w:val="24"/>
          <w:szCs w:val="24"/>
        </w:rPr>
        <w:t>5%</w:t>
      </w:r>
      <w:r>
        <w:rPr>
          <w:color w:val="000000"/>
          <w:sz w:val="24"/>
          <w:szCs w:val="24"/>
        </w:rPr>
        <w:t>的情况有</w:t>
      </w:r>
      <w:r>
        <w:rPr>
          <w:color w:val="000000"/>
          <w:sz w:val="24"/>
          <w:szCs w:val="24"/>
        </w:rPr>
        <w:t>1</w:t>
      </w:r>
      <w:r>
        <w:rPr>
          <w:color w:val="000000"/>
          <w:sz w:val="24"/>
          <w:szCs w:val="24"/>
        </w:rPr>
        <w:t>次，是投资组合因投资策略需要而发生同日反向交易，未发现不公平交易和利益输送的情况。本基金与本公司管理的其他投资组合在不同时间窗下（如日内、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日内）同向交易的交易价差未发现异常。</w:t>
      </w:r>
    </w:p>
    <w:p w:rsidR="009828B2" w:rsidRDefault="009828B2">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828B2" w:rsidRDefault="00AF6C71">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年四季度市场分化严重，以上证</w:t>
      </w:r>
      <w:r>
        <w:rPr>
          <w:color w:val="000000"/>
          <w:sz w:val="24"/>
          <w:szCs w:val="24"/>
        </w:rPr>
        <w:t>50</w:t>
      </w:r>
      <w:r>
        <w:rPr>
          <w:color w:val="000000"/>
          <w:sz w:val="24"/>
          <w:szCs w:val="24"/>
        </w:rPr>
        <w:t>为代表的大股票涨幅明显，而创业板和中小盘则跌幅明显。四季度以来，最重要的两大宏观变量为一、二线城市房地产调控加码和债市去杠杆引发的资金价格迅速上行。由于房地产和债券两大市场资金溢出效应，商品期货市场获得游资追捧，提升市场的通胀预期，进而引发弱需求背景下的补库存行为。</w:t>
      </w:r>
      <w:r>
        <w:rPr>
          <w:color w:val="000000"/>
          <w:sz w:val="24"/>
          <w:szCs w:val="24"/>
        </w:rPr>
        <w:t>2016</w:t>
      </w:r>
      <w:r>
        <w:rPr>
          <w:color w:val="000000"/>
          <w:sz w:val="24"/>
          <w:szCs w:val="24"/>
        </w:rPr>
        <w:t>年四季度以来，以房地产销售和财政支出为代表的需求端先行指标已经明显走弱，而补库存效应导致生产端（即供给产出）依然旺盛，供求关系在向不利的方向倾斜。四季度本基金净值表现跑赢业绩比较基准，主要体现在行业配置和个股选择的优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展望未来一个季度，我们对市场持中性态度。我们判断</w:t>
      </w:r>
      <w:r w:rsidRPr="00414345">
        <w:rPr>
          <w:color w:val="000000"/>
          <w:sz w:val="24"/>
          <w:szCs w:val="24"/>
        </w:rPr>
        <w:t>2017</w:t>
      </w:r>
      <w:r w:rsidRPr="00414345">
        <w:rPr>
          <w:color w:val="000000"/>
          <w:sz w:val="24"/>
          <w:szCs w:val="24"/>
        </w:rPr>
        <w:t>年上半年，需求走弱叠加去库存周期，经济增长压力仍然较大，对投资品不利，机会主要在于估值安全边际高的成长股。大类资产配置角度上，权益市场的估值泡沫明显小于房地产和固定收益市场。尽管</w:t>
      </w:r>
      <w:r w:rsidRPr="00414345">
        <w:rPr>
          <w:color w:val="000000"/>
          <w:sz w:val="24"/>
          <w:szCs w:val="24"/>
        </w:rPr>
        <w:t>2017</w:t>
      </w:r>
      <w:r w:rsidRPr="00414345">
        <w:rPr>
          <w:color w:val="000000"/>
          <w:sz w:val="24"/>
          <w:szCs w:val="24"/>
        </w:rPr>
        <w:t>年一季度预计流动性状况依然易紧难松，但指数大幅下跌的空间可能并不大。选股方向上，我们仍青睐与投资关联度不高的、估值性价比较高的成长型行业，如医药、环保等攻守兼备的行业，高度关注教育、流量增长相关的领域，并择机适当参与人工智能、国企改革等主题型投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1.195</w:t>
      </w:r>
      <w:r w:rsidRPr="00414345">
        <w:rPr>
          <w:color w:val="000000"/>
          <w:sz w:val="24"/>
          <w:szCs w:val="24"/>
        </w:rPr>
        <w:t>元，本报告期份额净值增长率为</w:t>
      </w:r>
      <w:r w:rsidRPr="00414345">
        <w:rPr>
          <w:color w:val="000000"/>
          <w:sz w:val="24"/>
          <w:szCs w:val="24"/>
        </w:rPr>
        <w:t>3.46%</w:t>
      </w:r>
      <w:r w:rsidRPr="00414345">
        <w:rPr>
          <w:color w:val="000000"/>
          <w:sz w:val="24"/>
          <w:szCs w:val="24"/>
        </w:rPr>
        <w:t>，同期业绩比较基准增长率为</w:t>
      </w:r>
      <w:r w:rsidRPr="00414345">
        <w:rPr>
          <w:color w:val="000000"/>
          <w:sz w:val="24"/>
          <w:szCs w:val="24"/>
        </w:rPr>
        <w:t>0.98%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1,193,480,528.83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1,193,480,528.83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69,930,000.00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69,930,000.00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97,000,265.50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195,275,116.21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57,541,397.22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1,613,227,307.76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20,153,907.02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851,587,514.67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13,837,917.66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23,695,378.47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61,679,882.64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156,606,837.84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17,193,522.06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48,609,329.79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1,193,480,528.83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828B2">
        <w:trPr>
          <w:jc w:val="center"/>
        </w:trPr>
        <w:tc>
          <w:tcPr>
            <w:tcW w:w="855" w:type="dxa"/>
            <w:vAlign w:val="center"/>
          </w:tcPr>
          <w:p w:rsidR="009828B2" w:rsidRDefault="00AF6C71">
            <w:pPr>
              <w:jc w:val="center"/>
            </w:pPr>
            <w:r>
              <w:rPr>
                <w:color w:val="000000"/>
                <w:sz w:val="24"/>
                <w:szCs w:val="24"/>
              </w:rPr>
              <w:t>1</w:t>
            </w:r>
          </w:p>
        </w:tc>
        <w:tc>
          <w:tcPr>
            <w:tcW w:w="1334" w:type="dxa"/>
            <w:vAlign w:val="center"/>
          </w:tcPr>
          <w:p w:rsidR="009828B2" w:rsidRDefault="00AF6C71">
            <w:pPr>
              <w:jc w:val="center"/>
            </w:pPr>
            <w:r>
              <w:rPr>
                <w:color w:val="000000"/>
                <w:sz w:val="24"/>
                <w:szCs w:val="24"/>
              </w:rPr>
              <w:t>002123</w:t>
            </w:r>
          </w:p>
        </w:tc>
        <w:tc>
          <w:tcPr>
            <w:tcW w:w="1777" w:type="dxa"/>
            <w:vAlign w:val="center"/>
          </w:tcPr>
          <w:p w:rsidR="009828B2" w:rsidRDefault="00AF6C71">
            <w:pPr>
              <w:jc w:val="center"/>
            </w:pPr>
            <w:r>
              <w:rPr>
                <w:color w:val="000000"/>
                <w:sz w:val="24"/>
                <w:szCs w:val="24"/>
              </w:rPr>
              <w:t>梦网荣信</w:t>
            </w:r>
          </w:p>
        </w:tc>
        <w:tc>
          <w:tcPr>
            <w:tcW w:w="1334" w:type="dxa"/>
            <w:vAlign w:val="center"/>
          </w:tcPr>
          <w:p w:rsidR="009828B2" w:rsidRDefault="00AF6C71">
            <w:pPr>
              <w:jc w:val="right"/>
            </w:pPr>
            <w:r>
              <w:rPr>
                <w:color w:val="000000"/>
                <w:sz w:val="24"/>
                <w:szCs w:val="24"/>
              </w:rPr>
              <w:t>6,999,912</w:t>
            </w:r>
          </w:p>
        </w:tc>
        <w:tc>
          <w:tcPr>
            <w:tcW w:w="1924" w:type="dxa"/>
            <w:vAlign w:val="center"/>
          </w:tcPr>
          <w:p w:rsidR="009828B2" w:rsidRDefault="00AF6C71">
            <w:pPr>
              <w:jc w:val="right"/>
            </w:pPr>
            <w:r>
              <w:rPr>
                <w:color w:val="000000"/>
                <w:sz w:val="24"/>
                <w:szCs w:val="24"/>
              </w:rPr>
              <w:t>104,998,680.00</w:t>
            </w:r>
          </w:p>
        </w:tc>
        <w:tc>
          <w:tcPr>
            <w:tcW w:w="1644" w:type="dxa"/>
            <w:vAlign w:val="center"/>
          </w:tcPr>
          <w:p w:rsidR="009828B2" w:rsidRDefault="00AF6C71">
            <w:pPr>
              <w:jc w:val="right"/>
            </w:pPr>
            <w:r>
              <w:rPr>
                <w:color w:val="000000"/>
                <w:sz w:val="24"/>
                <w:szCs w:val="24"/>
              </w:rPr>
              <w:t>6.72</w:t>
            </w:r>
          </w:p>
        </w:tc>
      </w:tr>
      <w:tr w:rsidR="009828B2">
        <w:trPr>
          <w:jc w:val="center"/>
        </w:trPr>
        <w:tc>
          <w:tcPr>
            <w:tcW w:w="855" w:type="dxa"/>
            <w:vAlign w:val="center"/>
          </w:tcPr>
          <w:p w:rsidR="009828B2" w:rsidRDefault="00AF6C71">
            <w:pPr>
              <w:jc w:val="center"/>
            </w:pPr>
            <w:r>
              <w:rPr>
                <w:color w:val="000000"/>
                <w:sz w:val="24"/>
                <w:szCs w:val="24"/>
              </w:rPr>
              <w:t>2</w:t>
            </w:r>
          </w:p>
        </w:tc>
        <w:tc>
          <w:tcPr>
            <w:tcW w:w="1334" w:type="dxa"/>
            <w:vAlign w:val="center"/>
          </w:tcPr>
          <w:p w:rsidR="009828B2" w:rsidRDefault="00AF6C71">
            <w:pPr>
              <w:jc w:val="center"/>
            </w:pPr>
            <w:r>
              <w:rPr>
                <w:color w:val="000000"/>
                <w:sz w:val="24"/>
                <w:szCs w:val="24"/>
              </w:rPr>
              <w:t>002583</w:t>
            </w:r>
          </w:p>
        </w:tc>
        <w:tc>
          <w:tcPr>
            <w:tcW w:w="1777" w:type="dxa"/>
            <w:vAlign w:val="center"/>
          </w:tcPr>
          <w:p w:rsidR="009828B2" w:rsidRDefault="00AF6C71">
            <w:pPr>
              <w:jc w:val="center"/>
            </w:pPr>
            <w:r>
              <w:rPr>
                <w:color w:val="000000"/>
                <w:sz w:val="24"/>
                <w:szCs w:val="24"/>
              </w:rPr>
              <w:t>海能达</w:t>
            </w:r>
          </w:p>
        </w:tc>
        <w:tc>
          <w:tcPr>
            <w:tcW w:w="1334" w:type="dxa"/>
            <w:vAlign w:val="center"/>
          </w:tcPr>
          <w:p w:rsidR="009828B2" w:rsidRDefault="00AF6C71">
            <w:pPr>
              <w:jc w:val="right"/>
            </w:pPr>
            <w:r>
              <w:rPr>
                <w:color w:val="000000"/>
                <w:sz w:val="24"/>
                <w:szCs w:val="24"/>
              </w:rPr>
              <w:t>7,000,408</w:t>
            </w:r>
          </w:p>
        </w:tc>
        <w:tc>
          <w:tcPr>
            <w:tcW w:w="1924" w:type="dxa"/>
            <w:vAlign w:val="center"/>
          </w:tcPr>
          <w:p w:rsidR="009828B2" w:rsidRDefault="00AF6C71">
            <w:pPr>
              <w:jc w:val="right"/>
            </w:pPr>
            <w:r>
              <w:rPr>
                <w:color w:val="000000"/>
                <w:sz w:val="24"/>
                <w:szCs w:val="24"/>
              </w:rPr>
              <w:t>92,475,389.68</w:t>
            </w:r>
          </w:p>
        </w:tc>
        <w:tc>
          <w:tcPr>
            <w:tcW w:w="1644" w:type="dxa"/>
            <w:vAlign w:val="center"/>
          </w:tcPr>
          <w:p w:rsidR="009828B2" w:rsidRDefault="00AF6C71">
            <w:pPr>
              <w:jc w:val="right"/>
            </w:pPr>
            <w:r>
              <w:rPr>
                <w:color w:val="000000"/>
                <w:sz w:val="24"/>
                <w:szCs w:val="24"/>
              </w:rPr>
              <w:t>5.91</w:t>
            </w:r>
          </w:p>
        </w:tc>
      </w:tr>
      <w:tr w:rsidR="009828B2">
        <w:trPr>
          <w:jc w:val="center"/>
        </w:trPr>
        <w:tc>
          <w:tcPr>
            <w:tcW w:w="855" w:type="dxa"/>
            <w:vAlign w:val="center"/>
          </w:tcPr>
          <w:p w:rsidR="009828B2" w:rsidRDefault="00AF6C71">
            <w:pPr>
              <w:jc w:val="center"/>
            </w:pPr>
            <w:r>
              <w:rPr>
                <w:color w:val="000000"/>
                <w:sz w:val="24"/>
                <w:szCs w:val="24"/>
              </w:rPr>
              <w:t>3</w:t>
            </w:r>
          </w:p>
        </w:tc>
        <w:tc>
          <w:tcPr>
            <w:tcW w:w="1334" w:type="dxa"/>
            <w:vAlign w:val="center"/>
          </w:tcPr>
          <w:p w:rsidR="009828B2" w:rsidRDefault="00AF6C71">
            <w:pPr>
              <w:jc w:val="center"/>
            </w:pPr>
            <w:r>
              <w:rPr>
                <w:color w:val="000000"/>
                <w:sz w:val="24"/>
                <w:szCs w:val="24"/>
              </w:rPr>
              <w:t>300279</w:t>
            </w:r>
          </w:p>
        </w:tc>
        <w:tc>
          <w:tcPr>
            <w:tcW w:w="1777" w:type="dxa"/>
            <w:vAlign w:val="center"/>
          </w:tcPr>
          <w:p w:rsidR="009828B2" w:rsidRDefault="00AF6C71">
            <w:pPr>
              <w:jc w:val="center"/>
            </w:pPr>
            <w:r>
              <w:rPr>
                <w:color w:val="000000"/>
                <w:sz w:val="24"/>
                <w:szCs w:val="24"/>
              </w:rPr>
              <w:t>和晶科技</w:t>
            </w:r>
          </w:p>
        </w:tc>
        <w:tc>
          <w:tcPr>
            <w:tcW w:w="1334" w:type="dxa"/>
            <w:vAlign w:val="center"/>
          </w:tcPr>
          <w:p w:rsidR="009828B2" w:rsidRDefault="00AF6C71">
            <w:pPr>
              <w:jc w:val="right"/>
            </w:pPr>
            <w:r>
              <w:rPr>
                <w:color w:val="000000"/>
                <w:sz w:val="24"/>
                <w:szCs w:val="24"/>
              </w:rPr>
              <w:t>2,000,020</w:t>
            </w:r>
          </w:p>
        </w:tc>
        <w:tc>
          <w:tcPr>
            <w:tcW w:w="1924" w:type="dxa"/>
            <w:vAlign w:val="center"/>
          </w:tcPr>
          <w:p w:rsidR="009828B2" w:rsidRDefault="00AF6C71">
            <w:pPr>
              <w:jc w:val="right"/>
            </w:pPr>
            <w:r>
              <w:rPr>
                <w:color w:val="000000"/>
                <w:sz w:val="24"/>
                <w:szCs w:val="24"/>
              </w:rPr>
              <w:t>87,000,870.00</w:t>
            </w:r>
          </w:p>
        </w:tc>
        <w:tc>
          <w:tcPr>
            <w:tcW w:w="1644" w:type="dxa"/>
            <w:vAlign w:val="center"/>
          </w:tcPr>
          <w:p w:rsidR="009828B2" w:rsidRDefault="00AF6C71">
            <w:pPr>
              <w:jc w:val="right"/>
            </w:pPr>
            <w:r>
              <w:rPr>
                <w:color w:val="000000"/>
                <w:sz w:val="24"/>
                <w:szCs w:val="24"/>
              </w:rPr>
              <w:t>5.56</w:t>
            </w:r>
          </w:p>
        </w:tc>
      </w:tr>
      <w:tr w:rsidR="009828B2">
        <w:trPr>
          <w:jc w:val="center"/>
        </w:trPr>
        <w:tc>
          <w:tcPr>
            <w:tcW w:w="855" w:type="dxa"/>
            <w:vAlign w:val="center"/>
          </w:tcPr>
          <w:p w:rsidR="009828B2" w:rsidRDefault="00AF6C71">
            <w:pPr>
              <w:jc w:val="center"/>
            </w:pPr>
            <w:r>
              <w:rPr>
                <w:color w:val="000000"/>
                <w:sz w:val="24"/>
                <w:szCs w:val="24"/>
              </w:rPr>
              <w:t>4</w:t>
            </w:r>
          </w:p>
        </w:tc>
        <w:tc>
          <w:tcPr>
            <w:tcW w:w="1334" w:type="dxa"/>
            <w:vAlign w:val="center"/>
          </w:tcPr>
          <w:p w:rsidR="009828B2" w:rsidRDefault="00AF6C71">
            <w:pPr>
              <w:jc w:val="center"/>
            </w:pPr>
            <w:r>
              <w:rPr>
                <w:color w:val="000000"/>
                <w:sz w:val="24"/>
                <w:szCs w:val="24"/>
              </w:rPr>
              <w:t>000661</w:t>
            </w:r>
          </w:p>
        </w:tc>
        <w:tc>
          <w:tcPr>
            <w:tcW w:w="1777" w:type="dxa"/>
            <w:vAlign w:val="center"/>
          </w:tcPr>
          <w:p w:rsidR="009828B2" w:rsidRDefault="00AF6C71">
            <w:pPr>
              <w:jc w:val="center"/>
            </w:pPr>
            <w:r>
              <w:rPr>
                <w:color w:val="000000"/>
                <w:sz w:val="24"/>
                <w:szCs w:val="24"/>
              </w:rPr>
              <w:t>长春高新</w:t>
            </w:r>
          </w:p>
        </w:tc>
        <w:tc>
          <w:tcPr>
            <w:tcW w:w="1334" w:type="dxa"/>
            <w:vAlign w:val="center"/>
          </w:tcPr>
          <w:p w:rsidR="009828B2" w:rsidRDefault="00AF6C71">
            <w:pPr>
              <w:jc w:val="right"/>
            </w:pPr>
            <w:r>
              <w:rPr>
                <w:color w:val="000000"/>
                <w:sz w:val="24"/>
                <w:szCs w:val="24"/>
              </w:rPr>
              <w:t>600,948</w:t>
            </w:r>
          </w:p>
        </w:tc>
        <w:tc>
          <w:tcPr>
            <w:tcW w:w="1924" w:type="dxa"/>
            <w:vAlign w:val="center"/>
          </w:tcPr>
          <w:p w:rsidR="009828B2" w:rsidRDefault="00AF6C71">
            <w:pPr>
              <w:jc w:val="right"/>
            </w:pPr>
            <w:r>
              <w:rPr>
                <w:color w:val="000000"/>
                <w:sz w:val="24"/>
                <w:szCs w:val="24"/>
              </w:rPr>
              <w:t>67,216,033.80</w:t>
            </w:r>
          </w:p>
        </w:tc>
        <w:tc>
          <w:tcPr>
            <w:tcW w:w="1644" w:type="dxa"/>
            <w:vAlign w:val="center"/>
          </w:tcPr>
          <w:p w:rsidR="009828B2" w:rsidRDefault="00AF6C71">
            <w:pPr>
              <w:jc w:val="right"/>
            </w:pPr>
            <w:r>
              <w:rPr>
                <w:color w:val="000000"/>
                <w:sz w:val="24"/>
                <w:szCs w:val="24"/>
              </w:rPr>
              <w:t>4.30</w:t>
            </w:r>
          </w:p>
        </w:tc>
      </w:tr>
      <w:tr w:rsidR="009828B2">
        <w:trPr>
          <w:jc w:val="center"/>
        </w:trPr>
        <w:tc>
          <w:tcPr>
            <w:tcW w:w="855" w:type="dxa"/>
            <w:vAlign w:val="center"/>
          </w:tcPr>
          <w:p w:rsidR="009828B2" w:rsidRDefault="00AF6C71">
            <w:pPr>
              <w:jc w:val="center"/>
            </w:pPr>
            <w:r>
              <w:rPr>
                <w:color w:val="000000"/>
                <w:sz w:val="24"/>
                <w:szCs w:val="24"/>
              </w:rPr>
              <w:t>5</w:t>
            </w:r>
          </w:p>
        </w:tc>
        <w:tc>
          <w:tcPr>
            <w:tcW w:w="1334" w:type="dxa"/>
            <w:vAlign w:val="center"/>
          </w:tcPr>
          <w:p w:rsidR="009828B2" w:rsidRDefault="00AF6C71">
            <w:pPr>
              <w:jc w:val="center"/>
            </w:pPr>
            <w:r>
              <w:rPr>
                <w:color w:val="000000"/>
                <w:sz w:val="24"/>
                <w:szCs w:val="24"/>
              </w:rPr>
              <w:t>600867</w:t>
            </w:r>
          </w:p>
        </w:tc>
        <w:tc>
          <w:tcPr>
            <w:tcW w:w="1777" w:type="dxa"/>
            <w:vAlign w:val="center"/>
          </w:tcPr>
          <w:p w:rsidR="009828B2" w:rsidRDefault="00AF6C71">
            <w:pPr>
              <w:jc w:val="center"/>
            </w:pPr>
            <w:r>
              <w:rPr>
                <w:color w:val="000000"/>
                <w:sz w:val="24"/>
                <w:szCs w:val="24"/>
              </w:rPr>
              <w:t>通化东宝</w:t>
            </w:r>
          </w:p>
        </w:tc>
        <w:tc>
          <w:tcPr>
            <w:tcW w:w="1334" w:type="dxa"/>
            <w:vAlign w:val="center"/>
          </w:tcPr>
          <w:p w:rsidR="009828B2" w:rsidRDefault="00AF6C71">
            <w:pPr>
              <w:jc w:val="right"/>
            </w:pPr>
            <w:r>
              <w:rPr>
                <w:color w:val="000000"/>
                <w:sz w:val="24"/>
                <w:szCs w:val="24"/>
              </w:rPr>
              <w:t>2,999,775</w:t>
            </w:r>
          </w:p>
        </w:tc>
        <w:tc>
          <w:tcPr>
            <w:tcW w:w="1924" w:type="dxa"/>
            <w:vAlign w:val="center"/>
          </w:tcPr>
          <w:p w:rsidR="009828B2" w:rsidRDefault="00AF6C71">
            <w:pPr>
              <w:jc w:val="right"/>
            </w:pPr>
            <w:r>
              <w:rPr>
                <w:color w:val="000000"/>
                <w:sz w:val="24"/>
                <w:szCs w:val="24"/>
              </w:rPr>
              <w:t>65,785,065.75</w:t>
            </w:r>
          </w:p>
        </w:tc>
        <w:tc>
          <w:tcPr>
            <w:tcW w:w="1644" w:type="dxa"/>
            <w:vAlign w:val="center"/>
          </w:tcPr>
          <w:p w:rsidR="009828B2" w:rsidRDefault="00AF6C71">
            <w:pPr>
              <w:jc w:val="right"/>
            </w:pPr>
            <w:r>
              <w:rPr>
                <w:color w:val="000000"/>
                <w:sz w:val="24"/>
                <w:szCs w:val="24"/>
              </w:rPr>
              <w:t>4.21</w:t>
            </w:r>
          </w:p>
        </w:tc>
      </w:tr>
      <w:tr w:rsidR="009828B2">
        <w:trPr>
          <w:jc w:val="center"/>
        </w:trPr>
        <w:tc>
          <w:tcPr>
            <w:tcW w:w="855" w:type="dxa"/>
            <w:vAlign w:val="center"/>
          </w:tcPr>
          <w:p w:rsidR="009828B2" w:rsidRDefault="00AF6C71">
            <w:pPr>
              <w:jc w:val="center"/>
            </w:pPr>
            <w:r>
              <w:rPr>
                <w:color w:val="000000"/>
                <w:sz w:val="24"/>
                <w:szCs w:val="24"/>
              </w:rPr>
              <w:t>6</w:t>
            </w:r>
          </w:p>
        </w:tc>
        <w:tc>
          <w:tcPr>
            <w:tcW w:w="1334" w:type="dxa"/>
            <w:vAlign w:val="center"/>
          </w:tcPr>
          <w:p w:rsidR="009828B2" w:rsidRDefault="00AF6C71">
            <w:pPr>
              <w:jc w:val="center"/>
            </w:pPr>
            <w:r>
              <w:rPr>
                <w:color w:val="000000"/>
                <w:sz w:val="24"/>
                <w:szCs w:val="24"/>
              </w:rPr>
              <w:t>600486</w:t>
            </w:r>
          </w:p>
        </w:tc>
        <w:tc>
          <w:tcPr>
            <w:tcW w:w="1777" w:type="dxa"/>
            <w:vAlign w:val="center"/>
          </w:tcPr>
          <w:p w:rsidR="009828B2" w:rsidRDefault="00AF6C71">
            <w:pPr>
              <w:jc w:val="center"/>
            </w:pPr>
            <w:r>
              <w:rPr>
                <w:color w:val="000000"/>
                <w:sz w:val="24"/>
                <w:szCs w:val="24"/>
              </w:rPr>
              <w:t>扬农化工</w:t>
            </w:r>
          </w:p>
        </w:tc>
        <w:tc>
          <w:tcPr>
            <w:tcW w:w="1334" w:type="dxa"/>
            <w:vAlign w:val="center"/>
          </w:tcPr>
          <w:p w:rsidR="009828B2" w:rsidRDefault="00AF6C71">
            <w:pPr>
              <w:jc w:val="right"/>
            </w:pPr>
            <w:r>
              <w:rPr>
                <w:color w:val="000000"/>
                <w:sz w:val="24"/>
                <w:szCs w:val="24"/>
              </w:rPr>
              <w:t>1,704,485</w:t>
            </w:r>
          </w:p>
        </w:tc>
        <w:tc>
          <w:tcPr>
            <w:tcW w:w="1924" w:type="dxa"/>
            <w:vAlign w:val="center"/>
          </w:tcPr>
          <w:p w:rsidR="009828B2" w:rsidRDefault="00AF6C71">
            <w:pPr>
              <w:jc w:val="right"/>
            </w:pPr>
            <w:r>
              <w:rPr>
                <w:color w:val="000000"/>
                <w:sz w:val="24"/>
                <w:szCs w:val="24"/>
              </w:rPr>
              <w:t>64,548,846.95</w:t>
            </w:r>
          </w:p>
        </w:tc>
        <w:tc>
          <w:tcPr>
            <w:tcW w:w="1644" w:type="dxa"/>
            <w:vAlign w:val="center"/>
          </w:tcPr>
          <w:p w:rsidR="009828B2" w:rsidRDefault="00AF6C71">
            <w:pPr>
              <w:jc w:val="right"/>
            </w:pPr>
            <w:r>
              <w:rPr>
                <w:color w:val="000000"/>
                <w:sz w:val="24"/>
                <w:szCs w:val="24"/>
              </w:rPr>
              <w:t>4.13</w:t>
            </w:r>
          </w:p>
        </w:tc>
      </w:tr>
      <w:tr w:rsidR="009828B2">
        <w:trPr>
          <w:jc w:val="center"/>
        </w:trPr>
        <w:tc>
          <w:tcPr>
            <w:tcW w:w="855" w:type="dxa"/>
            <w:vAlign w:val="center"/>
          </w:tcPr>
          <w:p w:rsidR="009828B2" w:rsidRDefault="00AF6C71">
            <w:pPr>
              <w:jc w:val="center"/>
            </w:pPr>
            <w:r>
              <w:rPr>
                <w:color w:val="000000"/>
                <w:sz w:val="24"/>
                <w:szCs w:val="24"/>
              </w:rPr>
              <w:t>7</w:t>
            </w:r>
          </w:p>
        </w:tc>
        <w:tc>
          <w:tcPr>
            <w:tcW w:w="1334" w:type="dxa"/>
            <w:vAlign w:val="center"/>
          </w:tcPr>
          <w:p w:rsidR="009828B2" w:rsidRDefault="00AF6C71">
            <w:pPr>
              <w:jc w:val="center"/>
            </w:pPr>
            <w:r>
              <w:rPr>
                <w:color w:val="000000"/>
                <w:sz w:val="24"/>
                <w:szCs w:val="24"/>
              </w:rPr>
              <w:t>300203</w:t>
            </w:r>
          </w:p>
        </w:tc>
        <w:tc>
          <w:tcPr>
            <w:tcW w:w="1777" w:type="dxa"/>
            <w:vAlign w:val="center"/>
          </w:tcPr>
          <w:p w:rsidR="009828B2" w:rsidRDefault="00AF6C71">
            <w:pPr>
              <w:jc w:val="center"/>
            </w:pPr>
            <w:r>
              <w:rPr>
                <w:color w:val="000000"/>
                <w:sz w:val="24"/>
                <w:szCs w:val="24"/>
              </w:rPr>
              <w:t>聚光科技</w:t>
            </w:r>
          </w:p>
        </w:tc>
        <w:tc>
          <w:tcPr>
            <w:tcW w:w="1334" w:type="dxa"/>
            <w:vAlign w:val="center"/>
          </w:tcPr>
          <w:p w:rsidR="009828B2" w:rsidRDefault="00AF6C71">
            <w:pPr>
              <w:jc w:val="right"/>
            </w:pPr>
            <w:r>
              <w:rPr>
                <w:color w:val="000000"/>
                <w:sz w:val="24"/>
                <w:szCs w:val="24"/>
              </w:rPr>
              <w:t>2,028,761</w:t>
            </w:r>
          </w:p>
        </w:tc>
        <w:tc>
          <w:tcPr>
            <w:tcW w:w="1924" w:type="dxa"/>
            <w:vAlign w:val="center"/>
          </w:tcPr>
          <w:p w:rsidR="009828B2" w:rsidRDefault="00AF6C71">
            <w:pPr>
              <w:jc w:val="right"/>
            </w:pPr>
            <w:r>
              <w:rPr>
                <w:color w:val="000000"/>
                <w:sz w:val="24"/>
                <w:szCs w:val="24"/>
              </w:rPr>
              <w:t>61,978,648.55</w:t>
            </w:r>
          </w:p>
        </w:tc>
        <w:tc>
          <w:tcPr>
            <w:tcW w:w="1644" w:type="dxa"/>
            <w:vAlign w:val="center"/>
          </w:tcPr>
          <w:p w:rsidR="009828B2" w:rsidRDefault="00AF6C71">
            <w:pPr>
              <w:jc w:val="right"/>
            </w:pPr>
            <w:r>
              <w:rPr>
                <w:color w:val="000000"/>
                <w:sz w:val="24"/>
                <w:szCs w:val="24"/>
              </w:rPr>
              <w:t>3.96</w:t>
            </w:r>
          </w:p>
        </w:tc>
      </w:tr>
      <w:tr w:rsidR="009828B2">
        <w:trPr>
          <w:jc w:val="center"/>
        </w:trPr>
        <w:tc>
          <w:tcPr>
            <w:tcW w:w="855" w:type="dxa"/>
            <w:vAlign w:val="center"/>
          </w:tcPr>
          <w:p w:rsidR="009828B2" w:rsidRDefault="00AF6C71">
            <w:pPr>
              <w:jc w:val="center"/>
            </w:pPr>
            <w:r>
              <w:rPr>
                <w:color w:val="000000"/>
                <w:sz w:val="24"/>
                <w:szCs w:val="24"/>
              </w:rPr>
              <w:t>8</w:t>
            </w:r>
          </w:p>
        </w:tc>
        <w:tc>
          <w:tcPr>
            <w:tcW w:w="1334" w:type="dxa"/>
            <w:vAlign w:val="center"/>
          </w:tcPr>
          <w:p w:rsidR="009828B2" w:rsidRDefault="00AF6C71">
            <w:pPr>
              <w:jc w:val="center"/>
            </w:pPr>
            <w:r>
              <w:rPr>
                <w:color w:val="000000"/>
                <w:sz w:val="24"/>
                <w:szCs w:val="24"/>
              </w:rPr>
              <w:t>000820</w:t>
            </w:r>
          </w:p>
        </w:tc>
        <w:tc>
          <w:tcPr>
            <w:tcW w:w="1777" w:type="dxa"/>
            <w:vAlign w:val="center"/>
          </w:tcPr>
          <w:p w:rsidR="009828B2" w:rsidRDefault="00AF6C71">
            <w:pPr>
              <w:jc w:val="center"/>
            </w:pPr>
            <w:r>
              <w:rPr>
                <w:color w:val="000000"/>
                <w:sz w:val="24"/>
                <w:szCs w:val="24"/>
              </w:rPr>
              <w:t>神雾节能</w:t>
            </w:r>
          </w:p>
        </w:tc>
        <w:tc>
          <w:tcPr>
            <w:tcW w:w="1334" w:type="dxa"/>
            <w:vAlign w:val="center"/>
          </w:tcPr>
          <w:p w:rsidR="009828B2" w:rsidRDefault="00AF6C71">
            <w:pPr>
              <w:jc w:val="right"/>
            </w:pPr>
            <w:r>
              <w:rPr>
                <w:color w:val="000000"/>
                <w:sz w:val="24"/>
                <w:szCs w:val="24"/>
              </w:rPr>
              <w:t>1,999,925</w:t>
            </w:r>
          </w:p>
        </w:tc>
        <w:tc>
          <w:tcPr>
            <w:tcW w:w="1924" w:type="dxa"/>
            <w:vAlign w:val="center"/>
          </w:tcPr>
          <w:p w:rsidR="009828B2" w:rsidRDefault="00AF6C71">
            <w:pPr>
              <w:jc w:val="right"/>
            </w:pPr>
            <w:r>
              <w:rPr>
                <w:color w:val="000000"/>
                <w:sz w:val="24"/>
                <w:szCs w:val="24"/>
              </w:rPr>
              <w:t>57,797,832.50</w:t>
            </w:r>
          </w:p>
        </w:tc>
        <w:tc>
          <w:tcPr>
            <w:tcW w:w="1644" w:type="dxa"/>
            <w:vAlign w:val="center"/>
          </w:tcPr>
          <w:p w:rsidR="009828B2" w:rsidRDefault="00AF6C71">
            <w:pPr>
              <w:jc w:val="right"/>
            </w:pPr>
            <w:r>
              <w:rPr>
                <w:color w:val="000000"/>
                <w:sz w:val="24"/>
                <w:szCs w:val="24"/>
              </w:rPr>
              <w:t>3.70</w:t>
            </w:r>
          </w:p>
        </w:tc>
      </w:tr>
      <w:tr w:rsidR="009828B2">
        <w:trPr>
          <w:jc w:val="center"/>
        </w:trPr>
        <w:tc>
          <w:tcPr>
            <w:tcW w:w="855" w:type="dxa"/>
            <w:vAlign w:val="center"/>
          </w:tcPr>
          <w:p w:rsidR="009828B2" w:rsidRDefault="00AF6C71">
            <w:pPr>
              <w:jc w:val="center"/>
            </w:pPr>
            <w:r>
              <w:rPr>
                <w:color w:val="000000"/>
                <w:sz w:val="24"/>
                <w:szCs w:val="24"/>
              </w:rPr>
              <w:t>9</w:t>
            </w:r>
          </w:p>
        </w:tc>
        <w:tc>
          <w:tcPr>
            <w:tcW w:w="1334" w:type="dxa"/>
            <w:vAlign w:val="center"/>
          </w:tcPr>
          <w:p w:rsidR="009828B2" w:rsidRDefault="00AF6C71">
            <w:pPr>
              <w:jc w:val="center"/>
            </w:pPr>
            <w:r>
              <w:rPr>
                <w:color w:val="000000"/>
                <w:sz w:val="24"/>
                <w:szCs w:val="24"/>
              </w:rPr>
              <w:t>300347</w:t>
            </w:r>
          </w:p>
        </w:tc>
        <w:tc>
          <w:tcPr>
            <w:tcW w:w="1777" w:type="dxa"/>
            <w:vAlign w:val="center"/>
          </w:tcPr>
          <w:p w:rsidR="009828B2" w:rsidRDefault="00AF6C71">
            <w:pPr>
              <w:jc w:val="center"/>
            </w:pPr>
            <w:r>
              <w:rPr>
                <w:color w:val="000000"/>
                <w:sz w:val="24"/>
                <w:szCs w:val="24"/>
              </w:rPr>
              <w:t>泰格医药</w:t>
            </w:r>
          </w:p>
        </w:tc>
        <w:tc>
          <w:tcPr>
            <w:tcW w:w="1334" w:type="dxa"/>
            <w:vAlign w:val="center"/>
          </w:tcPr>
          <w:p w:rsidR="009828B2" w:rsidRDefault="00AF6C71">
            <w:pPr>
              <w:jc w:val="right"/>
            </w:pPr>
            <w:r>
              <w:rPr>
                <w:color w:val="000000"/>
                <w:sz w:val="24"/>
                <w:szCs w:val="24"/>
              </w:rPr>
              <w:t>1,799,679</w:t>
            </w:r>
          </w:p>
        </w:tc>
        <w:tc>
          <w:tcPr>
            <w:tcW w:w="1924" w:type="dxa"/>
            <w:vAlign w:val="center"/>
          </w:tcPr>
          <w:p w:rsidR="009828B2" w:rsidRDefault="00AF6C71">
            <w:pPr>
              <w:jc w:val="right"/>
            </w:pPr>
            <w:r>
              <w:rPr>
                <w:color w:val="000000"/>
                <w:sz w:val="24"/>
                <w:szCs w:val="24"/>
              </w:rPr>
              <w:t>48,609,329.79</w:t>
            </w:r>
          </w:p>
        </w:tc>
        <w:tc>
          <w:tcPr>
            <w:tcW w:w="1644" w:type="dxa"/>
            <w:vAlign w:val="center"/>
          </w:tcPr>
          <w:p w:rsidR="009828B2" w:rsidRDefault="00AF6C71">
            <w:pPr>
              <w:jc w:val="right"/>
            </w:pPr>
            <w:r>
              <w:rPr>
                <w:color w:val="000000"/>
                <w:sz w:val="24"/>
                <w:szCs w:val="24"/>
              </w:rPr>
              <w:t>3.11</w:t>
            </w:r>
          </w:p>
        </w:tc>
      </w:tr>
      <w:tr w:rsidR="009828B2">
        <w:trPr>
          <w:jc w:val="center"/>
        </w:trPr>
        <w:tc>
          <w:tcPr>
            <w:tcW w:w="855" w:type="dxa"/>
            <w:vAlign w:val="center"/>
          </w:tcPr>
          <w:p w:rsidR="009828B2" w:rsidRDefault="00AF6C71">
            <w:pPr>
              <w:jc w:val="center"/>
            </w:pPr>
            <w:r>
              <w:rPr>
                <w:color w:val="000000"/>
                <w:sz w:val="24"/>
                <w:szCs w:val="24"/>
              </w:rPr>
              <w:t>10</w:t>
            </w:r>
          </w:p>
        </w:tc>
        <w:tc>
          <w:tcPr>
            <w:tcW w:w="1334" w:type="dxa"/>
            <w:vAlign w:val="center"/>
          </w:tcPr>
          <w:p w:rsidR="009828B2" w:rsidRDefault="00AF6C71">
            <w:pPr>
              <w:jc w:val="center"/>
            </w:pPr>
            <w:r>
              <w:rPr>
                <w:color w:val="000000"/>
                <w:sz w:val="24"/>
                <w:szCs w:val="24"/>
              </w:rPr>
              <w:t>300349</w:t>
            </w:r>
          </w:p>
        </w:tc>
        <w:tc>
          <w:tcPr>
            <w:tcW w:w="1777" w:type="dxa"/>
            <w:vAlign w:val="center"/>
          </w:tcPr>
          <w:p w:rsidR="009828B2" w:rsidRDefault="00AF6C71">
            <w:pPr>
              <w:jc w:val="center"/>
            </w:pPr>
            <w:r>
              <w:rPr>
                <w:color w:val="000000"/>
                <w:sz w:val="24"/>
                <w:szCs w:val="24"/>
              </w:rPr>
              <w:t>金卡股份</w:t>
            </w:r>
          </w:p>
        </w:tc>
        <w:tc>
          <w:tcPr>
            <w:tcW w:w="1334" w:type="dxa"/>
            <w:vAlign w:val="center"/>
          </w:tcPr>
          <w:p w:rsidR="009828B2" w:rsidRDefault="00AF6C71">
            <w:pPr>
              <w:jc w:val="right"/>
            </w:pPr>
            <w:r>
              <w:rPr>
                <w:color w:val="000000"/>
                <w:sz w:val="24"/>
                <w:szCs w:val="24"/>
              </w:rPr>
              <w:t>1,342,500</w:t>
            </w:r>
          </w:p>
        </w:tc>
        <w:tc>
          <w:tcPr>
            <w:tcW w:w="1924" w:type="dxa"/>
            <w:vAlign w:val="center"/>
          </w:tcPr>
          <w:p w:rsidR="009828B2" w:rsidRDefault="00AF6C71">
            <w:pPr>
              <w:jc w:val="right"/>
            </w:pPr>
            <w:r>
              <w:rPr>
                <w:color w:val="000000"/>
                <w:sz w:val="24"/>
                <w:szCs w:val="24"/>
              </w:rPr>
              <w:t>42,731,775.00</w:t>
            </w:r>
          </w:p>
        </w:tc>
        <w:tc>
          <w:tcPr>
            <w:tcW w:w="1644" w:type="dxa"/>
            <w:vAlign w:val="center"/>
          </w:tcPr>
          <w:p w:rsidR="009828B2" w:rsidRDefault="00AF6C71">
            <w:pPr>
              <w:jc w:val="right"/>
            </w:pPr>
            <w:r>
              <w:rPr>
                <w:color w:val="000000"/>
                <w:sz w:val="24"/>
                <w:szCs w:val="24"/>
              </w:rPr>
              <w:t>2.73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828B2">
        <w:trPr>
          <w:jc w:val="center"/>
        </w:trPr>
        <w:tc>
          <w:tcPr>
            <w:tcW w:w="850" w:type="dxa"/>
            <w:vAlign w:val="center"/>
          </w:tcPr>
          <w:p w:rsidR="009828B2" w:rsidRDefault="00AF6C71">
            <w:pPr>
              <w:jc w:val="center"/>
            </w:pPr>
            <w:r>
              <w:rPr>
                <w:color w:val="000000"/>
                <w:sz w:val="24"/>
                <w:szCs w:val="24"/>
              </w:rPr>
              <w:t>1</w:t>
            </w:r>
          </w:p>
        </w:tc>
        <w:tc>
          <w:tcPr>
            <w:tcW w:w="1475" w:type="dxa"/>
            <w:vAlign w:val="center"/>
          </w:tcPr>
          <w:p w:rsidR="009828B2" w:rsidRDefault="00AF6C71">
            <w:pPr>
              <w:jc w:val="center"/>
            </w:pPr>
            <w:r>
              <w:rPr>
                <w:color w:val="000000"/>
                <w:sz w:val="24"/>
                <w:szCs w:val="24"/>
              </w:rPr>
              <w:t>160209</w:t>
            </w:r>
          </w:p>
        </w:tc>
        <w:tc>
          <w:tcPr>
            <w:tcW w:w="1769" w:type="dxa"/>
            <w:vAlign w:val="center"/>
          </w:tcPr>
          <w:p w:rsidR="009828B2" w:rsidRDefault="00AF6C71">
            <w:pPr>
              <w:jc w:val="center"/>
            </w:pPr>
            <w:r>
              <w:rPr>
                <w:color w:val="000000"/>
                <w:sz w:val="24"/>
                <w:szCs w:val="24"/>
              </w:rPr>
              <w:t>16</w:t>
            </w:r>
            <w:r>
              <w:rPr>
                <w:color w:val="000000"/>
                <w:sz w:val="24"/>
                <w:szCs w:val="24"/>
              </w:rPr>
              <w:t>国开</w:t>
            </w:r>
            <w:r>
              <w:rPr>
                <w:color w:val="000000"/>
                <w:sz w:val="24"/>
                <w:szCs w:val="24"/>
              </w:rPr>
              <w:t>09</w:t>
            </w:r>
          </w:p>
        </w:tc>
        <w:tc>
          <w:tcPr>
            <w:tcW w:w="1387" w:type="dxa"/>
            <w:vAlign w:val="center"/>
          </w:tcPr>
          <w:p w:rsidR="009828B2" w:rsidRDefault="00AF6C71">
            <w:pPr>
              <w:jc w:val="right"/>
            </w:pPr>
            <w:r>
              <w:rPr>
                <w:color w:val="000000"/>
                <w:sz w:val="24"/>
                <w:szCs w:val="24"/>
              </w:rPr>
              <w:t>700,000</w:t>
            </w:r>
          </w:p>
        </w:tc>
        <w:tc>
          <w:tcPr>
            <w:tcW w:w="2150" w:type="dxa"/>
            <w:vAlign w:val="center"/>
          </w:tcPr>
          <w:p w:rsidR="009828B2" w:rsidRDefault="00AF6C71">
            <w:pPr>
              <w:jc w:val="right"/>
            </w:pPr>
            <w:r>
              <w:rPr>
                <w:color w:val="000000"/>
                <w:sz w:val="24"/>
                <w:szCs w:val="24"/>
              </w:rPr>
              <w:t>69,930,000.00</w:t>
            </w:r>
          </w:p>
        </w:tc>
        <w:tc>
          <w:tcPr>
            <w:tcW w:w="1237" w:type="dxa"/>
            <w:vAlign w:val="center"/>
          </w:tcPr>
          <w:p w:rsidR="009828B2" w:rsidRDefault="00AF6C71">
            <w:pPr>
              <w:jc w:val="right"/>
            </w:pPr>
            <w:r>
              <w:rPr>
                <w:color w:val="000000"/>
                <w:sz w:val="24"/>
                <w:szCs w:val="24"/>
              </w:rPr>
              <w:t>4.47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692,340.04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1,376,416.61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55,472,640.57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57,541,397.22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841,655,105.08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653,096,705.06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186,278,609.61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1,308,473,200.53</w:t>
            </w:r>
          </w:p>
        </w:tc>
      </w:tr>
    </w:tbl>
    <w:p w:rsidR="009828B2" w:rsidRDefault="00AF6C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29,052,388.24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29,052,388.24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2.22</w:t>
            </w:r>
          </w:p>
        </w:tc>
      </w:tr>
    </w:tbl>
    <w:p w:rsidR="009828B2" w:rsidRDefault="00AF6C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2D6424" w:rsidRPr="00BB5E0E" w:rsidRDefault="002D6424" w:rsidP="002D6424">
      <w:pPr>
        <w:spacing w:line="288" w:lineRule="auto"/>
        <w:jc w:val="left"/>
        <w:rPr>
          <w:b/>
          <w:sz w:val="24"/>
        </w:rPr>
      </w:pPr>
      <w:r w:rsidRPr="00410630">
        <w:rPr>
          <w:b/>
          <w:sz w:val="24"/>
        </w:rPr>
        <w:t>7.2</w:t>
      </w:r>
      <w:r>
        <w:rPr>
          <w:rFonts w:hint="eastAsia"/>
          <w:b/>
          <w:sz w:val="24"/>
        </w:rPr>
        <w:t xml:space="preserve"> </w:t>
      </w:r>
      <w:r w:rsidRPr="00410630">
        <w:rPr>
          <w:rFonts w:hint="eastAsia"/>
          <w:b/>
          <w:sz w:val="24"/>
        </w:rPr>
        <w:t>基金管理人运用固有资金投资本基金交易明细</w:t>
      </w:r>
    </w:p>
    <w:p w:rsidR="002D6424" w:rsidRDefault="002D6424" w:rsidP="002D6424">
      <w:pPr>
        <w:autoSpaceDE w:val="0"/>
        <w:autoSpaceDN w:val="0"/>
        <w:adjustRightInd w:val="0"/>
        <w:spacing w:before="29" w:line="288" w:lineRule="auto"/>
        <w:jc w:val="left"/>
        <w:rPr>
          <w:rFonts w:eastAsiaTheme="minorEastAsia"/>
          <w:color w:val="000000"/>
          <w:sz w:val="24"/>
        </w:rPr>
      </w:pPr>
      <w:r w:rsidRPr="00414345">
        <w:rPr>
          <w:color w:val="000000"/>
          <w:sz w:val="24"/>
        </w:rPr>
        <w:t>本基金管理人本报告期内未进行本基金的申购、赎回、红利再投等。</w:t>
      </w: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828B2" w:rsidRDefault="00AF6C7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9828B2" w:rsidRDefault="00AF6C7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9828B2" w:rsidRDefault="00AF6C7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9828B2" w:rsidRDefault="00AF6C7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9828B2" w:rsidRDefault="00AF6C7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828B2" w:rsidRDefault="00AF6C7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AA372F">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AA372F">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424"/>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28B2"/>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72F"/>
    <w:rsid w:val="00AA3A38"/>
    <w:rsid w:val="00AA4F94"/>
    <w:rsid w:val="00AA6513"/>
    <w:rsid w:val="00AB047E"/>
    <w:rsid w:val="00AB4DB6"/>
    <w:rsid w:val="00AB6E79"/>
    <w:rsid w:val="00AC063D"/>
    <w:rsid w:val="00AC592E"/>
    <w:rsid w:val="00AC6C10"/>
    <w:rsid w:val="00AC7BC6"/>
    <w:rsid w:val="00AD24AA"/>
    <w:rsid w:val="00AE7962"/>
    <w:rsid w:val="00AF0A7F"/>
    <w:rsid w:val="00AF3AB2"/>
    <w:rsid w:val="00AF6C71"/>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2764-58A8-48EE-A551-9726DEDD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2017-01-17T10:49:00Z</dcterms:created>
  <dcterms:modified xsi:type="dcterms:W3CDTF">2017-01-17T10:49:00Z</dcterms:modified>
</cp:coreProperties>
</file>