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bookmarkStart w:id="0" w:name="_GoBack"/>
      <w:bookmarkEnd w:id="0"/>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D8478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35297" w:rsidRDefault="00D8478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8478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370,139,585.85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8478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478A" w:rsidRPr="00414345" w:rsidTr="00D8478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8478A" w:rsidRPr="00414345" w:rsidTr="00D8478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23,277,564.48</w:t>
            </w:r>
          </w:p>
        </w:tc>
      </w:tr>
      <w:tr w:rsidR="00D8478A" w:rsidRPr="00414345" w:rsidTr="00D8478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18,624,258.57</w:t>
            </w:r>
          </w:p>
        </w:tc>
      </w:tr>
      <w:tr w:rsidR="00D8478A" w:rsidRPr="00414345" w:rsidTr="00D8478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0.0497</w:t>
            </w:r>
          </w:p>
        </w:tc>
      </w:tr>
      <w:tr w:rsidR="00D8478A" w:rsidRPr="00414345" w:rsidTr="00D8478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705,271,119.76</w:t>
            </w:r>
          </w:p>
        </w:tc>
      </w:tr>
      <w:tr w:rsidR="00D8478A" w:rsidRPr="00414345" w:rsidTr="00D8478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1.905</w:t>
            </w:r>
          </w:p>
        </w:tc>
      </w:tr>
    </w:tbl>
    <w:p w:rsidR="00A35297" w:rsidRDefault="00D8478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35297">
        <w:trPr>
          <w:jc w:val="center"/>
        </w:trPr>
        <w:tc>
          <w:tcPr>
            <w:tcW w:w="1701" w:type="dxa"/>
            <w:vAlign w:val="center"/>
          </w:tcPr>
          <w:p w:rsidR="00A35297" w:rsidRDefault="00D8478A">
            <w:pPr>
              <w:jc w:val="left"/>
            </w:pPr>
            <w:r>
              <w:rPr>
                <w:color w:val="000000"/>
                <w:sz w:val="24"/>
                <w:szCs w:val="24"/>
              </w:rPr>
              <w:t>过去三个月</w:t>
            </w:r>
          </w:p>
        </w:tc>
        <w:tc>
          <w:tcPr>
            <w:tcW w:w="1045" w:type="dxa"/>
            <w:vAlign w:val="center"/>
          </w:tcPr>
          <w:p w:rsidR="00A35297" w:rsidRDefault="00D8478A">
            <w:pPr>
              <w:jc w:val="center"/>
            </w:pPr>
            <w:r>
              <w:rPr>
                <w:color w:val="000000"/>
                <w:sz w:val="24"/>
                <w:szCs w:val="24"/>
              </w:rPr>
              <w:t>2.58%</w:t>
            </w:r>
          </w:p>
        </w:tc>
        <w:tc>
          <w:tcPr>
            <w:tcW w:w="1344" w:type="dxa"/>
            <w:vAlign w:val="center"/>
          </w:tcPr>
          <w:p w:rsidR="00A35297" w:rsidRDefault="00D8478A">
            <w:pPr>
              <w:jc w:val="center"/>
            </w:pPr>
            <w:r>
              <w:rPr>
                <w:color w:val="000000"/>
                <w:sz w:val="24"/>
                <w:szCs w:val="24"/>
              </w:rPr>
              <w:t>0.63%</w:t>
            </w:r>
          </w:p>
        </w:tc>
        <w:tc>
          <w:tcPr>
            <w:tcW w:w="1194" w:type="dxa"/>
            <w:vAlign w:val="center"/>
          </w:tcPr>
          <w:p w:rsidR="00A35297" w:rsidRDefault="00D8478A">
            <w:pPr>
              <w:jc w:val="center"/>
            </w:pPr>
            <w:r>
              <w:rPr>
                <w:color w:val="000000"/>
                <w:sz w:val="24"/>
                <w:szCs w:val="24"/>
              </w:rPr>
              <w:t>0.51%</w:t>
            </w:r>
          </w:p>
        </w:tc>
        <w:tc>
          <w:tcPr>
            <w:tcW w:w="1492" w:type="dxa"/>
            <w:vAlign w:val="center"/>
          </w:tcPr>
          <w:p w:rsidR="00A35297" w:rsidRDefault="00D8478A">
            <w:pPr>
              <w:jc w:val="center"/>
            </w:pPr>
            <w:r>
              <w:rPr>
                <w:color w:val="000000"/>
                <w:sz w:val="24"/>
                <w:szCs w:val="24"/>
              </w:rPr>
              <w:t>0.44%</w:t>
            </w:r>
          </w:p>
        </w:tc>
        <w:tc>
          <w:tcPr>
            <w:tcW w:w="1194" w:type="dxa"/>
            <w:vAlign w:val="center"/>
          </w:tcPr>
          <w:p w:rsidR="00A35297" w:rsidRDefault="00D8478A">
            <w:pPr>
              <w:jc w:val="center"/>
            </w:pPr>
            <w:r>
              <w:rPr>
                <w:color w:val="000000"/>
                <w:sz w:val="24"/>
                <w:szCs w:val="24"/>
              </w:rPr>
              <w:t>2.07%</w:t>
            </w:r>
          </w:p>
        </w:tc>
        <w:tc>
          <w:tcPr>
            <w:tcW w:w="898" w:type="dxa"/>
            <w:vAlign w:val="center"/>
          </w:tcPr>
          <w:p w:rsidR="00A35297" w:rsidRDefault="00D8478A">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8478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35297">
        <w:trPr>
          <w:jc w:val="center"/>
        </w:trPr>
        <w:tc>
          <w:tcPr>
            <w:tcW w:w="846" w:type="dxa"/>
            <w:vAlign w:val="center"/>
          </w:tcPr>
          <w:p w:rsidR="00A35297" w:rsidRDefault="00D8478A">
            <w:pPr>
              <w:jc w:val="center"/>
            </w:pPr>
            <w:r>
              <w:rPr>
                <w:color w:val="000000"/>
                <w:sz w:val="24"/>
                <w:szCs w:val="24"/>
              </w:rPr>
              <w:t>沈楠</w:t>
            </w:r>
          </w:p>
        </w:tc>
        <w:tc>
          <w:tcPr>
            <w:tcW w:w="845" w:type="dxa"/>
            <w:vAlign w:val="center"/>
          </w:tcPr>
          <w:p w:rsidR="00A35297" w:rsidRDefault="00D8478A">
            <w:pPr>
              <w:jc w:val="center"/>
            </w:pPr>
            <w:r>
              <w:rPr>
                <w:color w:val="000000"/>
                <w:sz w:val="24"/>
                <w:szCs w:val="24"/>
              </w:rPr>
              <w:t>交银主题优选混合、交银国企改革灵活配置混合的基金经理</w:t>
            </w:r>
          </w:p>
        </w:tc>
        <w:tc>
          <w:tcPr>
            <w:tcW w:w="1549" w:type="dxa"/>
            <w:vAlign w:val="center"/>
          </w:tcPr>
          <w:p w:rsidR="00A35297" w:rsidRDefault="00D8478A">
            <w:pPr>
              <w:jc w:val="center"/>
            </w:pPr>
            <w:r>
              <w:rPr>
                <w:color w:val="000000"/>
                <w:sz w:val="24"/>
                <w:szCs w:val="24"/>
              </w:rPr>
              <w:t>2015-05-05</w:t>
            </w:r>
          </w:p>
        </w:tc>
        <w:tc>
          <w:tcPr>
            <w:tcW w:w="1548" w:type="dxa"/>
            <w:vAlign w:val="center"/>
          </w:tcPr>
          <w:p w:rsidR="00A35297" w:rsidRDefault="00D8478A">
            <w:pPr>
              <w:jc w:val="center"/>
            </w:pPr>
            <w:r>
              <w:rPr>
                <w:color w:val="000000"/>
                <w:sz w:val="24"/>
                <w:szCs w:val="24"/>
              </w:rPr>
              <w:t>-</w:t>
            </w:r>
          </w:p>
        </w:tc>
        <w:tc>
          <w:tcPr>
            <w:tcW w:w="1407" w:type="dxa"/>
            <w:vAlign w:val="center"/>
          </w:tcPr>
          <w:p w:rsidR="00A35297" w:rsidRDefault="00D8478A">
            <w:pPr>
              <w:jc w:val="center"/>
            </w:pPr>
            <w:r>
              <w:rPr>
                <w:color w:val="000000"/>
                <w:sz w:val="24"/>
                <w:szCs w:val="24"/>
              </w:rPr>
              <w:t>7</w:t>
            </w:r>
            <w:r>
              <w:rPr>
                <w:color w:val="000000"/>
                <w:sz w:val="24"/>
                <w:szCs w:val="24"/>
              </w:rPr>
              <w:t>年</w:t>
            </w:r>
          </w:p>
        </w:tc>
        <w:tc>
          <w:tcPr>
            <w:tcW w:w="2673" w:type="dxa"/>
            <w:vAlign w:val="center"/>
          </w:tcPr>
          <w:p w:rsidR="00A35297" w:rsidRDefault="00D8478A">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35297" w:rsidRDefault="00D8478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35297" w:rsidRDefault="00D8478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35297" w:rsidRDefault="00D8478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A35297" w:rsidRDefault="00D8478A">
      <w:pPr>
        <w:spacing w:before="29" w:line="288" w:lineRule="auto"/>
        <w:ind w:firstLineChars="200" w:firstLine="480"/>
        <w:rPr>
          <w:color w:val="000000"/>
          <w:sz w:val="24"/>
          <w:szCs w:val="24"/>
        </w:rPr>
      </w:pPr>
      <w:r>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Pr>
          <w:color w:val="000000"/>
          <w:sz w:val="24"/>
          <w:szCs w:val="24"/>
        </w:rPr>
        <w:t>5%</w:t>
      </w:r>
      <w:r>
        <w:rPr>
          <w:color w:val="000000"/>
          <w:sz w:val="24"/>
          <w:szCs w:val="24"/>
        </w:rPr>
        <w:t>的情况有</w:t>
      </w:r>
      <w:r>
        <w:rPr>
          <w:color w:val="000000"/>
          <w:sz w:val="24"/>
          <w:szCs w:val="24"/>
        </w:rPr>
        <w:t>1</w:t>
      </w:r>
      <w:r>
        <w:rPr>
          <w:color w:val="000000"/>
          <w:sz w:val="24"/>
          <w:szCs w:val="24"/>
        </w:rPr>
        <w:t>次，是投资组合因投资策略需要而发生同日反向交易，未发现不公平交易和利益输送的情况。本基金与本公司管理的其他投资组合在不同时间窗下（如日内、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日内）同向交易的交易价差未发现异常。</w:t>
      </w:r>
    </w:p>
    <w:p w:rsidR="00A35297" w:rsidRDefault="00A35297">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35297" w:rsidRDefault="00D8478A">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宏观经济稳步回升，通胀预期继续升温，部分城市住宅价格过热引发地产结构性调控政策出台。与此同时，中央加强金融体系监管，试图有效降低部分领域过高杠杆水平，这些举措叠加短期汇率的贬值预期，对国内流动性和债券市场产生一定扰动。我们认为货币政策实质转向中性稳健。监管部门对并购、重组、借壳的资本运作进一步规范有效放缓了再融资进程，为</w:t>
      </w:r>
      <w:r>
        <w:rPr>
          <w:color w:val="000000"/>
          <w:sz w:val="24"/>
          <w:szCs w:val="24"/>
        </w:rPr>
        <w:t>IPO</w:t>
      </w:r>
      <w:r>
        <w:rPr>
          <w:color w:val="000000"/>
          <w:sz w:val="24"/>
          <w:szCs w:val="24"/>
        </w:rPr>
        <w:t>提速带来空间。市场指数先扬后抑，未来若利率水平无法有效恢复到前期水平，市场整体仍将处于估值去泡沫的阶段。</w:t>
      </w:r>
    </w:p>
    <w:p w:rsidR="00A35297" w:rsidRDefault="00D8478A">
      <w:pPr>
        <w:spacing w:before="29" w:line="288" w:lineRule="auto"/>
        <w:ind w:firstLineChars="200" w:firstLine="480"/>
        <w:rPr>
          <w:color w:val="000000"/>
          <w:sz w:val="24"/>
          <w:szCs w:val="24"/>
        </w:rPr>
      </w:pPr>
      <w:r>
        <w:rPr>
          <w:color w:val="000000"/>
          <w:sz w:val="24"/>
          <w:szCs w:val="24"/>
        </w:rPr>
        <w:t>报告期内，本基金配置以稳定成长及主题轮动为主，适当参与了国企改革的投资机会，整体净值取得了一定的阿尔法收益。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年一季度，美国大选尘埃落定及加息落地带来外围不确定性的显著下降，若人民币汇率能保持相对稳定，国内产业创新将带动科技、医药、先进制造等领域的快速发展。市场经历调整后我们对</w:t>
      </w:r>
      <w:r w:rsidRPr="00414345">
        <w:rPr>
          <w:color w:val="000000"/>
          <w:sz w:val="24"/>
          <w:szCs w:val="24"/>
        </w:rPr>
        <w:t>A</w:t>
      </w:r>
      <w:r w:rsidRPr="00414345">
        <w:rPr>
          <w:color w:val="000000"/>
          <w:sz w:val="24"/>
          <w:szCs w:val="24"/>
        </w:rPr>
        <w:t>股市场保持乐观，计划将积极参与部分行业及公司的投资机会。本基金未来计划通过配置业绩稳定增长类行业的个股，来增强组合的抗波动性，此外对于前期跌幅较大的成长性公司会择机增加持仓，并聚焦于具备竞争壁垒的部分龙头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1.905</w:t>
      </w:r>
      <w:r w:rsidRPr="00414345">
        <w:rPr>
          <w:color w:val="000000"/>
          <w:sz w:val="24"/>
          <w:szCs w:val="24"/>
        </w:rPr>
        <w:t>元，本报告期份额净值增长率为</w:t>
      </w:r>
      <w:r w:rsidRPr="00414345">
        <w:rPr>
          <w:color w:val="000000"/>
          <w:sz w:val="24"/>
          <w:szCs w:val="24"/>
        </w:rPr>
        <w:t>2.58%</w:t>
      </w:r>
      <w:r w:rsidRPr="00414345">
        <w:rPr>
          <w:color w:val="000000"/>
          <w:sz w:val="24"/>
          <w:szCs w:val="24"/>
        </w:rPr>
        <w:t>，同期业绩比较基准增长率为</w:t>
      </w:r>
      <w:r w:rsidRPr="00414345">
        <w:rPr>
          <w:color w:val="000000"/>
          <w:sz w:val="24"/>
          <w:szCs w:val="24"/>
        </w:rPr>
        <w:t>0.51%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8478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466,495,180.58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466,495,180.58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65.78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29,970,000.00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4.23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29,970,000.00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4.23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99,920,349.88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111,614,715.81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15.74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1,157,426.09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709,157,672.36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6,429,000.00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315,881,870.84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37,917.66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11,844,000.45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15,265,146.36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64,185,940.70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28,703,869.81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8,100,893.22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15,930,302.86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466,495,180.58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35297">
        <w:trPr>
          <w:jc w:val="center"/>
        </w:trPr>
        <w:tc>
          <w:tcPr>
            <w:tcW w:w="855" w:type="dxa"/>
            <w:vAlign w:val="center"/>
          </w:tcPr>
          <w:p w:rsidR="00A35297" w:rsidRDefault="00D8478A">
            <w:pPr>
              <w:jc w:val="center"/>
            </w:pPr>
            <w:r>
              <w:rPr>
                <w:color w:val="000000"/>
                <w:sz w:val="24"/>
                <w:szCs w:val="24"/>
              </w:rPr>
              <w:t>1</w:t>
            </w:r>
          </w:p>
        </w:tc>
        <w:tc>
          <w:tcPr>
            <w:tcW w:w="1334" w:type="dxa"/>
            <w:vAlign w:val="center"/>
          </w:tcPr>
          <w:p w:rsidR="00A35297" w:rsidRDefault="00D8478A">
            <w:pPr>
              <w:jc w:val="center"/>
            </w:pPr>
            <w:r>
              <w:rPr>
                <w:color w:val="000000"/>
                <w:sz w:val="24"/>
                <w:szCs w:val="24"/>
              </w:rPr>
              <w:t>600967</w:t>
            </w:r>
          </w:p>
        </w:tc>
        <w:tc>
          <w:tcPr>
            <w:tcW w:w="1777" w:type="dxa"/>
            <w:vAlign w:val="center"/>
          </w:tcPr>
          <w:p w:rsidR="00A35297" w:rsidRDefault="00D8478A">
            <w:pPr>
              <w:jc w:val="center"/>
            </w:pPr>
            <w:r>
              <w:rPr>
                <w:color w:val="000000"/>
                <w:sz w:val="24"/>
                <w:szCs w:val="24"/>
              </w:rPr>
              <w:t>北方创业</w:t>
            </w:r>
          </w:p>
        </w:tc>
        <w:tc>
          <w:tcPr>
            <w:tcW w:w="1334" w:type="dxa"/>
            <w:vAlign w:val="center"/>
          </w:tcPr>
          <w:p w:rsidR="00A35297" w:rsidRDefault="00D8478A">
            <w:pPr>
              <w:jc w:val="right"/>
            </w:pPr>
            <w:r>
              <w:rPr>
                <w:color w:val="000000"/>
                <w:sz w:val="24"/>
                <w:szCs w:val="24"/>
              </w:rPr>
              <w:t>2,504,037</w:t>
            </w:r>
          </w:p>
        </w:tc>
        <w:tc>
          <w:tcPr>
            <w:tcW w:w="1924" w:type="dxa"/>
            <w:vAlign w:val="center"/>
          </w:tcPr>
          <w:p w:rsidR="00A35297" w:rsidRDefault="00D8478A">
            <w:pPr>
              <w:jc w:val="right"/>
            </w:pPr>
            <w:r>
              <w:rPr>
                <w:color w:val="000000"/>
                <w:sz w:val="24"/>
                <w:szCs w:val="24"/>
              </w:rPr>
              <w:t>33,979,782.09</w:t>
            </w:r>
          </w:p>
        </w:tc>
        <w:tc>
          <w:tcPr>
            <w:tcW w:w="1644" w:type="dxa"/>
            <w:vAlign w:val="center"/>
          </w:tcPr>
          <w:p w:rsidR="00A35297" w:rsidRDefault="00D8478A">
            <w:pPr>
              <w:jc w:val="right"/>
            </w:pPr>
            <w:r>
              <w:rPr>
                <w:color w:val="000000"/>
                <w:sz w:val="24"/>
                <w:szCs w:val="24"/>
              </w:rPr>
              <w:t>4.82</w:t>
            </w:r>
          </w:p>
        </w:tc>
      </w:tr>
      <w:tr w:rsidR="00A35297">
        <w:trPr>
          <w:jc w:val="center"/>
        </w:trPr>
        <w:tc>
          <w:tcPr>
            <w:tcW w:w="855" w:type="dxa"/>
            <w:vAlign w:val="center"/>
          </w:tcPr>
          <w:p w:rsidR="00A35297" w:rsidRDefault="00D8478A">
            <w:pPr>
              <w:jc w:val="center"/>
            </w:pPr>
            <w:r>
              <w:rPr>
                <w:color w:val="000000"/>
                <w:sz w:val="24"/>
                <w:szCs w:val="24"/>
              </w:rPr>
              <w:t>2</w:t>
            </w:r>
          </w:p>
        </w:tc>
        <w:tc>
          <w:tcPr>
            <w:tcW w:w="1334" w:type="dxa"/>
            <w:vAlign w:val="center"/>
          </w:tcPr>
          <w:p w:rsidR="00A35297" w:rsidRDefault="00D8478A">
            <w:pPr>
              <w:jc w:val="center"/>
            </w:pPr>
            <w:r>
              <w:rPr>
                <w:color w:val="000000"/>
                <w:sz w:val="24"/>
                <w:szCs w:val="24"/>
              </w:rPr>
              <w:t>002262</w:t>
            </w:r>
          </w:p>
        </w:tc>
        <w:tc>
          <w:tcPr>
            <w:tcW w:w="1777" w:type="dxa"/>
            <w:vAlign w:val="center"/>
          </w:tcPr>
          <w:p w:rsidR="00A35297" w:rsidRDefault="00D8478A">
            <w:pPr>
              <w:jc w:val="center"/>
            </w:pPr>
            <w:r>
              <w:rPr>
                <w:color w:val="000000"/>
                <w:sz w:val="24"/>
                <w:szCs w:val="24"/>
              </w:rPr>
              <w:t>恩华药业</w:t>
            </w:r>
          </w:p>
        </w:tc>
        <w:tc>
          <w:tcPr>
            <w:tcW w:w="1334" w:type="dxa"/>
            <w:vAlign w:val="center"/>
          </w:tcPr>
          <w:p w:rsidR="00A35297" w:rsidRDefault="00D8478A">
            <w:pPr>
              <w:jc w:val="right"/>
            </w:pPr>
            <w:r>
              <w:rPr>
                <w:color w:val="000000"/>
                <w:sz w:val="24"/>
                <w:szCs w:val="24"/>
              </w:rPr>
              <w:t>1,542,105</w:t>
            </w:r>
          </w:p>
        </w:tc>
        <w:tc>
          <w:tcPr>
            <w:tcW w:w="1924" w:type="dxa"/>
            <w:vAlign w:val="center"/>
          </w:tcPr>
          <w:p w:rsidR="00A35297" w:rsidRDefault="00D8478A">
            <w:pPr>
              <w:jc w:val="right"/>
            </w:pPr>
            <w:r>
              <w:rPr>
                <w:color w:val="000000"/>
                <w:sz w:val="24"/>
                <w:szCs w:val="24"/>
              </w:rPr>
              <w:t>32,229,994.50</w:t>
            </w:r>
          </w:p>
        </w:tc>
        <w:tc>
          <w:tcPr>
            <w:tcW w:w="1644" w:type="dxa"/>
            <w:vAlign w:val="center"/>
          </w:tcPr>
          <w:p w:rsidR="00A35297" w:rsidRDefault="00D8478A">
            <w:pPr>
              <w:jc w:val="right"/>
            </w:pPr>
            <w:r>
              <w:rPr>
                <w:color w:val="000000"/>
                <w:sz w:val="24"/>
                <w:szCs w:val="24"/>
              </w:rPr>
              <w:t>4.57</w:t>
            </w:r>
          </w:p>
        </w:tc>
      </w:tr>
      <w:tr w:rsidR="00A35297">
        <w:trPr>
          <w:jc w:val="center"/>
        </w:trPr>
        <w:tc>
          <w:tcPr>
            <w:tcW w:w="855" w:type="dxa"/>
            <w:vAlign w:val="center"/>
          </w:tcPr>
          <w:p w:rsidR="00A35297" w:rsidRDefault="00D8478A">
            <w:pPr>
              <w:jc w:val="center"/>
            </w:pPr>
            <w:r>
              <w:rPr>
                <w:color w:val="000000"/>
                <w:sz w:val="24"/>
                <w:szCs w:val="24"/>
              </w:rPr>
              <w:t>3</w:t>
            </w:r>
          </w:p>
        </w:tc>
        <w:tc>
          <w:tcPr>
            <w:tcW w:w="1334" w:type="dxa"/>
            <w:vAlign w:val="center"/>
          </w:tcPr>
          <w:p w:rsidR="00A35297" w:rsidRDefault="00D8478A">
            <w:pPr>
              <w:jc w:val="center"/>
            </w:pPr>
            <w:r>
              <w:rPr>
                <w:color w:val="000000"/>
                <w:sz w:val="24"/>
                <w:szCs w:val="24"/>
              </w:rPr>
              <w:t>000949</w:t>
            </w:r>
          </w:p>
        </w:tc>
        <w:tc>
          <w:tcPr>
            <w:tcW w:w="1777" w:type="dxa"/>
            <w:vAlign w:val="center"/>
          </w:tcPr>
          <w:p w:rsidR="00A35297" w:rsidRDefault="00D8478A">
            <w:pPr>
              <w:jc w:val="center"/>
            </w:pPr>
            <w:r>
              <w:rPr>
                <w:color w:val="000000"/>
                <w:sz w:val="24"/>
                <w:szCs w:val="24"/>
              </w:rPr>
              <w:t>新乡化纤</w:t>
            </w:r>
          </w:p>
        </w:tc>
        <w:tc>
          <w:tcPr>
            <w:tcW w:w="1334" w:type="dxa"/>
            <w:vAlign w:val="center"/>
          </w:tcPr>
          <w:p w:rsidR="00A35297" w:rsidRDefault="00D8478A">
            <w:pPr>
              <w:jc w:val="right"/>
            </w:pPr>
            <w:r>
              <w:rPr>
                <w:color w:val="000000"/>
                <w:sz w:val="24"/>
                <w:szCs w:val="24"/>
              </w:rPr>
              <w:t>4,757,000</w:t>
            </w:r>
          </w:p>
        </w:tc>
        <w:tc>
          <w:tcPr>
            <w:tcW w:w="1924" w:type="dxa"/>
            <w:vAlign w:val="center"/>
          </w:tcPr>
          <w:p w:rsidR="00A35297" w:rsidRDefault="00D8478A">
            <w:pPr>
              <w:jc w:val="right"/>
            </w:pPr>
            <w:r>
              <w:rPr>
                <w:color w:val="000000"/>
                <w:sz w:val="24"/>
                <w:szCs w:val="24"/>
              </w:rPr>
              <w:t>29,540,970.00</w:t>
            </w:r>
          </w:p>
        </w:tc>
        <w:tc>
          <w:tcPr>
            <w:tcW w:w="1644" w:type="dxa"/>
            <w:vAlign w:val="center"/>
          </w:tcPr>
          <w:p w:rsidR="00A35297" w:rsidRDefault="00D8478A">
            <w:pPr>
              <w:jc w:val="right"/>
            </w:pPr>
            <w:r>
              <w:rPr>
                <w:color w:val="000000"/>
                <w:sz w:val="24"/>
                <w:szCs w:val="24"/>
              </w:rPr>
              <w:t>4.19</w:t>
            </w:r>
          </w:p>
        </w:tc>
      </w:tr>
      <w:tr w:rsidR="00A35297">
        <w:trPr>
          <w:jc w:val="center"/>
        </w:trPr>
        <w:tc>
          <w:tcPr>
            <w:tcW w:w="855" w:type="dxa"/>
            <w:vAlign w:val="center"/>
          </w:tcPr>
          <w:p w:rsidR="00A35297" w:rsidRDefault="00D8478A">
            <w:pPr>
              <w:jc w:val="center"/>
            </w:pPr>
            <w:r>
              <w:rPr>
                <w:color w:val="000000"/>
                <w:sz w:val="24"/>
                <w:szCs w:val="24"/>
              </w:rPr>
              <w:t>4</w:t>
            </w:r>
          </w:p>
        </w:tc>
        <w:tc>
          <w:tcPr>
            <w:tcW w:w="1334" w:type="dxa"/>
            <w:vAlign w:val="center"/>
          </w:tcPr>
          <w:p w:rsidR="00A35297" w:rsidRDefault="00D8478A">
            <w:pPr>
              <w:jc w:val="center"/>
            </w:pPr>
            <w:r>
              <w:rPr>
                <w:color w:val="000000"/>
                <w:sz w:val="24"/>
                <w:szCs w:val="24"/>
              </w:rPr>
              <w:t>600622</w:t>
            </w:r>
          </w:p>
        </w:tc>
        <w:tc>
          <w:tcPr>
            <w:tcW w:w="1777" w:type="dxa"/>
            <w:vAlign w:val="center"/>
          </w:tcPr>
          <w:p w:rsidR="00A35297" w:rsidRDefault="00D8478A">
            <w:pPr>
              <w:jc w:val="center"/>
            </w:pPr>
            <w:r>
              <w:rPr>
                <w:color w:val="000000"/>
                <w:sz w:val="24"/>
                <w:szCs w:val="24"/>
              </w:rPr>
              <w:t>嘉宝集团</w:t>
            </w:r>
          </w:p>
        </w:tc>
        <w:tc>
          <w:tcPr>
            <w:tcW w:w="1334" w:type="dxa"/>
            <w:vAlign w:val="center"/>
          </w:tcPr>
          <w:p w:rsidR="00A35297" w:rsidRDefault="00D8478A">
            <w:pPr>
              <w:jc w:val="right"/>
            </w:pPr>
            <w:r>
              <w:rPr>
                <w:color w:val="000000"/>
                <w:sz w:val="24"/>
                <w:szCs w:val="24"/>
              </w:rPr>
              <w:t>1,991,941</w:t>
            </w:r>
          </w:p>
        </w:tc>
        <w:tc>
          <w:tcPr>
            <w:tcW w:w="1924" w:type="dxa"/>
            <w:vAlign w:val="center"/>
          </w:tcPr>
          <w:p w:rsidR="00A35297" w:rsidRDefault="00D8478A">
            <w:pPr>
              <w:jc w:val="right"/>
            </w:pPr>
            <w:r>
              <w:rPr>
                <w:color w:val="000000"/>
                <w:sz w:val="24"/>
                <w:szCs w:val="24"/>
              </w:rPr>
              <w:t>28,703,869.81</w:t>
            </w:r>
          </w:p>
        </w:tc>
        <w:tc>
          <w:tcPr>
            <w:tcW w:w="1644" w:type="dxa"/>
            <w:vAlign w:val="center"/>
          </w:tcPr>
          <w:p w:rsidR="00A35297" w:rsidRDefault="00D8478A">
            <w:pPr>
              <w:jc w:val="right"/>
            </w:pPr>
            <w:r>
              <w:rPr>
                <w:color w:val="000000"/>
                <w:sz w:val="24"/>
                <w:szCs w:val="24"/>
              </w:rPr>
              <w:t>4.07</w:t>
            </w:r>
          </w:p>
        </w:tc>
      </w:tr>
      <w:tr w:rsidR="00A35297">
        <w:trPr>
          <w:jc w:val="center"/>
        </w:trPr>
        <w:tc>
          <w:tcPr>
            <w:tcW w:w="855" w:type="dxa"/>
            <w:vAlign w:val="center"/>
          </w:tcPr>
          <w:p w:rsidR="00A35297" w:rsidRDefault="00D8478A">
            <w:pPr>
              <w:jc w:val="center"/>
            </w:pPr>
            <w:r>
              <w:rPr>
                <w:color w:val="000000"/>
                <w:sz w:val="24"/>
                <w:szCs w:val="24"/>
              </w:rPr>
              <w:t>5</w:t>
            </w:r>
          </w:p>
        </w:tc>
        <w:tc>
          <w:tcPr>
            <w:tcW w:w="1334" w:type="dxa"/>
            <w:vAlign w:val="center"/>
          </w:tcPr>
          <w:p w:rsidR="00A35297" w:rsidRDefault="00D8478A">
            <w:pPr>
              <w:jc w:val="center"/>
            </w:pPr>
            <w:r>
              <w:rPr>
                <w:color w:val="000000"/>
                <w:sz w:val="24"/>
                <w:szCs w:val="24"/>
              </w:rPr>
              <w:t>000821</w:t>
            </w:r>
          </w:p>
        </w:tc>
        <w:tc>
          <w:tcPr>
            <w:tcW w:w="1777" w:type="dxa"/>
            <w:vAlign w:val="center"/>
          </w:tcPr>
          <w:p w:rsidR="00A35297" w:rsidRDefault="00D8478A">
            <w:pPr>
              <w:jc w:val="center"/>
            </w:pPr>
            <w:r>
              <w:rPr>
                <w:color w:val="000000"/>
                <w:sz w:val="24"/>
                <w:szCs w:val="24"/>
              </w:rPr>
              <w:t>京山轻机</w:t>
            </w:r>
          </w:p>
        </w:tc>
        <w:tc>
          <w:tcPr>
            <w:tcW w:w="1334" w:type="dxa"/>
            <w:vAlign w:val="center"/>
          </w:tcPr>
          <w:p w:rsidR="00A35297" w:rsidRDefault="00D8478A">
            <w:pPr>
              <w:jc w:val="right"/>
            </w:pPr>
            <w:r>
              <w:rPr>
                <w:color w:val="000000"/>
                <w:sz w:val="24"/>
                <w:szCs w:val="24"/>
              </w:rPr>
              <w:t>1,610,396</w:t>
            </w:r>
          </w:p>
        </w:tc>
        <w:tc>
          <w:tcPr>
            <w:tcW w:w="1924" w:type="dxa"/>
            <w:vAlign w:val="center"/>
          </w:tcPr>
          <w:p w:rsidR="00A35297" w:rsidRDefault="00D8478A">
            <w:pPr>
              <w:jc w:val="right"/>
            </w:pPr>
            <w:r>
              <w:rPr>
                <w:color w:val="000000"/>
                <w:sz w:val="24"/>
                <w:szCs w:val="24"/>
              </w:rPr>
              <w:t>24,703,474.64</w:t>
            </w:r>
          </w:p>
        </w:tc>
        <w:tc>
          <w:tcPr>
            <w:tcW w:w="1644" w:type="dxa"/>
            <w:vAlign w:val="center"/>
          </w:tcPr>
          <w:p w:rsidR="00A35297" w:rsidRDefault="00D8478A">
            <w:pPr>
              <w:jc w:val="right"/>
            </w:pPr>
            <w:r>
              <w:rPr>
                <w:color w:val="000000"/>
                <w:sz w:val="24"/>
                <w:szCs w:val="24"/>
              </w:rPr>
              <w:t>3.50</w:t>
            </w:r>
          </w:p>
        </w:tc>
      </w:tr>
      <w:tr w:rsidR="00A35297">
        <w:trPr>
          <w:jc w:val="center"/>
        </w:trPr>
        <w:tc>
          <w:tcPr>
            <w:tcW w:w="855" w:type="dxa"/>
            <w:vAlign w:val="center"/>
          </w:tcPr>
          <w:p w:rsidR="00A35297" w:rsidRDefault="00D8478A">
            <w:pPr>
              <w:jc w:val="center"/>
            </w:pPr>
            <w:r>
              <w:rPr>
                <w:color w:val="000000"/>
                <w:sz w:val="24"/>
                <w:szCs w:val="24"/>
              </w:rPr>
              <w:t>6</w:t>
            </w:r>
          </w:p>
        </w:tc>
        <w:tc>
          <w:tcPr>
            <w:tcW w:w="1334" w:type="dxa"/>
            <w:vAlign w:val="center"/>
          </w:tcPr>
          <w:p w:rsidR="00A35297" w:rsidRDefault="00D8478A">
            <w:pPr>
              <w:jc w:val="center"/>
            </w:pPr>
            <w:r>
              <w:rPr>
                <w:color w:val="000000"/>
                <w:sz w:val="24"/>
                <w:szCs w:val="24"/>
              </w:rPr>
              <w:t>300145</w:t>
            </w:r>
          </w:p>
        </w:tc>
        <w:tc>
          <w:tcPr>
            <w:tcW w:w="1777" w:type="dxa"/>
            <w:vAlign w:val="center"/>
          </w:tcPr>
          <w:p w:rsidR="00A35297" w:rsidRDefault="00D8478A">
            <w:pPr>
              <w:jc w:val="center"/>
            </w:pPr>
            <w:r>
              <w:rPr>
                <w:color w:val="000000"/>
                <w:sz w:val="24"/>
                <w:szCs w:val="24"/>
              </w:rPr>
              <w:t>中金环境</w:t>
            </w:r>
          </w:p>
        </w:tc>
        <w:tc>
          <w:tcPr>
            <w:tcW w:w="1334" w:type="dxa"/>
            <w:vAlign w:val="center"/>
          </w:tcPr>
          <w:p w:rsidR="00A35297" w:rsidRDefault="00D8478A">
            <w:pPr>
              <w:jc w:val="right"/>
            </w:pPr>
            <w:r>
              <w:rPr>
                <w:color w:val="000000"/>
                <w:sz w:val="24"/>
                <w:szCs w:val="24"/>
              </w:rPr>
              <w:t>842,239</w:t>
            </w:r>
          </w:p>
        </w:tc>
        <w:tc>
          <w:tcPr>
            <w:tcW w:w="1924" w:type="dxa"/>
            <w:vAlign w:val="center"/>
          </w:tcPr>
          <w:p w:rsidR="00A35297" w:rsidRDefault="00D8478A">
            <w:pPr>
              <w:jc w:val="right"/>
            </w:pPr>
            <w:r>
              <w:rPr>
                <w:color w:val="000000"/>
                <w:sz w:val="24"/>
                <w:szCs w:val="24"/>
              </w:rPr>
              <w:t>21,982,437.90</w:t>
            </w:r>
          </w:p>
        </w:tc>
        <w:tc>
          <w:tcPr>
            <w:tcW w:w="1644" w:type="dxa"/>
            <w:vAlign w:val="center"/>
          </w:tcPr>
          <w:p w:rsidR="00A35297" w:rsidRDefault="00D8478A">
            <w:pPr>
              <w:jc w:val="right"/>
            </w:pPr>
            <w:r>
              <w:rPr>
                <w:color w:val="000000"/>
                <w:sz w:val="24"/>
                <w:szCs w:val="24"/>
              </w:rPr>
              <w:t>3.12</w:t>
            </w:r>
          </w:p>
        </w:tc>
      </w:tr>
      <w:tr w:rsidR="00A35297">
        <w:trPr>
          <w:jc w:val="center"/>
        </w:trPr>
        <w:tc>
          <w:tcPr>
            <w:tcW w:w="855" w:type="dxa"/>
            <w:vAlign w:val="center"/>
          </w:tcPr>
          <w:p w:rsidR="00A35297" w:rsidRDefault="00D8478A">
            <w:pPr>
              <w:jc w:val="center"/>
            </w:pPr>
            <w:r>
              <w:rPr>
                <w:color w:val="000000"/>
                <w:sz w:val="24"/>
                <w:szCs w:val="24"/>
              </w:rPr>
              <w:t>7</w:t>
            </w:r>
          </w:p>
        </w:tc>
        <w:tc>
          <w:tcPr>
            <w:tcW w:w="1334" w:type="dxa"/>
            <w:vAlign w:val="center"/>
          </w:tcPr>
          <w:p w:rsidR="00A35297" w:rsidRDefault="00D8478A">
            <w:pPr>
              <w:jc w:val="center"/>
            </w:pPr>
            <w:r>
              <w:rPr>
                <w:color w:val="000000"/>
                <w:sz w:val="24"/>
                <w:szCs w:val="24"/>
              </w:rPr>
              <w:t>300166</w:t>
            </w:r>
          </w:p>
        </w:tc>
        <w:tc>
          <w:tcPr>
            <w:tcW w:w="1777" w:type="dxa"/>
            <w:vAlign w:val="center"/>
          </w:tcPr>
          <w:p w:rsidR="00A35297" w:rsidRDefault="00D8478A">
            <w:pPr>
              <w:jc w:val="center"/>
            </w:pPr>
            <w:r>
              <w:rPr>
                <w:color w:val="000000"/>
                <w:sz w:val="24"/>
                <w:szCs w:val="24"/>
              </w:rPr>
              <w:t>东方国信</w:t>
            </w:r>
          </w:p>
        </w:tc>
        <w:tc>
          <w:tcPr>
            <w:tcW w:w="1334" w:type="dxa"/>
            <w:vAlign w:val="center"/>
          </w:tcPr>
          <w:p w:rsidR="00A35297" w:rsidRDefault="00D8478A">
            <w:pPr>
              <w:jc w:val="right"/>
            </w:pPr>
            <w:r>
              <w:rPr>
                <w:color w:val="000000"/>
                <w:sz w:val="24"/>
                <w:szCs w:val="24"/>
              </w:rPr>
              <w:t>977,800</w:t>
            </w:r>
          </w:p>
        </w:tc>
        <w:tc>
          <w:tcPr>
            <w:tcW w:w="1924" w:type="dxa"/>
            <w:vAlign w:val="center"/>
          </w:tcPr>
          <w:p w:rsidR="00A35297" w:rsidRDefault="00D8478A">
            <w:pPr>
              <w:jc w:val="right"/>
            </w:pPr>
            <w:r>
              <w:rPr>
                <w:color w:val="000000"/>
                <w:sz w:val="24"/>
                <w:szCs w:val="24"/>
              </w:rPr>
              <w:t>20,328,462.00</w:t>
            </w:r>
          </w:p>
        </w:tc>
        <w:tc>
          <w:tcPr>
            <w:tcW w:w="1644" w:type="dxa"/>
            <w:vAlign w:val="center"/>
          </w:tcPr>
          <w:p w:rsidR="00A35297" w:rsidRDefault="00D8478A">
            <w:pPr>
              <w:jc w:val="right"/>
            </w:pPr>
            <w:r>
              <w:rPr>
                <w:color w:val="000000"/>
                <w:sz w:val="24"/>
                <w:szCs w:val="24"/>
              </w:rPr>
              <w:t>2.88</w:t>
            </w:r>
          </w:p>
        </w:tc>
      </w:tr>
      <w:tr w:rsidR="00A35297">
        <w:trPr>
          <w:jc w:val="center"/>
        </w:trPr>
        <w:tc>
          <w:tcPr>
            <w:tcW w:w="855" w:type="dxa"/>
            <w:vAlign w:val="center"/>
          </w:tcPr>
          <w:p w:rsidR="00A35297" w:rsidRDefault="00D8478A">
            <w:pPr>
              <w:jc w:val="center"/>
            </w:pPr>
            <w:r>
              <w:rPr>
                <w:color w:val="000000"/>
                <w:sz w:val="24"/>
                <w:szCs w:val="24"/>
              </w:rPr>
              <w:t>8</w:t>
            </w:r>
          </w:p>
        </w:tc>
        <w:tc>
          <w:tcPr>
            <w:tcW w:w="1334" w:type="dxa"/>
            <w:vAlign w:val="center"/>
          </w:tcPr>
          <w:p w:rsidR="00A35297" w:rsidRDefault="00D8478A">
            <w:pPr>
              <w:jc w:val="center"/>
            </w:pPr>
            <w:r>
              <w:rPr>
                <w:color w:val="000000"/>
                <w:sz w:val="24"/>
                <w:szCs w:val="24"/>
              </w:rPr>
              <w:t>002055</w:t>
            </w:r>
          </w:p>
        </w:tc>
        <w:tc>
          <w:tcPr>
            <w:tcW w:w="1777" w:type="dxa"/>
            <w:vAlign w:val="center"/>
          </w:tcPr>
          <w:p w:rsidR="00A35297" w:rsidRDefault="00D8478A">
            <w:pPr>
              <w:jc w:val="center"/>
            </w:pPr>
            <w:r>
              <w:rPr>
                <w:color w:val="000000"/>
                <w:sz w:val="24"/>
                <w:szCs w:val="24"/>
              </w:rPr>
              <w:t>得润电子</w:t>
            </w:r>
          </w:p>
        </w:tc>
        <w:tc>
          <w:tcPr>
            <w:tcW w:w="1334" w:type="dxa"/>
            <w:vAlign w:val="center"/>
          </w:tcPr>
          <w:p w:rsidR="00A35297" w:rsidRDefault="00D8478A">
            <w:pPr>
              <w:jc w:val="right"/>
            </w:pPr>
            <w:r>
              <w:rPr>
                <w:color w:val="000000"/>
                <w:sz w:val="24"/>
                <w:szCs w:val="24"/>
              </w:rPr>
              <w:t>733,000</w:t>
            </w:r>
          </w:p>
        </w:tc>
        <w:tc>
          <w:tcPr>
            <w:tcW w:w="1924" w:type="dxa"/>
            <w:vAlign w:val="center"/>
          </w:tcPr>
          <w:p w:rsidR="00A35297" w:rsidRDefault="00D8478A">
            <w:pPr>
              <w:jc w:val="right"/>
            </w:pPr>
            <w:r>
              <w:rPr>
                <w:color w:val="000000"/>
                <w:sz w:val="24"/>
                <w:szCs w:val="24"/>
              </w:rPr>
              <w:t>17,379,430.00</w:t>
            </w:r>
          </w:p>
        </w:tc>
        <w:tc>
          <w:tcPr>
            <w:tcW w:w="1644" w:type="dxa"/>
            <w:vAlign w:val="center"/>
          </w:tcPr>
          <w:p w:rsidR="00A35297" w:rsidRDefault="00D8478A">
            <w:pPr>
              <w:jc w:val="right"/>
            </w:pPr>
            <w:r>
              <w:rPr>
                <w:color w:val="000000"/>
                <w:sz w:val="24"/>
                <w:szCs w:val="24"/>
              </w:rPr>
              <w:t>2.46</w:t>
            </w:r>
          </w:p>
        </w:tc>
      </w:tr>
      <w:tr w:rsidR="00A35297">
        <w:trPr>
          <w:jc w:val="center"/>
        </w:trPr>
        <w:tc>
          <w:tcPr>
            <w:tcW w:w="855" w:type="dxa"/>
            <w:vAlign w:val="center"/>
          </w:tcPr>
          <w:p w:rsidR="00A35297" w:rsidRDefault="00D8478A">
            <w:pPr>
              <w:jc w:val="center"/>
            </w:pPr>
            <w:r>
              <w:rPr>
                <w:color w:val="000000"/>
                <w:sz w:val="24"/>
                <w:szCs w:val="24"/>
              </w:rPr>
              <w:t>9</w:t>
            </w:r>
          </w:p>
        </w:tc>
        <w:tc>
          <w:tcPr>
            <w:tcW w:w="1334" w:type="dxa"/>
            <w:vAlign w:val="center"/>
          </w:tcPr>
          <w:p w:rsidR="00A35297" w:rsidRDefault="00D8478A">
            <w:pPr>
              <w:jc w:val="center"/>
            </w:pPr>
            <w:r>
              <w:rPr>
                <w:color w:val="000000"/>
                <w:sz w:val="24"/>
                <w:szCs w:val="24"/>
              </w:rPr>
              <w:t>002462</w:t>
            </w:r>
          </w:p>
        </w:tc>
        <w:tc>
          <w:tcPr>
            <w:tcW w:w="1777" w:type="dxa"/>
            <w:vAlign w:val="center"/>
          </w:tcPr>
          <w:p w:rsidR="00A35297" w:rsidRDefault="00D8478A">
            <w:pPr>
              <w:jc w:val="center"/>
            </w:pPr>
            <w:r>
              <w:rPr>
                <w:color w:val="000000"/>
                <w:sz w:val="24"/>
                <w:szCs w:val="24"/>
              </w:rPr>
              <w:t>嘉事堂</w:t>
            </w:r>
          </w:p>
        </w:tc>
        <w:tc>
          <w:tcPr>
            <w:tcW w:w="1334" w:type="dxa"/>
            <w:vAlign w:val="center"/>
          </w:tcPr>
          <w:p w:rsidR="00A35297" w:rsidRDefault="00D8478A">
            <w:pPr>
              <w:jc w:val="right"/>
            </w:pPr>
            <w:r>
              <w:rPr>
                <w:color w:val="000000"/>
                <w:sz w:val="24"/>
                <w:szCs w:val="24"/>
              </w:rPr>
              <w:t>354,558</w:t>
            </w:r>
          </w:p>
        </w:tc>
        <w:tc>
          <w:tcPr>
            <w:tcW w:w="1924" w:type="dxa"/>
            <w:vAlign w:val="center"/>
          </w:tcPr>
          <w:p w:rsidR="00A35297" w:rsidRDefault="00D8478A">
            <w:pPr>
              <w:jc w:val="right"/>
            </w:pPr>
            <w:r>
              <w:rPr>
                <w:color w:val="000000"/>
                <w:sz w:val="24"/>
                <w:szCs w:val="24"/>
              </w:rPr>
              <w:t>15,079,351.74</w:t>
            </w:r>
          </w:p>
        </w:tc>
        <w:tc>
          <w:tcPr>
            <w:tcW w:w="1644" w:type="dxa"/>
            <w:vAlign w:val="center"/>
          </w:tcPr>
          <w:p w:rsidR="00A35297" w:rsidRDefault="00D8478A">
            <w:pPr>
              <w:jc w:val="right"/>
            </w:pPr>
            <w:r>
              <w:rPr>
                <w:color w:val="000000"/>
                <w:sz w:val="24"/>
                <w:szCs w:val="24"/>
              </w:rPr>
              <w:t>2.14</w:t>
            </w:r>
          </w:p>
        </w:tc>
      </w:tr>
      <w:tr w:rsidR="00A35297">
        <w:trPr>
          <w:jc w:val="center"/>
        </w:trPr>
        <w:tc>
          <w:tcPr>
            <w:tcW w:w="855" w:type="dxa"/>
            <w:vAlign w:val="center"/>
          </w:tcPr>
          <w:p w:rsidR="00A35297" w:rsidRDefault="00D8478A">
            <w:pPr>
              <w:jc w:val="center"/>
            </w:pPr>
            <w:r>
              <w:rPr>
                <w:color w:val="000000"/>
                <w:sz w:val="24"/>
                <w:szCs w:val="24"/>
              </w:rPr>
              <w:t>10</w:t>
            </w:r>
          </w:p>
        </w:tc>
        <w:tc>
          <w:tcPr>
            <w:tcW w:w="1334" w:type="dxa"/>
            <w:vAlign w:val="center"/>
          </w:tcPr>
          <w:p w:rsidR="00A35297" w:rsidRDefault="00D8478A">
            <w:pPr>
              <w:jc w:val="center"/>
            </w:pPr>
            <w:r>
              <w:rPr>
                <w:color w:val="000000"/>
                <w:sz w:val="24"/>
                <w:szCs w:val="24"/>
              </w:rPr>
              <w:t>600616</w:t>
            </w:r>
          </w:p>
        </w:tc>
        <w:tc>
          <w:tcPr>
            <w:tcW w:w="1777" w:type="dxa"/>
            <w:vAlign w:val="center"/>
          </w:tcPr>
          <w:p w:rsidR="00A35297" w:rsidRDefault="00D8478A">
            <w:pPr>
              <w:jc w:val="center"/>
            </w:pPr>
            <w:r>
              <w:rPr>
                <w:color w:val="000000"/>
                <w:sz w:val="24"/>
                <w:szCs w:val="24"/>
              </w:rPr>
              <w:t>金枫酒业</w:t>
            </w:r>
          </w:p>
        </w:tc>
        <w:tc>
          <w:tcPr>
            <w:tcW w:w="1334" w:type="dxa"/>
            <w:vAlign w:val="center"/>
          </w:tcPr>
          <w:p w:rsidR="00A35297" w:rsidRDefault="00D8478A">
            <w:pPr>
              <w:jc w:val="right"/>
            </w:pPr>
            <w:r>
              <w:rPr>
                <w:color w:val="000000"/>
                <w:sz w:val="24"/>
                <w:szCs w:val="24"/>
              </w:rPr>
              <w:t>1,200,000</w:t>
            </w:r>
          </w:p>
        </w:tc>
        <w:tc>
          <w:tcPr>
            <w:tcW w:w="1924" w:type="dxa"/>
            <w:vAlign w:val="center"/>
          </w:tcPr>
          <w:p w:rsidR="00A35297" w:rsidRDefault="00D8478A">
            <w:pPr>
              <w:jc w:val="right"/>
            </w:pPr>
            <w:r>
              <w:rPr>
                <w:color w:val="000000"/>
                <w:sz w:val="24"/>
                <w:szCs w:val="24"/>
              </w:rPr>
              <w:t>14,760,000.00</w:t>
            </w:r>
          </w:p>
        </w:tc>
        <w:tc>
          <w:tcPr>
            <w:tcW w:w="1644" w:type="dxa"/>
            <w:vAlign w:val="center"/>
          </w:tcPr>
          <w:p w:rsidR="00A35297" w:rsidRDefault="00D8478A">
            <w:pPr>
              <w:jc w:val="right"/>
            </w:pPr>
            <w:r>
              <w:rPr>
                <w:color w:val="000000"/>
                <w:sz w:val="24"/>
                <w:szCs w:val="24"/>
              </w:rPr>
              <w:t>2.09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35297">
        <w:trPr>
          <w:jc w:val="center"/>
        </w:trPr>
        <w:tc>
          <w:tcPr>
            <w:tcW w:w="850" w:type="dxa"/>
            <w:vAlign w:val="center"/>
          </w:tcPr>
          <w:p w:rsidR="00A35297" w:rsidRDefault="00D8478A">
            <w:pPr>
              <w:jc w:val="center"/>
            </w:pPr>
            <w:r>
              <w:rPr>
                <w:color w:val="000000"/>
                <w:sz w:val="24"/>
                <w:szCs w:val="24"/>
              </w:rPr>
              <w:t>1</w:t>
            </w:r>
          </w:p>
        </w:tc>
        <w:tc>
          <w:tcPr>
            <w:tcW w:w="1475" w:type="dxa"/>
            <w:vAlign w:val="center"/>
          </w:tcPr>
          <w:p w:rsidR="00A35297" w:rsidRDefault="00D8478A">
            <w:pPr>
              <w:jc w:val="center"/>
            </w:pPr>
            <w:r>
              <w:rPr>
                <w:color w:val="000000"/>
                <w:sz w:val="24"/>
                <w:szCs w:val="24"/>
              </w:rPr>
              <w:t>160209</w:t>
            </w:r>
          </w:p>
        </w:tc>
        <w:tc>
          <w:tcPr>
            <w:tcW w:w="1769" w:type="dxa"/>
            <w:vAlign w:val="center"/>
          </w:tcPr>
          <w:p w:rsidR="00A35297" w:rsidRDefault="00D8478A">
            <w:pPr>
              <w:jc w:val="center"/>
            </w:pPr>
            <w:r>
              <w:rPr>
                <w:color w:val="000000"/>
                <w:sz w:val="24"/>
                <w:szCs w:val="24"/>
              </w:rPr>
              <w:t>16</w:t>
            </w:r>
            <w:r>
              <w:rPr>
                <w:color w:val="000000"/>
                <w:sz w:val="24"/>
                <w:szCs w:val="24"/>
              </w:rPr>
              <w:t>国开</w:t>
            </w:r>
            <w:r>
              <w:rPr>
                <w:color w:val="000000"/>
                <w:sz w:val="24"/>
                <w:szCs w:val="24"/>
              </w:rPr>
              <w:t>09</w:t>
            </w:r>
          </w:p>
        </w:tc>
        <w:tc>
          <w:tcPr>
            <w:tcW w:w="1387" w:type="dxa"/>
            <w:vAlign w:val="center"/>
          </w:tcPr>
          <w:p w:rsidR="00A35297" w:rsidRDefault="00D8478A">
            <w:pPr>
              <w:jc w:val="right"/>
            </w:pPr>
            <w:r>
              <w:rPr>
                <w:color w:val="000000"/>
                <w:sz w:val="24"/>
                <w:szCs w:val="24"/>
              </w:rPr>
              <w:t>300,000</w:t>
            </w:r>
          </w:p>
        </w:tc>
        <w:tc>
          <w:tcPr>
            <w:tcW w:w="2150" w:type="dxa"/>
            <w:vAlign w:val="center"/>
          </w:tcPr>
          <w:p w:rsidR="00A35297" w:rsidRDefault="00D8478A">
            <w:pPr>
              <w:jc w:val="right"/>
            </w:pPr>
            <w:r>
              <w:rPr>
                <w:color w:val="000000"/>
                <w:sz w:val="24"/>
                <w:szCs w:val="24"/>
              </w:rPr>
              <w:t>29,970,000.00</w:t>
            </w:r>
          </w:p>
        </w:tc>
        <w:tc>
          <w:tcPr>
            <w:tcW w:w="1237" w:type="dxa"/>
            <w:vAlign w:val="center"/>
          </w:tcPr>
          <w:p w:rsidR="00A35297" w:rsidRDefault="00D8478A">
            <w:pPr>
              <w:jc w:val="right"/>
            </w:pPr>
            <w:r>
              <w:rPr>
                <w:color w:val="000000"/>
                <w:sz w:val="24"/>
                <w:szCs w:val="24"/>
              </w:rPr>
              <w:t>4.25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374,592.46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70,606.96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642,614.25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69,612.42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1,157,426.09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35297">
        <w:trPr>
          <w:jc w:val="center"/>
        </w:trPr>
        <w:tc>
          <w:tcPr>
            <w:tcW w:w="1129" w:type="dxa"/>
            <w:vAlign w:val="center"/>
          </w:tcPr>
          <w:p w:rsidR="00A35297" w:rsidRDefault="00D8478A">
            <w:pPr>
              <w:jc w:val="center"/>
            </w:pPr>
            <w:r>
              <w:rPr>
                <w:color w:val="000000"/>
                <w:sz w:val="24"/>
                <w:szCs w:val="24"/>
              </w:rPr>
              <w:t>1</w:t>
            </w:r>
          </w:p>
        </w:tc>
        <w:tc>
          <w:tcPr>
            <w:tcW w:w="1356" w:type="dxa"/>
            <w:vAlign w:val="center"/>
          </w:tcPr>
          <w:p w:rsidR="00A35297" w:rsidRDefault="00D8478A">
            <w:pPr>
              <w:jc w:val="center"/>
            </w:pPr>
            <w:r>
              <w:rPr>
                <w:color w:val="000000"/>
                <w:sz w:val="24"/>
                <w:szCs w:val="24"/>
              </w:rPr>
              <w:t>000821</w:t>
            </w:r>
          </w:p>
        </w:tc>
        <w:tc>
          <w:tcPr>
            <w:tcW w:w="1355" w:type="dxa"/>
            <w:vAlign w:val="center"/>
          </w:tcPr>
          <w:p w:rsidR="00A35297" w:rsidRDefault="00D8478A">
            <w:pPr>
              <w:jc w:val="center"/>
            </w:pPr>
            <w:r>
              <w:rPr>
                <w:color w:val="000000"/>
                <w:sz w:val="24"/>
                <w:szCs w:val="24"/>
              </w:rPr>
              <w:t>京山轻机</w:t>
            </w:r>
          </w:p>
        </w:tc>
        <w:tc>
          <w:tcPr>
            <w:tcW w:w="1880" w:type="dxa"/>
            <w:vAlign w:val="center"/>
          </w:tcPr>
          <w:p w:rsidR="00A35297" w:rsidRDefault="00D8478A">
            <w:pPr>
              <w:jc w:val="right"/>
            </w:pPr>
            <w:r>
              <w:rPr>
                <w:color w:val="000000"/>
                <w:sz w:val="24"/>
                <w:szCs w:val="24"/>
              </w:rPr>
              <w:t>24,703,474.64</w:t>
            </w:r>
          </w:p>
        </w:tc>
        <w:tc>
          <w:tcPr>
            <w:tcW w:w="1724" w:type="dxa"/>
            <w:vAlign w:val="center"/>
          </w:tcPr>
          <w:p w:rsidR="00A35297" w:rsidRDefault="00D8478A">
            <w:pPr>
              <w:jc w:val="right"/>
            </w:pPr>
            <w:r>
              <w:rPr>
                <w:color w:val="000000"/>
                <w:sz w:val="24"/>
                <w:szCs w:val="24"/>
              </w:rPr>
              <w:t>3.50</w:t>
            </w:r>
          </w:p>
        </w:tc>
        <w:tc>
          <w:tcPr>
            <w:tcW w:w="1424" w:type="dxa"/>
            <w:vAlign w:val="center"/>
          </w:tcPr>
          <w:p w:rsidR="00A35297" w:rsidRDefault="00D8478A">
            <w:pPr>
              <w:jc w:val="right"/>
            </w:pPr>
            <w:r>
              <w:rPr>
                <w:color w:val="000000"/>
                <w:sz w:val="24"/>
                <w:szCs w:val="24"/>
              </w:rPr>
              <w:t>重大事项</w:t>
            </w:r>
          </w:p>
        </w:tc>
      </w:tr>
      <w:tr w:rsidR="00A35297">
        <w:trPr>
          <w:jc w:val="center"/>
        </w:trPr>
        <w:tc>
          <w:tcPr>
            <w:tcW w:w="1129" w:type="dxa"/>
            <w:vAlign w:val="center"/>
          </w:tcPr>
          <w:p w:rsidR="00A35297" w:rsidRDefault="00D8478A">
            <w:pPr>
              <w:jc w:val="center"/>
            </w:pPr>
            <w:r>
              <w:rPr>
                <w:color w:val="000000"/>
                <w:sz w:val="24"/>
                <w:szCs w:val="24"/>
              </w:rPr>
              <w:t>2</w:t>
            </w:r>
          </w:p>
        </w:tc>
        <w:tc>
          <w:tcPr>
            <w:tcW w:w="1356" w:type="dxa"/>
            <w:vAlign w:val="center"/>
          </w:tcPr>
          <w:p w:rsidR="00A35297" w:rsidRDefault="00D8478A">
            <w:pPr>
              <w:jc w:val="center"/>
            </w:pPr>
            <w:r>
              <w:rPr>
                <w:color w:val="000000"/>
                <w:sz w:val="24"/>
                <w:szCs w:val="24"/>
              </w:rPr>
              <w:t>002462</w:t>
            </w:r>
          </w:p>
        </w:tc>
        <w:tc>
          <w:tcPr>
            <w:tcW w:w="1355" w:type="dxa"/>
            <w:vAlign w:val="center"/>
          </w:tcPr>
          <w:p w:rsidR="00A35297" w:rsidRDefault="00D8478A">
            <w:pPr>
              <w:jc w:val="center"/>
            </w:pPr>
            <w:r>
              <w:rPr>
                <w:color w:val="000000"/>
                <w:sz w:val="24"/>
                <w:szCs w:val="24"/>
              </w:rPr>
              <w:t>嘉事堂</w:t>
            </w:r>
          </w:p>
        </w:tc>
        <w:tc>
          <w:tcPr>
            <w:tcW w:w="1880" w:type="dxa"/>
            <w:vAlign w:val="center"/>
          </w:tcPr>
          <w:p w:rsidR="00A35297" w:rsidRDefault="00D8478A">
            <w:pPr>
              <w:jc w:val="right"/>
            </w:pPr>
            <w:r>
              <w:rPr>
                <w:color w:val="000000"/>
                <w:sz w:val="24"/>
                <w:szCs w:val="24"/>
              </w:rPr>
              <w:t>15,079,351.74</w:t>
            </w:r>
          </w:p>
        </w:tc>
        <w:tc>
          <w:tcPr>
            <w:tcW w:w="1724" w:type="dxa"/>
            <w:vAlign w:val="center"/>
          </w:tcPr>
          <w:p w:rsidR="00A35297" w:rsidRDefault="00D8478A">
            <w:pPr>
              <w:jc w:val="right"/>
            </w:pPr>
            <w:r>
              <w:rPr>
                <w:color w:val="000000"/>
                <w:sz w:val="24"/>
                <w:szCs w:val="24"/>
              </w:rPr>
              <w:t>2.14</w:t>
            </w:r>
          </w:p>
        </w:tc>
        <w:tc>
          <w:tcPr>
            <w:tcW w:w="1424" w:type="dxa"/>
            <w:vAlign w:val="center"/>
          </w:tcPr>
          <w:p w:rsidR="00A35297" w:rsidRDefault="00D8478A">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384,728,294.47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16,942,224.62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31,530,933.24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370,139,585.85</w:t>
            </w:r>
          </w:p>
        </w:tc>
      </w:tr>
    </w:tbl>
    <w:p w:rsidR="00A35297" w:rsidRDefault="00D8478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8478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582B61" w:rsidP="00582B61">
            <w:pPr>
              <w:spacing w:line="288" w:lineRule="auto"/>
              <w:jc w:val="right"/>
              <w:rPr>
                <w:rFonts w:eastAsiaTheme="minorEastAsia"/>
                <w:sz w:val="24"/>
                <w:szCs w:val="24"/>
              </w:rPr>
            </w:pPr>
            <w:r w:rsidRPr="00582B61">
              <w:rPr>
                <w:rFonts w:eastAsiaTheme="minorEastAsia"/>
                <w:color w:val="000000"/>
                <w:sz w:val="24"/>
              </w:rPr>
              <w:t>87</w:t>
            </w:r>
            <w:r w:rsidR="008A2B4D">
              <w:rPr>
                <w:rFonts w:eastAsiaTheme="minorEastAsia"/>
                <w:color w:val="000000"/>
                <w:sz w:val="24"/>
              </w:rPr>
              <w:t>,</w:t>
            </w:r>
            <w:r w:rsidRPr="00582B61">
              <w:rPr>
                <w:rFonts w:eastAsiaTheme="minorEastAsia"/>
                <w:color w:val="000000"/>
                <w:sz w:val="24"/>
              </w:rPr>
              <w:t>778</w:t>
            </w:r>
            <w:r w:rsidR="008A2B4D">
              <w:rPr>
                <w:rFonts w:eastAsiaTheme="minorEastAsia"/>
                <w:color w:val="000000"/>
                <w:sz w:val="24"/>
              </w:rPr>
              <w:t>,</w:t>
            </w:r>
            <w:r w:rsidRPr="00582B61">
              <w:rPr>
                <w:rFonts w:eastAsiaTheme="minorEastAsia"/>
                <w:color w:val="000000"/>
                <w:sz w:val="24"/>
              </w:rPr>
              <w:t>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582B61" w:rsidP="00C15CAC">
            <w:pPr>
              <w:spacing w:line="288" w:lineRule="auto"/>
              <w:jc w:val="right"/>
              <w:rPr>
                <w:rFonts w:eastAsiaTheme="minorEastAsia"/>
                <w:color w:val="000000"/>
                <w:kern w:val="0"/>
                <w:sz w:val="24"/>
                <w:szCs w:val="24"/>
              </w:rPr>
            </w:pPr>
            <w:r w:rsidRPr="00582B61">
              <w:rPr>
                <w:rFonts w:eastAsiaTheme="minorEastAsia"/>
                <w:color w:val="000000"/>
                <w:sz w:val="24"/>
              </w:rPr>
              <w:t>23</w:t>
            </w:r>
            <w:r>
              <w:rPr>
                <w:rFonts w:eastAsiaTheme="minorEastAsia"/>
                <w:color w:val="000000"/>
                <w:sz w:val="24"/>
              </w:rPr>
              <w:t>.</w:t>
            </w:r>
            <w:r w:rsidRPr="00582B61">
              <w:rPr>
                <w:rFonts w:eastAsiaTheme="minorEastAsia"/>
                <w:color w:val="000000"/>
                <w:sz w:val="24"/>
              </w:rPr>
              <w:t>71</w:t>
            </w:r>
            <w:r>
              <w:rPr>
                <w:rFonts w:eastAsiaTheme="minorEastAsia"/>
                <w:color w:val="000000"/>
                <w:sz w:val="24"/>
              </w:rPr>
              <w:t>%</w:t>
            </w:r>
          </w:p>
        </w:tc>
      </w:tr>
    </w:tbl>
    <w:p w:rsidR="00A35297" w:rsidRDefault="00D847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D8478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35297" w:rsidRDefault="00D8478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A35297" w:rsidRDefault="00D8478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35297" w:rsidRDefault="00D8478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35297" w:rsidRDefault="00D8478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13" w:rsidRDefault="00A71413" w:rsidP="00876D65">
      <w:r>
        <w:separator/>
      </w:r>
    </w:p>
  </w:endnote>
  <w:endnote w:type="continuationSeparator" w:id="0">
    <w:p w:rsidR="00A71413" w:rsidRDefault="00A7141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A35297">
      <w:rPr>
        <w:kern w:val="0"/>
        <w:szCs w:val="21"/>
      </w:rPr>
      <w:fldChar w:fldCharType="begin"/>
    </w:r>
    <w:r>
      <w:rPr>
        <w:kern w:val="0"/>
        <w:szCs w:val="21"/>
      </w:rPr>
      <w:instrText xml:space="preserve"> PAGE </w:instrText>
    </w:r>
    <w:r w:rsidR="00A35297">
      <w:rPr>
        <w:kern w:val="0"/>
        <w:szCs w:val="21"/>
      </w:rPr>
      <w:fldChar w:fldCharType="separate"/>
    </w:r>
    <w:r w:rsidR="00D32699">
      <w:rPr>
        <w:noProof/>
        <w:kern w:val="0"/>
        <w:szCs w:val="21"/>
      </w:rPr>
      <w:t>2</w:t>
    </w:r>
    <w:r w:rsidR="00A35297">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A35297">
      <w:rPr>
        <w:kern w:val="0"/>
        <w:szCs w:val="21"/>
      </w:rPr>
      <w:fldChar w:fldCharType="begin"/>
    </w:r>
    <w:r>
      <w:rPr>
        <w:kern w:val="0"/>
        <w:szCs w:val="21"/>
      </w:rPr>
      <w:instrText xml:space="preserve"> NUMPAGES </w:instrText>
    </w:r>
    <w:r w:rsidR="00A35297">
      <w:rPr>
        <w:kern w:val="0"/>
        <w:szCs w:val="21"/>
      </w:rPr>
      <w:fldChar w:fldCharType="separate"/>
    </w:r>
    <w:r w:rsidR="00D32699">
      <w:rPr>
        <w:noProof/>
        <w:kern w:val="0"/>
        <w:szCs w:val="21"/>
      </w:rPr>
      <w:t>12</w:t>
    </w:r>
    <w:r w:rsidR="00A35297">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13" w:rsidRDefault="00A71413" w:rsidP="00876D65">
      <w:r>
        <w:separator/>
      </w:r>
    </w:p>
  </w:footnote>
  <w:footnote w:type="continuationSeparator" w:id="0">
    <w:p w:rsidR="00A71413" w:rsidRDefault="00A7141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B61"/>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2B4D"/>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5297"/>
    <w:rsid w:val="00A36930"/>
    <w:rsid w:val="00A45320"/>
    <w:rsid w:val="00A504C9"/>
    <w:rsid w:val="00A54C7D"/>
    <w:rsid w:val="00A5612C"/>
    <w:rsid w:val="00A5689C"/>
    <w:rsid w:val="00A57AE4"/>
    <w:rsid w:val="00A63A97"/>
    <w:rsid w:val="00A63F19"/>
    <w:rsid w:val="00A669FC"/>
    <w:rsid w:val="00A66F42"/>
    <w:rsid w:val="00A71413"/>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2699"/>
    <w:rsid w:val="00D346D9"/>
    <w:rsid w:val="00D43AFB"/>
    <w:rsid w:val="00D44EE8"/>
    <w:rsid w:val="00D57B7C"/>
    <w:rsid w:val="00D65B44"/>
    <w:rsid w:val="00D75E69"/>
    <w:rsid w:val="00D8099B"/>
    <w:rsid w:val="00D8478A"/>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1A70D2E-275D-4B1B-B91A-A0C91F818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6D57D-8538-4DBB-8376-D5A503EC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1072</Words>
  <Characters>6113</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2017-01-17T10:49:00Z</dcterms:created>
  <dcterms:modified xsi:type="dcterms:W3CDTF">2017-01-17T10:49:00Z</dcterms:modified>
</cp:coreProperties>
</file>