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A39DD" w:rsidRDefault="00D0196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A39DD" w:rsidRDefault="00D01964">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A39DD" w:rsidRDefault="00D0196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A39DD" w:rsidRDefault="00D0196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A39DD" w:rsidRDefault="00D0196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239,931,396.20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01964" w:rsidRPr="00414345" w:rsidTr="00D0196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01964" w:rsidRPr="00414345" w:rsidTr="00D019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38,239,658.74</w:t>
            </w:r>
          </w:p>
        </w:tc>
      </w:tr>
      <w:tr w:rsidR="00D01964" w:rsidRPr="00414345" w:rsidTr="00D019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18,063,708.23</w:t>
            </w:r>
          </w:p>
        </w:tc>
      </w:tr>
      <w:tr w:rsidR="00D01964" w:rsidRPr="00414345" w:rsidTr="00D019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0.0818</w:t>
            </w:r>
          </w:p>
        </w:tc>
      </w:tr>
      <w:tr w:rsidR="00D01964" w:rsidRPr="00414345" w:rsidTr="00D019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653,598,440.56</w:t>
            </w:r>
          </w:p>
        </w:tc>
      </w:tr>
      <w:tr w:rsidR="00D01964" w:rsidRPr="00414345" w:rsidTr="00D0196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2.724</w:t>
            </w:r>
          </w:p>
        </w:tc>
      </w:tr>
    </w:tbl>
    <w:p w:rsidR="00DA39DD" w:rsidRDefault="00D0196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D01964">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A39DD">
        <w:trPr>
          <w:jc w:val="center"/>
        </w:trPr>
        <w:tc>
          <w:tcPr>
            <w:tcW w:w="1701" w:type="dxa"/>
            <w:vAlign w:val="center"/>
          </w:tcPr>
          <w:p w:rsidR="00DA39DD" w:rsidRDefault="00D01964">
            <w:pPr>
              <w:jc w:val="left"/>
            </w:pPr>
            <w:r>
              <w:rPr>
                <w:color w:val="000000"/>
                <w:sz w:val="24"/>
                <w:szCs w:val="24"/>
              </w:rPr>
              <w:t>过去三个月</w:t>
            </w:r>
          </w:p>
        </w:tc>
        <w:tc>
          <w:tcPr>
            <w:tcW w:w="1045" w:type="dxa"/>
            <w:vAlign w:val="center"/>
          </w:tcPr>
          <w:p w:rsidR="00DA39DD" w:rsidRDefault="00D01964">
            <w:pPr>
              <w:jc w:val="center"/>
            </w:pPr>
            <w:r>
              <w:rPr>
                <w:color w:val="000000"/>
                <w:sz w:val="24"/>
                <w:szCs w:val="24"/>
              </w:rPr>
              <w:t>4.77%</w:t>
            </w:r>
          </w:p>
        </w:tc>
        <w:tc>
          <w:tcPr>
            <w:tcW w:w="1344" w:type="dxa"/>
            <w:vAlign w:val="center"/>
          </w:tcPr>
          <w:p w:rsidR="00DA39DD" w:rsidRDefault="00D01964">
            <w:pPr>
              <w:jc w:val="center"/>
            </w:pPr>
            <w:r>
              <w:rPr>
                <w:color w:val="000000"/>
                <w:sz w:val="24"/>
                <w:szCs w:val="24"/>
              </w:rPr>
              <w:t>0.74%</w:t>
            </w:r>
          </w:p>
        </w:tc>
        <w:tc>
          <w:tcPr>
            <w:tcW w:w="1194" w:type="dxa"/>
            <w:vAlign w:val="center"/>
          </w:tcPr>
          <w:p w:rsidR="00DA39DD" w:rsidRDefault="00D01964">
            <w:pPr>
              <w:jc w:val="center"/>
            </w:pPr>
            <w:r>
              <w:rPr>
                <w:color w:val="000000"/>
                <w:sz w:val="24"/>
                <w:szCs w:val="24"/>
              </w:rPr>
              <w:t>0.51%</w:t>
            </w:r>
          </w:p>
        </w:tc>
        <w:tc>
          <w:tcPr>
            <w:tcW w:w="1492" w:type="dxa"/>
            <w:vAlign w:val="center"/>
          </w:tcPr>
          <w:p w:rsidR="00DA39DD" w:rsidRDefault="00D01964">
            <w:pPr>
              <w:jc w:val="center"/>
            </w:pPr>
            <w:r>
              <w:rPr>
                <w:color w:val="000000"/>
                <w:sz w:val="24"/>
                <w:szCs w:val="24"/>
              </w:rPr>
              <w:t>0.44%</w:t>
            </w:r>
          </w:p>
        </w:tc>
        <w:tc>
          <w:tcPr>
            <w:tcW w:w="1194" w:type="dxa"/>
            <w:vAlign w:val="center"/>
          </w:tcPr>
          <w:p w:rsidR="00DA39DD" w:rsidRDefault="00D01964">
            <w:pPr>
              <w:jc w:val="center"/>
            </w:pPr>
            <w:r>
              <w:rPr>
                <w:color w:val="000000"/>
                <w:sz w:val="24"/>
                <w:szCs w:val="24"/>
              </w:rPr>
              <w:t>4.26%</w:t>
            </w:r>
          </w:p>
        </w:tc>
        <w:tc>
          <w:tcPr>
            <w:tcW w:w="898" w:type="dxa"/>
            <w:vAlign w:val="center"/>
          </w:tcPr>
          <w:p w:rsidR="00DA39DD" w:rsidRDefault="00D01964">
            <w:pPr>
              <w:jc w:val="center"/>
            </w:pPr>
            <w:r>
              <w:rPr>
                <w:color w:val="000000"/>
                <w:sz w:val="24"/>
                <w:szCs w:val="24"/>
              </w:rPr>
              <w:t>0.30%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w:t>
      </w:r>
      <w:bookmarkStart w:id="0" w:name="_GoBack"/>
      <w:bookmarkEnd w:id="0"/>
      <w:r w:rsidR="005A536D">
        <w:rPr>
          <w:rFonts w:hint="eastAsia"/>
          <w:b/>
          <w:bCs/>
          <w:color w:val="000000"/>
          <w:kern w:val="0"/>
          <w:sz w:val="24"/>
          <w:szCs w:val="24"/>
        </w:rPr>
        <w:t>转型</w:t>
      </w:r>
      <w:r w:rsidR="000824E7" w:rsidRPr="00F81917">
        <w:rPr>
          <w:rFonts w:hint="eastAsia"/>
          <w:b/>
          <w:bCs/>
          <w:color w:val="000000"/>
          <w:kern w:val="0"/>
          <w:sz w:val="24"/>
          <w:szCs w:val="24"/>
        </w:rPr>
        <w:t>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D037DC">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D037DC">
        <w:rPr>
          <w:rFonts w:ascii="Times New Roman" w:hAnsi="Times New Roman" w:cs="Times New Roman"/>
          <w:sz w:val="24"/>
          <w:szCs w:val="24"/>
        </w:rPr>
        <w:t>2</w:t>
      </w:r>
      <w:r w:rsidR="0042009D" w:rsidRPr="00414345">
        <w:rPr>
          <w:rFonts w:ascii="Times New Roman" w:hAnsi="Times New Roman" w:cs="Times New Roman"/>
          <w:sz w:val="24"/>
          <w:szCs w:val="24"/>
        </w:rPr>
        <w:t>月</w:t>
      </w:r>
      <w:r w:rsidR="00D037DC">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A39DD">
        <w:trPr>
          <w:jc w:val="center"/>
        </w:trPr>
        <w:tc>
          <w:tcPr>
            <w:tcW w:w="846" w:type="dxa"/>
            <w:vAlign w:val="center"/>
          </w:tcPr>
          <w:p w:rsidR="00DA39DD" w:rsidRDefault="00D01964">
            <w:pPr>
              <w:jc w:val="center"/>
            </w:pPr>
            <w:r>
              <w:rPr>
                <w:color w:val="000000"/>
                <w:sz w:val="24"/>
                <w:szCs w:val="24"/>
              </w:rPr>
              <w:t>何帅</w:t>
            </w:r>
          </w:p>
        </w:tc>
        <w:tc>
          <w:tcPr>
            <w:tcW w:w="845" w:type="dxa"/>
            <w:vAlign w:val="center"/>
          </w:tcPr>
          <w:p w:rsidR="00DA39DD" w:rsidRDefault="00D01964">
            <w:pPr>
              <w:jc w:val="center"/>
            </w:pPr>
            <w:r>
              <w:rPr>
                <w:color w:val="000000"/>
                <w:sz w:val="24"/>
                <w:szCs w:val="24"/>
              </w:rPr>
              <w:t>交银优势行业混合、交银</w:t>
            </w:r>
            <w:r>
              <w:rPr>
                <w:color w:val="000000"/>
                <w:sz w:val="24"/>
                <w:szCs w:val="24"/>
              </w:rPr>
              <w:lastRenderedPageBreak/>
              <w:t>阿尔法核心混合的基金经理</w:t>
            </w:r>
          </w:p>
        </w:tc>
        <w:tc>
          <w:tcPr>
            <w:tcW w:w="1549" w:type="dxa"/>
            <w:vAlign w:val="center"/>
          </w:tcPr>
          <w:p w:rsidR="00DA39DD" w:rsidRDefault="00D01964">
            <w:pPr>
              <w:jc w:val="center"/>
            </w:pPr>
            <w:r>
              <w:rPr>
                <w:color w:val="000000"/>
                <w:sz w:val="24"/>
                <w:szCs w:val="24"/>
              </w:rPr>
              <w:lastRenderedPageBreak/>
              <w:t>2015-07-09</w:t>
            </w:r>
          </w:p>
        </w:tc>
        <w:tc>
          <w:tcPr>
            <w:tcW w:w="1548" w:type="dxa"/>
            <w:vAlign w:val="center"/>
          </w:tcPr>
          <w:p w:rsidR="00DA39DD" w:rsidRDefault="00D01964">
            <w:pPr>
              <w:jc w:val="center"/>
            </w:pPr>
            <w:r>
              <w:rPr>
                <w:color w:val="000000"/>
                <w:sz w:val="24"/>
                <w:szCs w:val="24"/>
              </w:rPr>
              <w:t>-</w:t>
            </w:r>
          </w:p>
        </w:tc>
        <w:tc>
          <w:tcPr>
            <w:tcW w:w="1407" w:type="dxa"/>
            <w:vAlign w:val="center"/>
          </w:tcPr>
          <w:p w:rsidR="00DA39DD" w:rsidRDefault="00D01964">
            <w:pPr>
              <w:jc w:val="center"/>
            </w:pPr>
            <w:r>
              <w:rPr>
                <w:color w:val="000000"/>
                <w:sz w:val="24"/>
                <w:szCs w:val="24"/>
              </w:rPr>
              <w:t>6</w:t>
            </w:r>
            <w:r>
              <w:rPr>
                <w:color w:val="000000"/>
                <w:sz w:val="24"/>
                <w:szCs w:val="24"/>
              </w:rPr>
              <w:t>年</w:t>
            </w:r>
          </w:p>
        </w:tc>
        <w:tc>
          <w:tcPr>
            <w:tcW w:w="2673" w:type="dxa"/>
            <w:vAlign w:val="center"/>
          </w:tcPr>
          <w:p w:rsidR="00DA39DD" w:rsidRDefault="00D01964">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w:t>
            </w:r>
            <w:r>
              <w:rPr>
                <w:color w:val="000000"/>
                <w:sz w:val="24"/>
                <w:szCs w:val="24"/>
              </w:rPr>
              <w:lastRenderedPageBreak/>
              <w:t>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A39DD" w:rsidRDefault="00D0196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A39DD" w:rsidRDefault="00D0196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A39DD" w:rsidRDefault="00D0196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DA39DD" w:rsidRDefault="00D01964">
      <w:pPr>
        <w:spacing w:before="29" w:line="288" w:lineRule="auto"/>
        <w:ind w:firstLineChars="200" w:firstLine="480"/>
        <w:rPr>
          <w:color w:val="000000"/>
          <w:sz w:val="24"/>
          <w:szCs w:val="24"/>
        </w:rPr>
      </w:pPr>
      <w:r>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Pr>
          <w:color w:val="000000"/>
          <w:sz w:val="24"/>
          <w:szCs w:val="24"/>
        </w:rPr>
        <w:t>5%</w:t>
      </w:r>
      <w:r>
        <w:rPr>
          <w:color w:val="000000"/>
          <w:sz w:val="24"/>
          <w:szCs w:val="24"/>
        </w:rPr>
        <w:t>的情况有</w:t>
      </w:r>
      <w:r>
        <w:rPr>
          <w:color w:val="000000"/>
          <w:sz w:val="24"/>
          <w:szCs w:val="24"/>
        </w:rPr>
        <w:t>1</w:t>
      </w:r>
      <w:r>
        <w:rPr>
          <w:color w:val="000000"/>
          <w:sz w:val="24"/>
          <w:szCs w:val="24"/>
        </w:rPr>
        <w:t>次，是投资组合因投资策略需要而发生同日反向交易，未发现不公平交易和利益输送的情况。本基金与本公司管理的其他投资组合在不同时间窗下（如日内、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日内）同向交易的交易价差未发现异常。</w:t>
      </w:r>
    </w:p>
    <w:p w:rsidR="00DA39DD" w:rsidRDefault="00DA39DD">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A39DD" w:rsidRDefault="00D01964">
      <w:pPr>
        <w:spacing w:before="29" w:line="288" w:lineRule="auto"/>
        <w:ind w:firstLineChars="200" w:firstLine="480"/>
        <w:rPr>
          <w:color w:val="000000"/>
          <w:sz w:val="24"/>
          <w:szCs w:val="24"/>
        </w:rPr>
      </w:pPr>
      <w:r>
        <w:rPr>
          <w:color w:val="000000"/>
          <w:sz w:val="24"/>
          <w:szCs w:val="24"/>
        </w:rPr>
        <w:t>2016</w:t>
      </w:r>
      <w:r>
        <w:rPr>
          <w:color w:val="000000"/>
          <w:sz w:val="24"/>
          <w:szCs w:val="24"/>
        </w:rPr>
        <w:t>年四季度市场行情复杂多变，</w:t>
      </w:r>
      <w:r>
        <w:rPr>
          <w:color w:val="000000"/>
          <w:sz w:val="24"/>
          <w:szCs w:val="24"/>
        </w:rPr>
        <w:t>10</w:t>
      </w:r>
      <w:r>
        <w:rPr>
          <w:color w:val="000000"/>
          <w:sz w:val="24"/>
          <w:szCs w:val="24"/>
        </w:rPr>
        <w:t>月份部分优质成长股有不错表现，而进入</w:t>
      </w:r>
      <w:r>
        <w:rPr>
          <w:color w:val="000000"/>
          <w:sz w:val="24"/>
          <w:szCs w:val="24"/>
        </w:rPr>
        <w:t>11</w:t>
      </w:r>
      <w:r>
        <w:rPr>
          <w:color w:val="000000"/>
          <w:sz w:val="24"/>
          <w:szCs w:val="24"/>
        </w:rPr>
        <w:t>月后由于部分保险资金大幅购入建筑、家电等蓝筹股，市场经历了一波</w:t>
      </w:r>
      <w:r>
        <w:rPr>
          <w:color w:val="000000"/>
          <w:sz w:val="24"/>
          <w:szCs w:val="24"/>
        </w:rPr>
        <w:t>“</w:t>
      </w:r>
      <w:r>
        <w:rPr>
          <w:color w:val="000000"/>
          <w:sz w:val="24"/>
          <w:szCs w:val="24"/>
        </w:rPr>
        <w:t>风格切换</w:t>
      </w:r>
      <w:r>
        <w:rPr>
          <w:color w:val="000000"/>
          <w:sz w:val="24"/>
          <w:szCs w:val="24"/>
        </w:rPr>
        <w:t>”</w:t>
      </w:r>
      <w:r>
        <w:rPr>
          <w:color w:val="000000"/>
          <w:sz w:val="24"/>
          <w:szCs w:val="24"/>
        </w:rPr>
        <w:t>，成长股回调蓝筹股走强。但到了</w:t>
      </w:r>
      <w:r>
        <w:rPr>
          <w:color w:val="000000"/>
          <w:sz w:val="24"/>
          <w:szCs w:val="24"/>
        </w:rPr>
        <w:t>12</w:t>
      </w:r>
      <w:r>
        <w:rPr>
          <w:color w:val="000000"/>
          <w:sz w:val="24"/>
          <w:szCs w:val="24"/>
        </w:rPr>
        <w:t>月份，政策风向变化致市场开始回落，最终由于债券市场的风险传导及利率上行，市场在</w:t>
      </w:r>
      <w:r>
        <w:rPr>
          <w:color w:val="000000"/>
          <w:sz w:val="24"/>
          <w:szCs w:val="24"/>
        </w:rPr>
        <w:t>“</w:t>
      </w:r>
      <w:r>
        <w:rPr>
          <w:color w:val="000000"/>
          <w:sz w:val="24"/>
          <w:szCs w:val="24"/>
        </w:rPr>
        <w:t>双十二</w:t>
      </w:r>
      <w:r>
        <w:rPr>
          <w:color w:val="000000"/>
          <w:sz w:val="24"/>
          <w:szCs w:val="24"/>
        </w:rPr>
        <w:t>”</w:t>
      </w:r>
      <w:r>
        <w:rPr>
          <w:color w:val="000000"/>
          <w:sz w:val="24"/>
          <w:szCs w:val="24"/>
        </w:rPr>
        <w:t>大幅回落。</w:t>
      </w:r>
    </w:p>
    <w:p w:rsidR="00DA39DD" w:rsidRDefault="00D01964">
      <w:pPr>
        <w:spacing w:before="29" w:line="288" w:lineRule="auto"/>
        <w:ind w:firstLineChars="200" w:firstLine="480"/>
        <w:rPr>
          <w:color w:val="000000"/>
          <w:sz w:val="24"/>
          <w:szCs w:val="24"/>
        </w:rPr>
      </w:pPr>
      <w:r>
        <w:rPr>
          <w:color w:val="000000"/>
          <w:sz w:val="24"/>
          <w:szCs w:val="24"/>
        </w:rPr>
        <w:t>本基金持仓的成长股在</w:t>
      </w:r>
      <w:r>
        <w:rPr>
          <w:color w:val="000000"/>
          <w:sz w:val="24"/>
          <w:szCs w:val="24"/>
        </w:rPr>
        <w:t>10</w:t>
      </w:r>
      <w:r>
        <w:rPr>
          <w:color w:val="000000"/>
          <w:sz w:val="24"/>
          <w:szCs w:val="24"/>
        </w:rPr>
        <w:t>月份表现较佳。同时在</w:t>
      </w:r>
      <w:r>
        <w:rPr>
          <w:color w:val="000000"/>
          <w:sz w:val="24"/>
          <w:szCs w:val="24"/>
        </w:rPr>
        <w:t>“</w:t>
      </w:r>
      <w:r>
        <w:rPr>
          <w:color w:val="000000"/>
          <w:sz w:val="24"/>
          <w:szCs w:val="24"/>
        </w:rPr>
        <w:t>风格切换</w:t>
      </w:r>
      <w:r>
        <w:rPr>
          <w:color w:val="000000"/>
          <w:sz w:val="24"/>
          <w:szCs w:val="24"/>
        </w:rPr>
        <w:t>”</w:t>
      </w:r>
      <w:r>
        <w:rPr>
          <w:color w:val="000000"/>
          <w:sz w:val="24"/>
          <w:szCs w:val="24"/>
        </w:rPr>
        <w:t>时坚持在自己擅长的成长股投资中进行投资选股，没有追涨杀跌，所以在</w:t>
      </w:r>
      <w:r>
        <w:rPr>
          <w:color w:val="000000"/>
          <w:sz w:val="24"/>
          <w:szCs w:val="24"/>
        </w:rPr>
        <w:t>12</w:t>
      </w:r>
      <w:r>
        <w:rPr>
          <w:color w:val="000000"/>
          <w:sz w:val="24"/>
          <w:szCs w:val="24"/>
        </w:rPr>
        <w:t>月份市场回调时表现较好。</w:t>
      </w:r>
    </w:p>
    <w:p w:rsidR="00DA39DD" w:rsidRDefault="00D01964">
      <w:pPr>
        <w:spacing w:before="29" w:line="288" w:lineRule="auto"/>
        <w:ind w:firstLineChars="200" w:firstLine="480"/>
        <w:rPr>
          <w:color w:val="000000"/>
          <w:sz w:val="24"/>
          <w:szCs w:val="24"/>
        </w:rPr>
      </w:pPr>
      <w:r>
        <w:rPr>
          <w:color w:val="000000"/>
          <w:sz w:val="24"/>
          <w:szCs w:val="24"/>
        </w:rPr>
        <w:t>目前看，全球无风险利率水平有上升趋势，主要国家间的汇率波动明显加大。</w:t>
      </w:r>
      <w:r>
        <w:rPr>
          <w:color w:val="000000"/>
          <w:sz w:val="24"/>
          <w:szCs w:val="24"/>
        </w:rPr>
        <w:t>2017</w:t>
      </w:r>
      <w:r>
        <w:rPr>
          <w:color w:val="000000"/>
          <w:sz w:val="24"/>
          <w:szCs w:val="24"/>
        </w:rPr>
        <w:t>年一季度预计美元还是保持相对强势，新兴市场的国内流动性还将处于相对较紧的状态。</w:t>
      </w:r>
    </w:p>
    <w:p w:rsidR="00DA39DD" w:rsidRDefault="00D01964">
      <w:pPr>
        <w:spacing w:before="29" w:line="288" w:lineRule="auto"/>
        <w:ind w:firstLineChars="200" w:firstLine="480"/>
        <w:rPr>
          <w:color w:val="000000"/>
          <w:sz w:val="24"/>
          <w:szCs w:val="24"/>
        </w:rPr>
      </w:pPr>
      <w:r>
        <w:rPr>
          <w:color w:val="000000"/>
          <w:sz w:val="24"/>
          <w:szCs w:val="24"/>
        </w:rPr>
        <w:t>展望未来一个季度，我们认为市场仍将维持震荡趋势。政策对于金融杠杆监管的加强，使得市场承压。而整体</w:t>
      </w:r>
      <w:r>
        <w:rPr>
          <w:color w:val="000000"/>
          <w:sz w:val="24"/>
          <w:szCs w:val="24"/>
        </w:rPr>
        <w:t>A</w:t>
      </w:r>
      <w:r>
        <w:rPr>
          <w:color w:val="000000"/>
          <w:sz w:val="24"/>
          <w:szCs w:val="24"/>
        </w:rPr>
        <w:t>股市场在经历了</w:t>
      </w:r>
      <w:r>
        <w:rPr>
          <w:color w:val="000000"/>
          <w:sz w:val="24"/>
          <w:szCs w:val="24"/>
        </w:rPr>
        <w:t>2016</w:t>
      </w:r>
      <w:r>
        <w:rPr>
          <w:color w:val="000000"/>
          <w:sz w:val="24"/>
          <w:szCs w:val="24"/>
        </w:rPr>
        <w:t>年的回调及估值消化后，不少成长股已明显具备投资价值，整体估值未有泡沫也使得下行风险整体也不大。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2017</w:t>
      </w:r>
      <w:r w:rsidRPr="00414345">
        <w:rPr>
          <w:color w:val="000000"/>
          <w:sz w:val="24"/>
          <w:szCs w:val="24"/>
        </w:rPr>
        <w:t>年一季度，仍将聚焦优选新兴成长行业，特别是</w:t>
      </w:r>
      <w:r w:rsidRPr="00414345">
        <w:rPr>
          <w:color w:val="000000"/>
          <w:sz w:val="24"/>
          <w:szCs w:val="24"/>
        </w:rPr>
        <w:t>2016</w:t>
      </w:r>
      <w:r w:rsidRPr="00414345">
        <w:rPr>
          <w:color w:val="000000"/>
          <w:sz w:val="24"/>
          <w:szCs w:val="24"/>
        </w:rPr>
        <w:t>年市场关注度不高的可持续成长行业。发掘未来</w:t>
      </w:r>
      <w:r w:rsidRPr="00414345">
        <w:rPr>
          <w:color w:val="000000"/>
          <w:sz w:val="24"/>
          <w:szCs w:val="24"/>
        </w:rPr>
        <w:t>2-3</w:t>
      </w:r>
      <w:r w:rsidRPr="00414345">
        <w:rPr>
          <w:color w:val="000000"/>
          <w:sz w:val="24"/>
          <w:szCs w:val="24"/>
        </w:rPr>
        <w:t>年有实质性成长空间和潜力的细分行业，并集中配置。争取为投资人获得较好的投资回报。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2.724</w:t>
      </w:r>
      <w:r w:rsidRPr="00414345">
        <w:rPr>
          <w:color w:val="000000"/>
          <w:sz w:val="24"/>
          <w:szCs w:val="24"/>
        </w:rPr>
        <w:t>元，本报告期份额净值增长率为</w:t>
      </w:r>
      <w:r w:rsidRPr="00414345">
        <w:rPr>
          <w:color w:val="000000"/>
          <w:sz w:val="24"/>
          <w:szCs w:val="24"/>
        </w:rPr>
        <w:t>4.77%</w:t>
      </w:r>
      <w:r w:rsidRPr="00414345">
        <w:rPr>
          <w:color w:val="000000"/>
          <w:sz w:val="24"/>
          <w:szCs w:val="24"/>
        </w:rPr>
        <w:t>，同期业绩比较基准增长率为</w:t>
      </w:r>
      <w:r w:rsidRPr="00414345">
        <w:rPr>
          <w:color w:val="000000"/>
          <w:sz w:val="24"/>
          <w:szCs w:val="24"/>
        </w:rPr>
        <w:t>0.51%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469,279,522.45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71.08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469,279,522.45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71.08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29,793,000.00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29,793,000.00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155,028,165.92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23.48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6,073,081.42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660,173,769.79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325,702,210.47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37,917.66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15,592.23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11,267,497.60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9,458.68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44,300,374.91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106,780.00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12,629,760.00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13,403,113.56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4,301,477.55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57,505,339.79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469,279,522.45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71.80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A39DD">
        <w:trPr>
          <w:jc w:val="center"/>
        </w:trPr>
        <w:tc>
          <w:tcPr>
            <w:tcW w:w="855" w:type="dxa"/>
            <w:vAlign w:val="center"/>
          </w:tcPr>
          <w:p w:rsidR="00DA39DD" w:rsidRDefault="00D01964">
            <w:pPr>
              <w:jc w:val="center"/>
            </w:pPr>
            <w:r>
              <w:rPr>
                <w:color w:val="000000"/>
                <w:sz w:val="24"/>
                <w:szCs w:val="24"/>
              </w:rPr>
              <w:t>1</w:t>
            </w:r>
          </w:p>
        </w:tc>
        <w:tc>
          <w:tcPr>
            <w:tcW w:w="1334" w:type="dxa"/>
            <w:vAlign w:val="center"/>
          </w:tcPr>
          <w:p w:rsidR="00DA39DD" w:rsidRDefault="00D01964">
            <w:pPr>
              <w:jc w:val="center"/>
            </w:pPr>
            <w:r>
              <w:rPr>
                <w:color w:val="000000"/>
                <w:sz w:val="24"/>
                <w:szCs w:val="24"/>
              </w:rPr>
              <w:t>002343</w:t>
            </w:r>
          </w:p>
        </w:tc>
        <w:tc>
          <w:tcPr>
            <w:tcW w:w="1777" w:type="dxa"/>
            <w:vAlign w:val="center"/>
          </w:tcPr>
          <w:p w:rsidR="00DA39DD" w:rsidRDefault="00D01964">
            <w:pPr>
              <w:jc w:val="center"/>
            </w:pPr>
            <w:r>
              <w:rPr>
                <w:color w:val="000000"/>
                <w:sz w:val="24"/>
                <w:szCs w:val="24"/>
              </w:rPr>
              <w:t>慈文传媒</w:t>
            </w:r>
          </w:p>
        </w:tc>
        <w:tc>
          <w:tcPr>
            <w:tcW w:w="1334" w:type="dxa"/>
            <w:vAlign w:val="center"/>
          </w:tcPr>
          <w:p w:rsidR="00DA39DD" w:rsidRDefault="00D01964">
            <w:pPr>
              <w:jc w:val="right"/>
            </w:pPr>
            <w:r>
              <w:rPr>
                <w:color w:val="000000"/>
                <w:sz w:val="24"/>
                <w:szCs w:val="24"/>
              </w:rPr>
              <w:t>1,273,087</w:t>
            </w:r>
          </w:p>
        </w:tc>
        <w:tc>
          <w:tcPr>
            <w:tcW w:w="1924" w:type="dxa"/>
            <w:vAlign w:val="center"/>
          </w:tcPr>
          <w:p w:rsidR="00DA39DD" w:rsidRDefault="00D01964">
            <w:pPr>
              <w:jc w:val="right"/>
            </w:pPr>
            <w:r>
              <w:rPr>
                <w:color w:val="000000"/>
                <w:sz w:val="24"/>
                <w:szCs w:val="24"/>
              </w:rPr>
              <w:t>57,505,339.79</w:t>
            </w:r>
          </w:p>
        </w:tc>
        <w:tc>
          <w:tcPr>
            <w:tcW w:w="1644" w:type="dxa"/>
            <w:vAlign w:val="center"/>
          </w:tcPr>
          <w:p w:rsidR="00DA39DD" w:rsidRDefault="00D01964">
            <w:pPr>
              <w:jc w:val="right"/>
            </w:pPr>
            <w:r>
              <w:rPr>
                <w:color w:val="000000"/>
                <w:sz w:val="24"/>
                <w:szCs w:val="24"/>
              </w:rPr>
              <w:t>8.80</w:t>
            </w:r>
          </w:p>
        </w:tc>
      </w:tr>
      <w:tr w:rsidR="00DA39DD">
        <w:trPr>
          <w:jc w:val="center"/>
        </w:trPr>
        <w:tc>
          <w:tcPr>
            <w:tcW w:w="855" w:type="dxa"/>
            <w:vAlign w:val="center"/>
          </w:tcPr>
          <w:p w:rsidR="00DA39DD" w:rsidRDefault="00D01964">
            <w:pPr>
              <w:jc w:val="center"/>
            </w:pPr>
            <w:r>
              <w:rPr>
                <w:color w:val="000000"/>
                <w:sz w:val="24"/>
                <w:szCs w:val="24"/>
              </w:rPr>
              <w:t>2</w:t>
            </w:r>
          </w:p>
        </w:tc>
        <w:tc>
          <w:tcPr>
            <w:tcW w:w="1334" w:type="dxa"/>
            <w:vAlign w:val="center"/>
          </w:tcPr>
          <w:p w:rsidR="00DA39DD" w:rsidRDefault="00D01964">
            <w:pPr>
              <w:jc w:val="center"/>
            </w:pPr>
            <w:r>
              <w:rPr>
                <w:color w:val="000000"/>
                <w:sz w:val="24"/>
                <w:szCs w:val="24"/>
              </w:rPr>
              <w:t>002468</w:t>
            </w:r>
          </w:p>
        </w:tc>
        <w:tc>
          <w:tcPr>
            <w:tcW w:w="1777" w:type="dxa"/>
            <w:vAlign w:val="center"/>
          </w:tcPr>
          <w:p w:rsidR="00DA39DD" w:rsidRDefault="00D01964">
            <w:pPr>
              <w:jc w:val="center"/>
            </w:pPr>
            <w:r>
              <w:rPr>
                <w:color w:val="000000"/>
                <w:sz w:val="24"/>
                <w:szCs w:val="24"/>
              </w:rPr>
              <w:t>申通快递</w:t>
            </w:r>
          </w:p>
        </w:tc>
        <w:tc>
          <w:tcPr>
            <w:tcW w:w="1334" w:type="dxa"/>
            <w:vAlign w:val="center"/>
          </w:tcPr>
          <w:p w:rsidR="00DA39DD" w:rsidRDefault="00D01964">
            <w:pPr>
              <w:jc w:val="right"/>
            </w:pPr>
            <w:r>
              <w:rPr>
                <w:color w:val="000000"/>
                <w:sz w:val="24"/>
                <w:szCs w:val="24"/>
              </w:rPr>
              <w:t>1,889,564</w:t>
            </w:r>
          </w:p>
        </w:tc>
        <w:tc>
          <w:tcPr>
            <w:tcW w:w="1924" w:type="dxa"/>
            <w:vAlign w:val="center"/>
          </w:tcPr>
          <w:p w:rsidR="00DA39DD" w:rsidRDefault="00D01964">
            <w:pPr>
              <w:jc w:val="right"/>
            </w:pPr>
            <w:r>
              <w:rPr>
                <w:color w:val="000000"/>
                <w:sz w:val="24"/>
                <w:szCs w:val="24"/>
              </w:rPr>
              <w:t>57,102,624.08</w:t>
            </w:r>
          </w:p>
        </w:tc>
        <w:tc>
          <w:tcPr>
            <w:tcW w:w="1644" w:type="dxa"/>
            <w:vAlign w:val="center"/>
          </w:tcPr>
          <w:p w:rsidR="00DA39DD" w:rsidRDefault="00D01964">
            <w:pPr>
              <w:jc w:val="right"/>
            </w:pPr>
            <w:r>
              <w:rPr>
                <w:color w:val="000000"/>
                <w:sz w:val="24"/>
                <w:szCs w:val="24"/>
              </w:rPr>
              <w:t>8.74</w:t>
            </w:r>
          </w:p>
        </w:tc>
      </w:tr>
      <w:tr w:rsidR="00DA39DD">
        <w:trPr>
          <w:jc w:val="center"/>
        </w:trPr>
        <w:tc>
          <w:tcPr>
            <w:tcW w:w="855" w:type="dxa"/>
            <w:vAlign w:val="center"/>
          </w:tcPr>
          <w:p w:rsidR="00DA39DD" w:rsidRDefault="00D01964">
            <w:pPr>
              <w:jc w:val="center"/>
            </w:pPr>
            <w:r>
              <w:rPr>
                <w:color w:val="000000"/>
                <w:sz w:val="24"/>
                <w:szCs w:val="24"/>
              </w:rPr>
              <w:t>3</w:t>
            </w:r>
          </w:p>
        </w:tc>
        <w:tc>
          <w:tcPr>
            <w:tcW w:w="1334" w:type="dxa"/>
            <w:vAlign w:val="center"/>
          </w:tcPr>
          <w:p w:rsidR="00DA39DD" w:rsidRDefault="00D01964">
            <w:pPr>
              <w:jc w:val="center"/>
            </w:pPr>
            <w:r>
              <w:rPr>
                <w:color w:val="000000"/>
                <w:sz w:val="24"/>
                <w:szCs w:val="24"/>
              </w:rPr>
              <w:t>002045</w:t>
            </w:r>
          </w:p>
        </w:tc>
        <w:tc>
          <w:tcPr>
            <w:tcW w:w="1777" w:type="dxa"/>
            <w:vAlign w:val="center"/>
          </w:tcPr>
          <w:p w:rsidR="00DA39DD" w:rsidRDefault="00D01964">
            <w:pPr>
              <w:jc w:val="center"/>
            </w:pPr>
            <w:r>
              <w:rPr>
                <w:color w:val="000000"/>
                <w:sz w:val="24"/>
                <w:szCs w:val="24"/>
              </w:rPr>
              <w:t>国光电器</w:t>
            </w:r>
          </w:p>
        </w:tc>
        <w:tc>
          <w:tcPr>
            <w:tcW w:w="1334" w:type="dxa"/>
            <w:vAlign w:val="center"/>
          </w:tcPr>
          <w:p w:rsidR="00DA39DD" w:rsidRDefault="00D01964">
            <w:pPr>
              <w:jc w:val="right"/>
            </w:pPr>
            <w:r>
              <w:rPr>
                <w:color w:val="000000"/>
                <w:sz w:val="24"/>
                <w:szCs w:val="24"/>
              </w:rPr>
              <w:t>2,649,610</w:t>
            </w:r>
          </w:p>
        </w:tc>
        <w:tc>
          <w:tcPr>
            <w:tcW w:w="1924" w:type="dxa"/>
            <w:vAlign w:val="center"/>
          </w:tcPr>
          <w:p w:rsidR="00DA39DD" w:rsidRDefault="00D01964">
            <w:pPr>
              <w:jc w:val="right"/>
            </w:pPr>
            <w:r>
              <w:rPr>
                <w:color w:val="000000"/>
                <w:sz w:val="24"/>
                <w:szCs w:val="24"/>
              </w:rPr>
              <w:t>32,987,644.50</w:t>
            </w:r>
          </w:p>
        </w:tc>
        <w:tc>
          <w:tcPr>
            <w:tcW w:w="1644" w:type="dxa"/>
            <w:vAlign w:val="center"/>
          </w:tcPr>
          <w:p w:rsidR="00DA39DD" w:rsidRDefault="00D01964">
            <w:pPr>
              <w:jc w:val="right"/>
            </w:pPr>
            <w:r>
              <w:rPr>
                <w:color w:val="000000"/>
                <w:sz w:val="24"/>
                <w:szCs w:val="24"/>
              </w:rPr>
              <w:t>5.05</w:t>
            </w:r>
          </w:p>
        </w:tc>
      </w:tr>
      <w:tr w:rsidR="00DA39DD">
        <w:trPr>
          <w:jc w:val="center"/>
        </w:trPr>
        <w:tc>
          <w:tcPr>
            <w:tcW w:w="855" w:type="dxa"/>
            <w:vAlign w:val="center"/>
          </w:tcPr>
          <w:p w:rsidR="00DA39DD" w:rsidRDefault="00D01964">
            <w:pPr>
              <w:jc w:val="center"/>
            </w:pPr>
            <w:r>
              <w:rPr>
                <w:color w:val="000000"/>
                <w:sz w:val="24"/>
                <w:szCs w:val="24"/>
              </w:rPr>
              <w:t>4</w:t>
            </w:r>
          </w:p>
        </w:tc>
        <w:tc>
          <w:tcPr>
            <w:tcW w:w="1334" w:type="dxa"/>
            <w:vAlign w:val="center"/>
          </w:tcPr>
          <w:p w:rsidR="00DA39DD" w:rsidRDefault="00D01964">
            <w:pPr>
              <w:jc w:val="center"/>
            </w:pPr>
            <w:r>
              <w:rPr>
                <w:color w:val="000000"/>
                <w:sz w:val="24"/>
                <w:szCs w:val="24"/>
              </w:rPr>
              <w:t>002120</w:t>
            </w:r>
          </w:p>
        </w:tc>
        <w:tc>
          <w:tcPr>
            <w:tcW w:w="1777" w:type="dxa"/>
            <w:vAlign w:val="center"/>
          </w:tcPr>
          <w:p w:rsidR="00DA39DD" w:rsidRDefault="00D01964">
            <w:pPr>
              <w:jc w:val="center"/>
            </w:pPr>
            <w:r>
              <w:rPr>
                <w:color w:val="000000"/>
                <w:sz w:val="24"/>
                <w:szCs w:val="24"/>
              </w:rPr>
              <w:t>新海股份</w:t>
            </w:r>
          </w:p>
        </w:tc>
        <w:tc>
          <w:tcPr>
            <w:tcW w:w="1334" w:type="dxa"/>
            <w:vAlign w:val="center"/>
          </w:tcPr>
          <w:p w:rsidR="00DA39DD" w:rsidRDefault="00D01964">
            <w:pPr>
              <w:jc w:val="right"/>
            </w:pPr>
            <w:r>
              <w:rPr>
                <w:color w:val="000000"/>
                <w:sz w:val="24"/>
                <w:szCs w:val="24"/>
              </w:rPr>
              <w:t>563,760</w:t>
            </w:r>
          </w:p>
        </w:tc>
        <w:tc>
          <w:tcPr>
            <w:tcW w:w="1924" w:type="dxa"/>
            <w:vAlign w:val="center"/>
          </w:tcPr>
          <w:p w:rsidR="00DA39DD" w:rsidRDefault="00D01964">
            <w:pPr>
              <w:jc w:val="right"/>
            </w:pPr>
            <w:r>
              <w:rPr>
                <w:color w:val="000000"/>
                <w:sz w:val="24"/>
                <w:szCs w:val="24"/>
              </w:rPr>
              <w:t>28,413,504.00</w:t>
            </w:r>
          </w:p>
        </w:tc>
        <w:tc>
          <w:tcPr>
            <w:tcW w:w="1644" w:type="dxa"/>
            <w:vAlign w:val="center"/>
          </w:tcPr>
          <w:p w:rsidR="00DA39DD" w:rsidRDefault="00D01964">
            <w:pPr>
              <w:jc w:val="right"/>
            </w:pPr>
            <w:r>
              <w:rPr>
                <w:color w:val="000000"/>
                <w:sz w:val="24"/>
                <w:szCs w:val="24"/>
              </w:rPr>
              <w:t>4.35</w:t>
            </w:r>
          </w:p>
        </w:tc>
      </w:tr>
      <w:tr w:rsidR="00DA39DD">
        <w:trPr>
          <w:jc w:val="center"/>
        </w:trPr>
        <w:tc>
          <w:tcPr>
            <w:tcW w:w="855" w:type="dxa"/>
            <w:vAlign w:val="center"/>
          </w:tcPr>
          <w:p w:rsidR="00DA39DD" w:rsidRDefault="00D01964">
            <w:pPr>
              <w:jc w:val="center"/>
            </w:pPr>
            <w:r>
              <w:rPr>
                <w:color w:val="000000"/>
                <w:sz w:val="24"/>
                <w:szCs w:val="24"/>
              </w:rPr>
              <w:t>5</w:t>
            </w:r>
          </w:p>
        </w:tc>
        <w:tc>
          <w:tcPr>
            <w:tcW w:w="1334" w:type="dxa"/>
            <w:vAlign w:val="center"/>
          </w:tcPr>
          <w:p w:rsidR="00DA39DD" w:rsidRDefault="00D01964">
            <w:pPr>
              <w:jc w:val="center"/>
            </w:pPr>
            <w:r>
              <w:rPr>
                <w:color w:val="000000"/>
                <w:sz w:val="24"/>
                <w:szCs w:val="24"/>
              </w:rPr>
              <w:t>300365</w:t>
            </w:r>
          </w:p>
        </w:tc>
        <w:tc>
          <w:tcPr>
            <w:tcW w:w="1777" w:type="dxa"/>
            <w:vAlign w:val="center"/>
          </w:tcPr>
          <w:p w:rsidR="00DA39DD" w:rsidRDefault="00D01964">
            <w:pPr>
              <w:jc w:val="center"/>
            </w:pPr>
            <w:r>
              <w:rPr>
                <w:color w:val="000000"/>
                <w:sz w:val="24"/>
                <w:szCs w:val="24"/>
              </w:rPr>
              <w:t>恒华科技</w:t>
            </w:r>
          </w:p>
        </w:tc>
        <w:tc>
          <w:tcPr>
            <w:tcW w:w="1334" w:type="dxa"/>
            <w:vAlign w:val="center"/>
          </w:tcPr>
          <w:p w:rsidR="00DA39DD" w:rsidRDefault="00D01964">
            <w:pPr>
              <w:jc w:val="right"/>
            </w:pPr>
            <w:r>
              <w:rPr>
                <w:color w:val="000000"/>
                <w:sz w:val="24"/>
                <w:szCs w:val="24"/>
              </w:rPr>
              <w:t>671,343</w:t>
            </w:r>
          </w:p>
        </w:tc>
        <w:tc>
          <w:tcPr>
            <w:tcW w:w="1924" w:type="dxa"/>
            <w:vAlign w:val="center"/>
          </w:tcPr>
          <w:p w:rsidR="00DA39DD" w:rsidRDefault="00D01964">
            <w:pPr>
              <w:jc w:val="right"/>
            </w:pPr>
            <w:r>
              <w:rPr>
                <w:color w:val="000000"/>
                <w:sz w:val="24"/>
                <w:szCs w:val="24"/>
              </w:rPr>
              <w:t>27,860,734.50</w:t>
            </w:r>
          </w:p>
        </w:tc>
        <w:tc>
          <w:tcPr>
            <w:tcW w:w="1644" w:type="dxa"/>
            <w:vAlign w:val="center"/>
          </w:tcPr>
          <w:p w:rsidR="00DA39DD" w:rsidRDefault="00D01964">
            <w:pPr>
              <w:jc w:val="right"/>
            </w:pPr>
            <w:r>
              <w:rPr>
                <w:color w:val="000000"/>
                <w:sz w:val="24"/>
                <w:szCs w:val="24"/>
              </w:rPr>
              <w:t>4.26</w:t>
            </w:r>
          </w:p>
        </w:tc>
      </w:tr>
      <w:tr w:rsidR="00DA39DD">
        <w:trPr>
          <w:jc w:val="center"/>
        </w:trPr>
        <w:tc>
          <w:tcPr>
            <w:tcW w:w="855" w:type="dxa"/>
            <w:vAlign w:val="center"/>
          </w:tcPr>
          <w:p w:rsidR="00DA39DD" w:rsidRDefault="00D01964">
            <w:pPr>
              <w:jc w:val="center"/>
            </w:pPr>
            <w:r>
              <w:rPr>
                <w:color w:val="000000"/>
                <w:sz w:val="24"/>
                <w:szCs w:val="24"/>
              </w:rPr>
              <w:t>6</w:t>
            </w:r>
          </w:p>
        </w:tc>
        <w:tc>
          <w:tcPr>
            <w:tcW w:w="1334" w:type="dxa"/>
            <w:vAlign w:val="center"/>
          </w:tcPr>
          <w:p w:rsidR="00DA39DD" w:rsidRDefault="00D01964">
            <w:pPr>
              <w:jc w:val="center"/>
            </w:pPr>
            <w:r>
              <w:rPr>
                <w:color w:val="000000"/>
                <w:sz w:val="24"/>
                <w:szCs w:val="24"/>
              </w:rPr>
              <w:t>300129</w:t>
            </w:r>
          </w:p>
        </w:tc>
        <w:tc>
          <w:tcPr>
            <w:tcW w:w="1777" w:type="dxa"/>
            <w:vAlign w:val="center"/>
          </w:tcPr>
          <w:p w:rsidR="00DA39DD" w:rsidRDefault="00D01964">
            <w:pPr>
              <w:jc w:val="center"/>
            </w:pPr>
            <w:r>
              <w:rPr>
                <w:color w:val="000000"/>
                <w:sz w:val="24"/>
                <w:szCs w:val="24"/>
              </w:rPr>
              <w:t>泰胜风能</w:t>
            </w:r>
          </w:p>
        </w:tc>
        <w:tc>
          <w:tcPr>
            <w:tcW w:w="1334" w:type="dxa"/>
            <w:vAlign w:val="center"/>
          </w:tcPr>
          <w:p w:rsidR="00DA39DD" w:rsidRDefault="00D01964">
            <w:pPr>
              <w:jc w:val="right"/>
            </w:pPr>
            <w:r>
              <w:rPr>
                <w:color w:val="000000"/>
                <w:sz w:val="24"/>
                <w:szCs w:val="24"/>
              </w:rPr>
              <w:t>2,768,500</w:t>
            </w:r>
          </w:p>
        </w:tc>
        <w:tc>
          <w:tcPr>
            <w:tcW w:w="1924" w:type="dxa"/>
            <w:vAlign w:val="center"/>
          </w:tcPr>
          <w:p w:rsidR="00DA39DD" w:rsidRDefault="00D01964">
            <w:pPr>
              <w:jc w:val="right"/>
            </w:pPr>
            <w:r>
              <w:rPr>
                <w:color w:val="000000"/>
                <w:sz w:val="24"/>
                <w:szCs w:val="24"/>
              </w:rPr>
              <w:t>24,224,375.00</w:t>
            </w:r>
          </w:p>
        </w:tc>
        <w:tc>
          <w:tcPr>
            <w:tcW w:w="1644" w:type="dxa"/>
            <w:vAlign w:val="center"/>
          </w:tcPr>
          <w:p w:rsidR="00DA39DD" w:rsidRDefault="00D01964">
            <w:pPr>
              <w:jc w:val="right"/>
            </w:pPr>
            <w:r>
              <w:rPr>
                <w:color w:val="000000"/>
                <w:sz w:val="24"/>
                <w:szCs w:val="24"/>
              </w:rPr>
              <w:t>3.71</w:t>
            </w:r>
          </w:p>
        </w:tc>
      </w:tr>
      <w:tr w:rsidR="00DA39DD">
        <w:trPr>
          <w:jc w:val="center"/>
        </w:trPr>
        <w:tc>
          <w:tcPr>
            <w:tcW w:w="855" w:type="dxa"/>
            <w:vAlign w:val="center"/>
          </w:tcPr>
          <w:p w:rsidR="00DA39DD" w:rsidRDefault="00D01964">
            <w:pPr>
              <w:jc w:val="center"/>
            </w:pPr>
            <w:r>
              <w:rPr>
                <w:color w:val="000000"/>
                <w:sz w:val="24"/>
                <w:szCs w:val="24"/>
              </w:rPr>
              <w:t>7</w:t>
            </w:r>
          </w:p>
        </w:tc>
        <w:tc>
          <w:tcPr>
            <w:tcW w:w="1334" w:type="dxa"/>
            <w:vAlign w:val="center"/>
          </w:tcPr>
          <w:p w:rsidR="00DA39DD" w:rsidRDefault="00D01964">
            <w:pPr>
              <w:jc w:val="center"/>
            </w:pPr>
            <w:r>
              <w:rPr>
                <w:color w:val="000000"/>
                <w:sz w:val="24"/>
                <w:szCs w:val="24"/>
              </w:rPr>
              <w:t>000915</w:t>
            </w:r>
          </w:p>
        </w:tc>
        <w:tc>
          <w:tcPr>
            <w:tcW w:w="1777" w:type="dxa"/>
            <w:vAlign w:val="center"/>
          </w:tcPr>
          <w:p w:rsidR="00DA39DD" w:rsidRDefault="00D01964">
            <w:pPr>
              <w:jc w:val="center"/>
            </w:pPr>
            <w:r>
              <w:rPr>
                <w:color w:val="000000"/>
                <w:sz w:val="24"/>
                <w:szCs w:val="24"/>
              </w:rPr>
              <w:t>山大华特</w:t>
            </w:r>
          </w:p>
        </w:tc>
        <w:tc>
          <w:tcPr>
            <w:tcW w:w="1334" w:type="dxa"/>
            <w:vAlign w:val="center"/>
          </w:tcPr>
          <w:p w:rsidR="00DA39DD" w:rsidRDefault="00D01964">
            <w:pPr>
              <w:jc w:val="right"/>
            </w:pPr>
            <w:r>
              <w:rPr>
                <w:color w:val="000000"/>
                <w:sz w:val="24"/>
                <w:szCs w:val="24"/>
              </w:rPr>
              <w:t>572,779</w:t>
            </w:r>
          </w:p>
        </w:tc>
        <w:tc>
          <w:tcPr>
            <w:tcW w:w="1924" w:type="dxa"/>
            <w:vAlign w:val="center"/>
          </w:tcPr>
          <w:p w:rsidR="00DA39DD" w:rsidRDefault="00D01964">
            <w:pPr>
              <w:jc w:val="right"/>
            </w:pPr>
            <w:r>
              <w:rPr>
                <w:color w:val="000000"/>
                <w:sz w:val="24"/>
                <w:szCs w:val="24"/>
              </w:rPr>
              <w:t>24,131,179.27</w:t>
            </w:r>
          </w:p>
        </w:tc>
        <w:tc>
          <w:tcPr>
            <w:tcW w:w="1644" w:type="dxa"/>
            <w:vAlign w:val="center"/>
          </w:tcPr>
          <w:p w:rsidR="00DA39DD" w:rsidRDefault="00D01964">
            <w:pPr>
              <w:jc w:val="right"/>
            </w:pPr>
            <w:r>
              <w:rPr>
                <w:color w:val="000000"/>
                <w:sz w:val="24"/>
                <w:szCs w:val="24"/>
              </w:rPr>
              <w:t>3.69</w:t>
            </w:r>
          </w:p>
        </w:tc>
      </w:tr>
      <w:tr w:rsidR="00DA39DD">
        <w:trPr>
          <w:jc w:val="center"/>
        </w:trPr>
        <w:tc>
          <w:tcPr>
            <w:tcW w:w="855" w:type="dxa"/>
            <w:vAlign w:val="center"/>
          </w:tcPr>
          <w:p w:rsidR="00DA39DD" w:rsidRDefault="00D01964">
            <w:pPr>
              <w:jc w:val="center"/>
            </w:pPr>
            <w:r>
              <w:rPr>
                <w:color w:val="000000"/>
                <w:sz w:val="24"/>
                <w:szCs w:val="24"/>
              </w:rPr>
              <w:t>8</w:t>
            </w:r>
          </w:p>
        </w:tc>
        <w:tc>
          <w:tcPr>
            <w:tcW w:w="1334" w:type="dxa"/>
            <w:vAlign w:val="center"/>
          </w:tcPr>
          <w:p w:rsidR="00DA39DD" w:rsidRDefault="00D01964">
            <w:pPr>
              <w:jc w:val="center"/>
            </w:pPr>
            <w:r>
              <w:rPr>
                <w:color w:val="000000"/>
                <w:sz w:val="24"/>
                <w:szCs w:val="24"/>
              </w:rPr>
              <w:t>000820</w:t>
            </w:r>
          </w:p>
        </w:tc>
        <w:tc>
          <w:tcPr>
            <w:tcW w:w="1777" w:type="dxa"/>
            <w:vAlign w:val="center"/>
          </w:tcPr>
          <w:p w:rsidR="00DA39DD" w:rsidRDefault="00D01964">
            <w:pPr>
              <w:jc w:val="center"/>
            </w:pPr>
            <w:r>
              <w:rPr>
                <w:color w:val="000000"/>
                <w:sz w:val="24"/>
                <w:szCs w:val="24"/>
              </w:rPr>
              <w:t>神雾节能</w:t>
            </w:r>
          </w:p>
        </w:tc>
        <w:tc>
          <w:tcPr>
            <w:tcW w:w="1334" w:type="dxa"/>
            <w:vAlign w:val="center"/>
          </w:tcPr>
          <w:p w:rsidR="00DA39DD" w:rsidRDefault="00D01964">
            <w:pPr>
              <w:jc w:val="right"/>
            </w:pPr>
            <w:r>
              <w:rPr>
                <w:color w:val="000000"/>
                <w:sz w:val="24"/>
                <w:szCs w:val="24"/>
              </w:rPr>
              <w:t>751,061</w:t>
            </w:r>
          </w:p>
        </w:tc>
        <w:tc>
          <w:tcPr>
            <w:tcW w:w="1924" w:type="dxa"/>
            <w:vAlign w:val="center"/>
          </w:tcPr>
          <w:p w:rsidR="00DA39DD" w:rsidRDefault="00D01964">
            <w:pPr>
              <w:jc w:val="right"/>
            </w:pPr>
            <w:r>
              <w:rPr>
                <w:color w:val="000000"/>
                <w:sz w:val="24"/>
                <w:szCs w:val="24"/>
              </w:rPr>
              <w:t>21,705,662.90</w:t>
            </w:r>
          </w:p>
        </w:tc>
        <w:tc>
          <w:tcPr>
            <w:tcW w:w="1644" w:type="dxa"/>
            <w:vAlign w:val="center"/>
          </w:tcPr>
          <w:p w:rsidR="00DA39DD" w:rsidRDefault="00D01964">
            <w:pPr>
              <w:jc w:val="right"/>
            </w:pPr>
            <w:r>
              <w:rPr>
                <w:color w:val="000000"/>
                <w:sz w:val="24"/>
                <w:szCs w:val="24"/>
              </w:rPr>
              <w:t>3.32</w:t>
            </w:r>
          </w:p>
        </w:tc>
      </w:tr>
      <w:tr w:rsidR="00DA39DD">
        <w:trPr>
          <w:jc w:val="center"/>
        </w:trPr>
        <w:tc>
          <w:tcPr>
            <w:tcW w:w="855" w:type="dxa"/>
            <w:vAlign w:val="center"/>
          </w:tcPr>
          <w:p w:rsidR="00DA39DD" w:rsidRDefault="00D01964">
            <w:pPr>
              <w:jc w:val="center"/>
            </w:pPr>
            <w:r>
              <w:rPr>
                <w:color w:val="000000"/>
                <w:sz w:val="24"/>
                <w:szCs w:val="24"/>
              </w:rPr>
              <w:t>9</w:t>
            </w:r>
          </w:p>
        </w:tc>
        <w:tc>
          <w:tcPr>
            <w:tcW w:w="1334" w:type="dxa"/>
            <w:vAlign w:val="center"/>
          </w:tcPr>
          <w:p w:rsidR="00DA39DD" w:rsidRDefault="00D01964">
            <w:pPr>
              <w:jc w:val="center"/>
            </w:pPr>
            <w:r>
              <w:rPr>
                <w:color w:val="000000"/>
                <w:sz w:val="24"/>
                <w:szCs w:val="24"/>
              </w:rPr>
              <w:t>002281</w:t>
            </w:r>
          </w:p>
        </w:tc>
        <w:tc>
          <w:tcPr>
            <w:tcW w:w="1777" w:type="dxa"/>
            <w:vAlign w:val="center"/>
          </w:tcPr>
          <w:p w:rsidR="00DA39DD" w:rsidRDefault="00D01964">
            <w:pPr>
              <w:jc w:val="center"/>
            </w:pPr>
            <w:r>
              <w:rPr>
                <w:color w:val="000000"/>
                <w:sz w:val="24"/>
                <w:szCs w:val="24"/>
              </w:rPr>
              <w:t>光迅科技</w:t>
            </w:r>
          </w:p>
        </w:tc>
        <w:tc>
          <w:tcPr>
            <w:tcW w:w="1334" w:type="dxa"/>
            <w:vAlign w:val="center"/>
          </w:tcPr>
          <w:p w:rsidR="00DA39DD" w:rsidRDefault="00D01964">
            <w:pPr>
              <w:jc w:val="right"/>
            </w:pPr>
            <w:r>
              <w:rPr>
                <w:color w:val="000000"/>
                <w:sz w:val="24"/>
                <w:szCs w:val="24"/>
              </w:rPr>
              <w:t>265,500</w:t>
            </w:r>
          </w:p>
        </w:tc>
        <w:tc>
          <w:tcPr>
            <w:tcW w:w="1924" w:type="dxa"/>
            <w:vAlign w:val="center"/>
          </w:tcPr>
          <w:p w:rsidR="00DA39DD" w:rsidRDefault="00D01964">
            <w:pPr>
              <w:jc w:val="right"/>
            </w:pPr>
            <w:r>
              <w:rPr>
                <w:color w:val="000000"/>
                <w:sz w:val="24"/>
                <w:szCs w:val="24"/>
              </w:rPr>
              <w:t>20,841,750.00</w:t>
            </w:r>
          </w:p>
        </w:tc>
        <w:tc>
          <w:tcPr>
            <w:tcW w:w="1644" w:type="dxa"/>
            <w:vAlign w:val="center"/>
          </w:tcPr>
          <w:p w:rsidR="00DA39DD" w:rsidRDefault="00D01964">
            <w:pPr>
              <w:jc w:val="right"/>
            </w:pPr>
            <w:r>
              <w:rPr>
                <w:color w:val="000000"/>
                <w:sz w:val="24"/>
                <w:szCs w:val="24"/>
              </w:rPr>
              <w:t>3.19</w:t>
            </w:r>
          </w:p>
        </w:tc>
      </w:tr>
      <w:tr w:rsidR="00DA39DD">
        <w:trPr>
          <w:jc w:val="center"/>
        </w:trPr>
        <w:tc>
          <w:tcPr>
            <w:tcW w:w="855" w:type="dxa"/>
            <w:vAlign w:val="center"/>
          </w:tcPr>
          <w:p w:rsidR="00DA39DD" w:rsidRDefault="00D01964">
            <w:pPr>
              <w:jc w:val="center"/>
            </w:pPr>
            <w:r>
              <w:rPr>
                <w:color w:val="000000"/>
                <w:sz w:val="24"/>
                <w:szCs w:val="24"/>
              </w:rPr>
              <w:t>10</w:t>
            </w:r>
          </w:p>
        </w:tc>
        <w:tc>
          <w:tcPr>
            <w:tcW w:w="1334" w:type="dxa"/>
            <w:vAlign w:val="center"/>
          </w:tcPr>
          <w:p w:rsidR="00DA39DD" w:rsidRDefault="00D01964">
            <w:pPr>
              <w:jc w:val="center"/>
            </w:pPr>
            <w:r>
              <w:rPr>
                <w:color w:val="000000"/>
                <w:sz w:val="24"/>
                <w:szCs w:val="24"/>
              </w:rPr>
              <w:t>600867</w:t>
            </w:r>
          </w:p>
        </w:tc>
        <w:tc>
          <w:tcPr>
            <w:tcW w:w="1777" w:type="dxa"/>
            <w:vAlign w:val="center"/>
          </w:tcPr>
          <w:p w:rsidR="00DA39DD" w:rsidRDefault="00D01964">
            <w:pPr>
              <w:jc w:val="center"/>
            </w:pPr>
            <w:r>
              <w:rPr>
                <w:color w:val="000000"/>
                <w:sz w:val="24"/>
                <w:szCs w:val="24"/>
              </w:rPr>
              <w:t>通化东宝</w:t>
            </w:r>
          </w:p>
        </w:tc>
        <w:tc>
          <w:tcPr>
            <w:tcW w:w="1334" w:type="dxa"/>
            <w:vAlign w:val="center"/>
          </w:tcPr>
          <w:p w:rsidR="00DA39DD" w:rsidRDefault="00D01964">
            <w:pPr>
              <w:jc w:val="right"/>
            </w:pPr>
            <w:r>
              <w:rPr>
                <w:color w:val="000000"/>
                <w:sz w:val="24"/>
                <w:szCs w:val="24"/>
              </w:rPr>
              <w:t>902,318</w:t>
            </w:r>
          </w:p>
        </w:tc>
        <w:tc>
          <w:tcPr>
            <w:tcW w:w="1924" w:type="dxa"/>
            <w:vAlign w:val="center"/>
          </w:tcPr>
          <w:p w:rsidR="00DA39DD" w:rsidRDefault="00D01964">
            <w:pPr>
              <w:jc w:val="right"/>
            </w:pPr>
            <w:r>
              <w:rPr>
                <w:color w:val="000000"/>
                <w:sz w:val="24"/>
                <w:szCs w:val="24"/>
              </w:rPr>
              <w:t>19,787,833.74</w:t>
            </w:r>
          </w:p>
        </w:tc>
        <w:tc>
          <w:tcPr>
            <w:tcW w:w="1644" w:type="dxa"/>
            <w:vAlign w:val="center"/>
          </w:tcPr>
          <w:p w:rsidR="00DA39DD" w:rsidRDefault="00D01964">
            <w:pPr>
              <w:jc w:val="right"/>
            </w:pPr>
            <w:r>
              <w:rPr>
                <w:color w:val="000000"/>
                <w:sz w:val="24"/>
                <w:szCs w:val="24"/>
              </w:rPr>
              <w:t>3.03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29,793,000.00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29,793,000.00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29,793,000.00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A39DD">
        <w:trPr>
          <w:jc w:val="center"/>
        </w:trPr>
        <w:tc>
          <w:tcPr>
            <w:tcW w:w="850" w:type="dxa"/>
            <w:vAlign w:val="center"/>
          </w:tcPr>
          <w:p w:rsidR="00DA39DD" w:rsidRDefault="00D01964">
            <w:pPr>
              <w:jc w:val="center"/>
            </w:pPr>
            <w:r>
              <w:rPr>
                <w:color w:val="000000"/>
                <w:sz w:val="24"/>
                <w:szCs w:val="24"/>
              </w:rPr>
              <w:t>1</w:t>
            </w:r>
          </w:p>
        </w:tc>
        <w:tc>
          <w:tcPr>
            <w:tcW w:w="1475" w:type="dxa"/>
            <w:vAlign w:val="center"/>
          </w:tcPr>
          <w:p w:rsidR="00DA39DD" w:rsidRDefault="00D01964">
            <w:pPr>
              <w:jc w:val="center"/>
            </w:pPr>
            <w:r>
              <w:rPr>
                <w:color w:val="000000"/>
                <w:sz w:val="24"/>
                <w:szCs w:val="24"/>
              </w:rPr>
              <w:t>160217</w:t>
            </w:r>
          </w:p>
        </w:tc>
        <w:tc>
          <w:tcPr>
            <w:tcW w:w="1769" w:type="dxa"/>
            <w:vAlign w:val="center"/>
          </w:tcPr>
          <w:p w:rsidR="00DA39DD" w:rsidRDefault="00D01964">
            <w:pPr>
              <w:jc w:val="center"/>
            </w:pPr>
            <w:r>
              <w:rPr>
                <w:color w:val="000000"/>
                <w:sz w:val="24"/>
                <w:szCs w:val="24"/>
              </w:rPr>
              <w:t>16</w:t>
            </w:r>
            <w:r>
              <w:rPr>
                <w:color w:val="000000"/>
                <w:sz w:val="24"/>
                <w:szCs w:val="24"/>
              </w:rPr>
              <w:t>国开</w:t>
            </w:r>
            <w:r>
              <w:rPr>
                <w:color w:val="000000"/>
                <w:sz w:val="24"/>
                <w:szCs w:val="24"/>
              </w:rPr>
              <w:t>17</w:t>
            </w:r>
          </w:p>
        </w:tc>
        <w:tc>
          <w:tcPr>
            <w:tcW w:w="1387" w:type="dxa"/>
            <w:vAlign w:val="center"/>
          </w:tcPr>
          <w:p w:rsidR="00DA39DD" w:rsidRDefault="00D01964">
            <w:pPr>
              <w:jc w:val="right"/>
            </w:pPr>
            <w:r>
              <w:rPr>
                <w:color w:val="000000"/>
                <w:sz w:val="24"/>
                <w:szCs w:val="24"/>
              </w:rPr>
              <w:t>300,000</w:t>
            </w:r>
          </w:p>
        </w:tc>
        <w:tc>
          <w:tcPr>
            <w:tcW w:w="2150" w:type="dxa"/>
            <w:vAlign w:val="center"/>
          </w:tcPr>
          <w:p w:rsidR="00DA39DD" w:rsidRDefault="00D01964">
            <w:pPr>
              <w:jc w:val="right"/>
            </w:pPr>
            <w:r>
              <w:rPr>
                <w:color w:val="000000"/>
                <w:sz w:val="24"/>
                <w:szCs w:val="24"/>
              </w:rPr>
              <w:t>29,793,000.00</w:t>
            </w:r>
          </w:p>
        </w:tc>
        <w:tc>
          <w:tcPr>
            <w:tcW w:w="1237" w:type="dxa"/>
            <w:vAlign w:val="center"/>
          </w:tcPr>
          <w:p w:rsidR="00DA39DD" w:rsidRDefault="00D01964">
            <w:pPr>
              <w:jc w:val="right"/>
            </w:pPr>
            <w:r>
              <w:rPr>
                <w:color w:val="000000"/>
                <w:sz w:val="24"/>
                <w:szCs w:val="24"/>
              </w:rPr>
              <w:t>4.56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414,495.21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3,974,960.47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122,804.66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1,560,821.08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6,073,081.42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157,139,281.28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156,050,187.92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73,258,073.00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239,931,396.20</w:t>
            </w:r>
          </w:p>
        </w:tc>
      </w:tr>
    </w:tbl>
    <w:p w:rsidR="00DA39DD" w:rsidRDefault="00D0196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A39DD" w:rsidRDefault="00D0196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DA39DD" w:rsidRDefault="00D0196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DA39DD" w:rsidRDefault="00D0196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DA39DD" w:rsidRDefault="00D0196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DA39DD" w:rsidRDefault="00D01964">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DA39DD" w:rsidRDefault="00D01964">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DA39DD" w:rsidRDefault="00D01964">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DA39DD" w:rsidRDefault="00D01964">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DA39DD" w:rsidRDefault="00D01964">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DA39DD" w:rsidRDefault="00D01964">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DA39DD" w:rsidRDefault="00D01964">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DA39DD" w:rsidRDefault="00D01964">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A39DD" w:rsidRDefault="00D0196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C4D" w:rsidRDefault="00E11C4D" w:rsidP="00876D65">
      <w:r>
        <w:separator/>
      </w:r>
    </w:p>
  </w:endnote>
  <w:endnote w:type="continuationSeparator" w:id="0">
    <w:p w:rsidR="00E11C4D" w:rsidRDefault="00E11C4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EA0AE0">
      <w:rPr>
        <w:noProof/>
        <w:kern w:val="0"/>
        <w:szCs w:val="21"/>
      </w:rPr>
      <w:t>4</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EA0AE0">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C4D" w:rsidRDefault="00E11C4D" w:rsidP="00876D65">
      <w:r>
        <w:separator/>
      </w:r>
    </w:p>
  </w:footnote>
  <w:footnote w:type="continuationSeparator" w:id="0">
    <w:p w:rsidR="00E11C4D" w:rsidRDefault="00E11C4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536D"/>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964"/>
    <w:rsid w:val="00D01FE6"/>
    <w:rsid w:val="00D02347"/>
    <w:rsid w:val="00D037DC"/>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39DD"/>
    <w:rsid w:val="00DA66D0"/>
    <w:rsid w:val="00DC0B51"/>
    <w:rsid w:val="00DC141F"/>
    <w:rsid w:val="00DC28F1"/>
    <w:rsid w:val="00DC6B55"/>
    <w:rsid w:val="00DE27F7"/>
    <w:rsid w:val="00DE4B43"/>
    <w:rsid w:val="00E02660"/>
    <w:rsid w:val="00E11C4D"/>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0AE0"/>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9D67-5A1F-4700-A53F-A9010C7F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566</cp:revision>
  <dcterms:created xsi:type="dcterms:W3CDTF">2012-10-16T06:07:00Z</dcterms:created>
  <dcterms:modified xsi:type="dcterms:W3CDTF">2017-01-17T10:38:00Z</dcterms:modified>
</cp:coreProperties>
</file>