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bookmarkStart w:id="0" w:name="_GoBack"/>
      <w:bookmarkEnd w:id="0"/>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交银施罗德蓝筹混合型证券投资基金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二〇一七年一月十九日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87513" w:rsidRDefault="005A2DF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87513" w:rsidRDefault="005A2DFF">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87513" w:rsidRDefault="005A2DF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87513" w:rsidRDefault="005A2DF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87513" w:rsidRDefault="005A2DFF">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交银蓝筹混合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3,033,409,845.22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100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本基金是一只混合型基金，以优质蓝筹股为主要投资</w:t>
            </w:r>
            <w:r w:rsidRPr="00414345">
              <w:rPr>
                <w:color w:val="000000"/>
                <w:kern w:val="0"/>
                <w:sz w:val="24"/>
                <w:szCs w:val="24"/>
              </w:rPr>
              <w:lastRenderedPageBreak/>
              <w:t>对象，其风险和预期收益高于债券型基金和货币市场基金，低于股票型基金。属于承担较高风险、预期收益较高的证券投资基金品种。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A2DFF" w:rsidRPr="00414345" w:rsidTr="005A2DF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5A2DFF" w:rsidRPr="00414345" w:rsidTr="005A2DF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-15,362,468.42</w:t>
            </w:r>
          </w:p>
        </w:tc>
      </w:tr>
      <w:tr w:rsidR="005A2DFF" w:rsidRPr="00414345" w:rsidTr="005A2DF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30,223,948.68</w:t>
            </w:r>
          </w:p>
        </w:tc>
      </w:tr>
      <w:tr w:rsidR="005A2DFF" w:rsidRPr="00414345" w:rsidTr="005A2DF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0.0098</w:t>
            </w:r>
          </w:p>
        </w:tc>
      </w:tr>
      <w:tr w:rsidR="005A2DFF" w:rsidRPr="00414345" w:rsidTr="005A2DF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2,510,452,884.11</w:t>
            </w:r>
          </w:p>
        </w:tc>
      </w:tr>
      <w:tr w:rsidR="005A2DFF" w:rsidRPr="00414345" w:rsidTr="005A2DF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0.8276</w:t>
            </w:r>
          </w:p>
        </w:tc>
      </w:tr>
    </w:tbl>
    <w:p w:rsidR="00987513" w:rsidRDefault="005A2DF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87513">
        <w:trPr>
          <w:jc w:val="center"/>
        </w:trPr>
        <w:tc>
          <w:tcPr>
            <w:tcW w:w="1701" w:type="dxa"/>
            <w:vAlign w:val="center"/>
          </w:tcPr>
          <w:p w:rsidR="00987513" w:rsidRDefault="005A2DFF">
            <w:pPr>
              <w:jc w:val="left"/>
            </w:pPr>
            <w:r>
              <w:rPr>
                <w:color w:val="000000"/>
                <w:sz w:val="24"/>
                <w:szCs w:val="24"/>
              </w:rPr>
              <w:t>过去三个月</w:t>
            </w:r>
          </w:p>
        </w:tc>
        <w:tc>
          <w:tcPr>
            <w:tcW w:w="1045" w:type="dxa"/>
            <w:vAlign w:val="center"/>
          </w:tcPr>
          <w:p w:rsidR="00987513" w:rsidRDefault="005A2DFF">
            <w:pPr>
              <w:jc w:val="center"/>
            </w:pPr>
            <w:r>
              <w:rPr>
                <w:color w:val="000000"/>
                <w:sz w:val="24"/>
                <w:szCs w:val="24"/>
              </w:rPr>
              <w:t>1.10%</w:t>
            </w:r>
          </w:p>
        </w:tc>
        <w:tc>
          <w:tcPr>
            <w:tcW w:w="1344" w:type="dxa"/>
            <w:vAlign w:val="center"/>
          </w:tcPr>
          <w:p w:rsidR="00987513" w:rsidRDefault="005A2DFF">
            <w:pPr>
              <w:jc w:val="center"/>
            </w:pPr>
            <w:r>
              <w:rPr>
                <w:color w:val="000000"/>
                <w:sz w:val="24"/>
                <w:szCs w:val="24"/>
              </w:rPr>
              <w:t>0.74%</w:t>
            </w:r>
          </w:p>
        </w:tc>
        <w:tc>
          <w:tcPr>
            <w:tcW w:w="1194" w:type="dxa"/>
            <w:vAlign w:val="center"/>
          </w:tcPr>
          <w:p w:rsidR="00987513" w:rsidRDefault="005A2DFF">
            <w:pPr>
              <w:jc w:val="center"/>
            </w:pPr>
            <w:r>
              <w:rPr>
                <w:color w:val="000000"/>
                <w:sz w:val="24"/>
                <w:szCs w:val="24"/>
              </w:rPr>
              <w:t>1.92%</w:t>
            </w:r>
          </w:p>
        </w:tc>
        <w:tc>
          <w:tcPr>
            <w:tcW w:w="1492" w:type="dxa"/>
            <w:vAlign w:val="center"/>
          </w:tcPr>
          <w:p w:rsidR="00987513" w:rsidRDefault="005A2DFF">
            <w:pPr>
              <w:jc w:val="center"/>
            </w:pPr>
            <w:r>
              <w:rPr>
                <w:color w:val="000000"/>
                <w:sz w:val="24"/>
                <w:szCs w:val="24"/>
              </w:rPr>
              <w:t>0.56%</w:t>
            </w:r>
          </w:p>
        </w:tc>
        <w:tc>
          <w:tcPr>
            <w:tcW w:w="1194" w:type="dxa"/>
            <w:vAlign w:val="center"/>
          </w:tcPr>
          <w:p w:rsidR="00987513" w:rsidRDefault="005A2DFF">
            <w:pPr>
              <w:jc w:val="center"/>
            </w:pPr>
            <w:r>
              <w:rPr>
                <w:color w:val="000000"/>
                <w:sz w:val="24"/>
                <w:szCs w:val="24"/>
              </w:rPr>
              <w:t>-0.82%</w:t>
            </w:r>
          </w:p>
        </w:tc>
        <w:tc>
          <w:tcPr>
            <w:tcW w:w="898" w:type="dxa"/>
            <w:vAlign w:val="center"/>
          </w:tcPr>
          <w:p w:rsidR="00987513" w:rsidRDefault="005A2DFF">
            <w:pPr>
              <w:jc w:val="center"/>
            </w:pPr>
            <w:r>
              <w:rPr>
                <w:color w:val="000000"/>
                <w:sz w:val="24"/>
                <w:szCs w:val="24"/>
              </w:rPr>
              <w:t>0.18%</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交银施罗德蓝筹混合型证券投资基金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87513">
        <w:trPr>
          <w:jc w:val="center"/>
        </w:trPr>
        <w:tc>
          <w:tcPr>
            <w:tcW w:w="846" w:type="dxa"/>
            <w:vAlign w:val="center"/>
          </w:tcPr>
          <w:p w:rsidR="00987513" w:rsidRDefault="005A2DFF">
            <w:pPr>
              <w:jc w:val="center"/>
            </w:pPr>
            <w:r>
              <w:rPr>
                <w:color w:val="000000"/>
                <w:sz w:val="24"/>
                <w:szCs w:val="24"/>
              </w:rPr>
              <w:t>陈孜铎</w:t>
            </w:r>
          </w:p>
        </w:tc>
        <w:tc>
          <w:tcPr>
            <w:tcW w:w="845" w:type="dxa"/>
            <w:vAlign w:val="center"/>
          </w:tcPr>
          <w:p w:rsidR="00987513" w:rsidRDefault="005A2DFF">
            <w:pPr>
              <w:jc w:val="center"/>
            </w:pPr>
            <w:r>
              <w:rPr>
                <w:color w:val="000000"/>
                <w:sz w:val="24"/>
                <w:szCs w:val="24"/>
              </w:rPr>
              <w:t>交银蓝筹混合的基金经理，公司研究部助理总经理</w:t>
            </w:r>
          </w:p>
        </w:tc>
        <w:tc>
          <w:tcPr>
            <w:tcW w:w="1549" w:type="dxa"/>
            <w:vAlign w:val="center"/>
          </w:tcPr>
          <w:p w:rsidR="00987513" w:rsidRDefault="005A2DFF">
            <w:pPr>
              <w:jc w:val="center"/>
            </w:pPr>
            <w:r>
              <w:rPr>
                <w:color w:val="000000"/>
                <w:sz w:val="24"/>
                <w:szCs w:val="24"/>
              </w:rPr>
              <w:t>2014-10-22</w:t>
            </w:r>
          </w:p>
        </w:tc>
        <w:tc>
          <w:tcPr>
            <w:tcW w:w="1548" w:type="dxa"/>
            <w:vAlign w:val="center"/>
          </w:tcPr>
          <w:p w:rsidR="00987513" w:rsidRDefault="005A2DFF">
            <w:pPr>
              <w:jc w:val="center"/>
            </w:pPr>
            <w:r>
              <w:rPr>
                <w:color w:val="000000"/>
                <w:sz w:val="24"/>
                <w:szCs w:val="24"/>
              </w:rPr>
              <w:t>-</w:t>
            </w:r>
          </w:p>
        </w:tc>
        <w:tc>
          <w:tcPr>
            <w:tcW w:w="1407" w:type="dxa"/>
            <w:vAlign w:val="center"/>
          </w:tcPr>
          <w:p w:rsidR="00987513" w:rsidRDefault="005A2DFF">
            <w:pPr>
              <w:jc w:val="center"/>
            </w:pPr>
            <w:r>
              <w:rPr>
                <w:color w:val="000000"/>
                <w:sz w:val="24"/>
                <w:szCs w:val="24"/>
              </w:rPr>
              <w:t>8</w:t>
            </w:r>
            <w:r>
              <w:rPr>
                <w:color w:val="000000"/>
                <w:sz w:val="24"/>
                <w:szCs w:val="24"/>
              </w:rPr>
              <w:t>年</w:t>
            </w:r>
          </w:p>
        </w:tc>
        <w:tc>
          <w:tcPr>
            <w:tcW w:w="2673" w:type="dxa"/>
            <w:vAlign w:val="center"/>
          </w:tcPr>
          <w:p w:rsidR="00987513" w:rsidRDefault="005A2DFF">
            <w:r>
              <w:rPr>
                <w:color w:val="000000"/>
                <w:sz w:val="24"/>
                <w:szCs w:val="24"/>
              </w:rPr>
              <w:t>陈孜铎先生，清华大学材料科学与工程硕士。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87513" w:rsidRDefault="005A2DF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87513" w:rsidRDefault="005A2DF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87513" w:rsidRDefault="005A2DF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87513" w:rsidRDefault="005A2DFF">
      <w:pPr>
        <w:spacing w:before="29" w:line="288" w:lineRule="auto"/>
        <w:ind w:firstLineChars="200" w:firstLine="480"/>
        <w:rPr>
          <w:color w:val="000000"/>
          <w:sz w:val="24"/>
          <w:szCs w:val="24"/>
        </w:rPr>
      </w:pPr>
      <w:r>
        <w:rPr>
          <w:color w:val="000000"/>
          <w:sz w:val="24"/>
          <w:szCs w:val="24"/>
        </w:rPr>
        <w:t>2016</w:t>
      </w:r>
      <w:r>
        <w:rPr>
          <w:color w:val="000000"/>
          <w:sz w:val="24"/>
          <w:szCs w:val="24"/>
        </w:rPr>
        <w:t>年四季度整个</w:t>
      </w:r>
      <w:r>
        <w:rPr>
          <w:color w:val="000000"/>
          <w:sz w:val="24"/>
          <w:szCs w:val="24"/>
        </w:rPr>
        <w:t>A</w:t>
      </w:r>
      <w:r>
        <w:rPr>
          <w:color w:val="000000"/>
          <w:sz w:val="24"/>
          <w:szCs w:val="24"/>
        </w:rPr>
        <w:t>股市场见顶回落，在经历两个季度的持续上行之后，</w:t>
      </w:r>
      <w:r>
        <w:rPr>
          <w:color w:val="000000"/>
          <w:sz w:val="24"/>
          <w:szCs w:val="24"/>
        </w:rPr>
        <w:t>A</w:t>
      </w:r>
      <w:r>
        <w:rPr>
          <w:color w:val="000000"/>
          <w:sz w:val="24"/>
          <w:szCs w:val="24"/>
        </w:rPr>
        <w:t>股市场风险偏好向上拉动动力衰竭，中小创指数率先见顶。在保险机构举牌带动蓝筹股向合理价值回归的过程当中，随着对保险资金监管趋严，整体</w:t>
      </w:r>
      <w:r>
        <w:rPr>
          <w:color w:val="000000"/>
          <w:sz w:val="24"/>
          <w:szCs w:val="24"/>
        </w:rPr>
        <w:t>A</w:t>
      </w:r>
      <w:r>
        <w:rPr>
          <w:color w:val="000000"/>
          <w:sz w:val="24"/>
          <w:szCs w:val="24"/>
        </w:rPr>
        <w:t>股市场进入全面调整，交易萎缩，增量资金少。四季度国内、国际的宏观预期均有较大调整，海外特朗普意外当选，市场对美国经济复苏、通胀上升和货币政策趋</w:t>
      </w:r>
      <w:r>
        <w:rPr>
          <w:color w:val="000000"/>
          <w:sz w:val="24"/>
          <w:szCs w:val="24"/>
        </w:rPr>
        <w:t>紧形成一致预期，美元指数与美国国债收益率均快速上行，商品继续复苏。国内中央经济工作会议定调</w:t>
      </w:r>
      <w:r>
        <w:rPr>
          <w:color w:val="000000"/>
          <w:sz w:val="24"/>
          <w:szCs w:val="24"/>
        </w:rPr>
        <w:t>“</w:t>
      </w:r>
      <w:r>
        <w:rPr>
          <w:color w:val="000000"/>
          <w:sz w:val="24"/>
          <w:szCs w:val="24"/>
        </w:rPr>
        <w:t>稳健中性</w:t>
      </w:r>
      <w:r>
        <w:rPr>
          <w:color w:val="000000"/>
          <w:sz w:val="24"/>
          <w:szCs w:val="24"/>
        </w:rPr>
        <w:t>”</w:t>
      </w:r>
      <w:r>
        <w:rPr>
          <w:color w:val="000000"/>
          <w:sz w:val="24"/>
          <w:szCs w:val="24"/>
        </w:rPr>
        <w:t>，将</w:t>
      </w:r>
      <w:r>
        <w:rPr>
          <w:color w:val="000000"/>
          <w:sz w:val="24"/>
          <w:szCs w:val="24"/>
        </w:rPr>
        <w:t>“</w:t>
      </w:r>
      <w:r>
        <w:rPr>
          <w:color w:val="000000"/>
          <w:sz w:val="24"/>
          <w:szCs w:val="24"/>
        </w:rPr>
        <w:t>三去一降一补</w:t>
      </w:r>
      <w:r>
        <w:rPr>
          <w:color w:val="000000"/>
          <w:sz w:val="24"/>
          <w:szCs w:val="24"/>
        </w:rPr>
        <w:t>”</w:t>
      </w:r>
      <w:r>
        <w:rPr>
          <w:color w:val="000000"/>
          <w:sz w:val="24"/>
          <w:szCs w:val="24"/>
        </w:rPr>
        <w:t>继续作为经济政策主要方向，在强调防风险的大政策导向下，整个大类资产环境中的流动性趋紧，房地产市场继续调控，债市去杠杆引发短期流动性风险与快速下跌，使整个市场对</w:t>
      </w:r>
      <w:r>
        <w:rPr>
          <w:color w:val="000000"/>
          <w:sz w:val="24"/>
          <w:szCs w:val="24"/>
        </w:rPr>
        <w:t>2017</w:t>
      </w:r>
      <w:r>
        <w:rPr>
          <w:color w:val="000000"/>
          <w:sz w:val="24"/>
          <w:szCs w:val="24"/>
        </w:rPr>
        <w:t>年上半年国内的宏观流动性环境的一致预期做出重大调整。经济企稳、供给侧改革、库存调整、环保对供给干扰等一系列因素推动</w:t>
      </w:r>
      <w:r>
        <w:rPr>
          <w:color w:val="000000"/>
          <w:sz w:val="24"/>
          <w:szCs w:val="24"/>
        </w:rPr>
        <w:t>PPI</w:t>
      </w:r>
      <w:r>
        <w:rPr>
          <w:color w:val="000000"/>
          <w:sz w:val="24"/>
          <w:szCs w:val="24"/>
        </w:rPr>
        <w:t>超预期，价格敏感的中上游行业基本面改善明显。</w:t>
      </w:r>
    </w:p>
    <w:p w:rsidR="00987513" w:rsidRDefault="005A2DFF">
      <w:pPr>
        <w:spacing w:before="29" w:line="288" w:lineRule="auto"/>
        <w:ind w:firstLineChars="200" w:firstLine="480"/>
        <w:rPr>
          <w:color w:val="000000"/>
          <w:sz w:val="24"/>
          <w:szCs w:val="24"/>
        </w:rPr>
      </w:pPr>
      <w:r>
        <w:rPr>
          <w:color w:val="000000"/>
          <w:sz w:val="24"/>
          <w:szCs w:val="24"/>
        </w:rPr>
        <w:t>在上述市场环境中，本基金在四季度整体控制组合风险偏好，以绝</w:t>
      </w:r>
      <w:r>
        <w:rPr>
          <w:color w:val="000000"/>
          <w:sz w:val="24"/>
          <w:szCs w:val="24"/>
        </w:rPr>
        <w:t>对收益为主要目标，较早对流动性环境的变化作出了反应，取得一定效果。</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2017</w:t>
      </w:r>
      <w:r w:rsidRPr="00414345">
        <w:rPr>
          <w:color w:val="000000"/>
          <w:sz w:val="24"/>
          <w:szCs w:val="24"/>
        </w:rPr>
        <w:t>年一季度，随着</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份一致预期的调整，国内流动性环境趋紧的风险已经一定程度有所释放，但考虑到特朗普的政治行为可预测性较低，海外宏观环境与政策环境趋势仍以观察为主。国内宏观方面，汇率与美债收益率制约国内流动性环境，同时经济已自然企稳一个季度，短期快速向下引发风险的可能性较小，增长约束相对较低，在汇率与美债收益率预期稳定之前，判断流动性环境改善尚早。从股票市场本身而言，</w:t>
      </w:r>
      <w:r w:rsidRPr="00414345">
        <w:rPr>
          <w:color w:val="000000"/>
          <w:sz w:val="24"/>
          <w:szCs w:val="24"/>
        </w:rPr>
        <w:t>2016</w:t>
      </w:r>
      <w:r w:rsidRPr="00414345">
        <w:rPr>
          <w:color w:val="000000"/>
          <w:sz w:val="24"/>
          <w:szCs w:val="24"/>
        </w:rPr>
        <w:t>年</w:t>
      </w:r>
      <w:r w:rsidRPr="00414345">
        <w:rPr>
          <w:color w:val="000000"/>
          <w:sz w:val="24"/>
          <w:szCs w:val="24"/>
        </w:rPr>
        <w:t>11</w:t>
      </w:r>
      <w:r w:rsidRPr="00414345">
        <w:rPr>
          <w:color w:val="000000"/>
          <w:sz w:val="24"/>
          <w:szCs w:val="24"/>
        </w:rPr>
        <w:t>月份到</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月份的天量解禁与持续加速的</w:t>
      </w:r>
      <w:r w:rsidRPr="00414345">
        <w:rPr>
          <w:color w:val="000000"/>
          <w:sz w:val="24"/>
          <w:szCs w:val="24"/>
        </w:rPr>
        <w:t>IPO</w:t>
      </w:r>
      <w:r w:rsidRPr="00414345">
        <w:rPr>
          <w:color w:val="000000"/>
          <w:sz w:val="24"/>
          <w:szCs w:val="24"/>
        </w:rPr>
        <w:t>不断放大供给，宏观大类资产配置带来增量资金的路径和时点仍不清晰，短期风险偏好上升看不到清晰路径。在上述基本判断下，我们倾向于判断整体</w:t>
      </w:r>
      <w:r w:rsidRPr="00414345">
        <w:rPr>
          <w:color w:val="000000"/>
          <w:sz w:val="24"/>
          <w:szCs w:val="24"/>
        </w:rPr>
        <w:t>2017</w:t>
      </w:r>
      <w:r w:rsidRPr="00414345">
        <w:rPr>
          <w:color w:val="000000"/>
          <w:sz w:val="24"/>
          <w:szCs w:val="24"/>
        </w:rPr>
        <w:t>年一季度是市场风险释放和见底的时间段，在这个阶段中，预计股票的资产价值和基本面变化在价格中所占权重会不断增大，即使整体环境逐渐由</w:t>
      </w:r>
      <w:r w:rsidRPr="00414345">
        <w:rPr>
          <w:color w:val="000000"/>
          <w:sz w:val="24"/>
          <w:szCs w:val="24"/>
        </w:rPr>
        <w:t>“</w:t>
      </w:r>
      <w:r w:rsidRPr="00414345">
        <w:rPr>
          <w:color w:val="000000"/>
          <w:sz w:val="24"/>
          <w:szCs w:val="24"/>
        </w:rPr>
        <w:t>资金荒</w:t>
      </w:r>
      <w:r w:rsidRPr="00414345">
        <w:rPr>
          <w:color w:val="000000"/>
          <w:sz w:val="24"/>
          <w:szCs w:val="24"/>
        </w:rPr>
        <w:t>”</w:t>
      </w:r>
      <w:r w:rsidRPr="00414345">
        <w:rPr>
          <w:color w:val="000000"/>
          <w:sz w:val="24"/>
          <w:szCs w:val="24"/>
        </w:rPr>
        <w:t>回转到</w:t>
      </w:r>
      <w:r w:rsidRPr="00414345">
        <w:rPr>
          <w:color w:val="000000"/>
          <w:sz w:val="24"/>
          <w:szCs w:val="24"/>
        </w:rPr>
        <w:t>“</w:t>
      </w:r>
      <w:r w:rsidRPr="00414345">
        <w:rPr>
          <w:color w:val="000000"/>
          <w:sz w:val="24"/>
          <w:szCs w:val="24"/>
        </w:rPr>
        <w:t>资产荒</w:t>
      </w:r>
      <w:r w:rsidRPr="00414345">
        <w:rPr>
          <w:color w:val="000000"/>
          <w:sz w:val="24"/>
          <w:szCs w:val="24"/>
        </w:rPr>
        <w:t>”</w:t>
      </w:r>
      <w:r w:rsidRPr="00414345">
        <w:rPr>
          <w:color w:val="000000"/>
          <w:sz w:val="24"/>
          <w:szCs w:val="24"/>
        </w:rPr>
        <w:t>，在整个股票市场供给增加的大环境下，稀缺的也是资产，而不是筹码和风险偏好。在上述基本判断的背景下，我们倾向于以增速与估值相对匹配、资产价值相对坚实的子行业与标的作为基础资产，同时进一步关注在未来中期技术周期有可能快速进入成长期的行业与标的。短期相对关注在整个经济企稳、</w:t>
      </w:r>
      <w:r w:rsidRPr="00414345">
        <w:rPr>
          <w:color w:val="000000"/>
          <w:sz w:val="24"/>
          <w:szCs w:val="24"/>
        </w:rPr>
        <w:t>PPI</w:t>
      </w:r>
      <w:r w:rsidRPr="00414345">
        <w:rPr>
          <w:color w:val="000000"/>
          <w:sz w:val="24"/>
          <w:szCs w:val="24"/>
        </w:rPr>
        <w:t>回升大环境下基本面受价格影响大的化工、农业和建材等行业，受益于财政基建的</w:t>
      </w:r>
      <w:r w:rsidRPr="00414345">
        <w:rPr>
          <w:color w:val="000000"/>
          <w:sz w:val="24"/>
          <w:szCs w:val="24"/>
        </w:rPr>
        <w:t>PPP</w:t>
      </w:r>
      <w:r w:rsidRPr="00414345">
        <w:rPr>
          <w:color w:val="000000"/>
          <w:sz w:val="24"/>
          <w:szCs w:val="24"/>
        </w:rPr>
        <w:t>子行业和已充分见底有可能好转的机械部分子行业，同时在新兴行业中重点关注各行业中增速与估值相对匹配的龙头公司，从估值系统上此类公司的性价比已经逐渐显现。</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0.8276</w:t>
      </w:r>
      <w:r w:rsidRPr="00414345">
        <w:rPr>
          <w:color w:val="000000"/>
          <w:sz w:val="24"/>
          <w:szCs w:val="24"/>
        </w:rPr>
        <w:t>元，本报告期份额净值增长率为</w:t>
      </w:r>
      <w:r w:rsidRPr="00414345">
        <w:rPr>
          <w:color w:val="000000"/>
          <w:sz w:val="24"/>
          <w:szCs w:val="24"/>
        </w:rPr>
        <w:t>1.10%</w:t>
      </w:r>
      <w:r w:rsidRPr="00414345">
        <w:rPr>
          <w:color w:val="000000"/>
          <w:sz w:val="24"/>
          <w:szCs w:val="24"/>
        </w:rPr>
        <w:t>，同期业绩比较基准增长率为</w:t>
      </w:r>
      <w:r w:rsidRPr="00414345">
        <w:rPr>
          <w:color w:val="000000"/>
          <w:sz w:val="24"/>
          <w:szCs w:val="24"/>
        </w:rPr>
        <w:t>1.92%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1,763,558,197.38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69.59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1,763,558,197.38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69.59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129,955,000.00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5.13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129,955,000.00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5.13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491,554,297.33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19.40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144,568,601.18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5.70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4,433,136.72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2,534,069,232.61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70,330,000.00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1,211,620,995.20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37,917.66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120,987,954.65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9,458.68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226,149,760.93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62,676,843.38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50,805,266.88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20,940,000.00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1,763,558,197.38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70.25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87513">
        <w:trPr>
          <w:jc w:val="center"/>
        </w:trPr>
        <w:tc>
          <w:tcPr>
            <w:tcW w:w="855" w:type="dxa"/>
            <w:vAlign w:val="center"/>
          </w:tcPr>
          <w:p w:rsidR="00987513" w:rsidRDefault="005A2DFF">
            <w:pPr>
              <w:jc w:val="center"/>
            </w:pPr>
            <w:r>
              <w:rPr>
                <w:color w:val="000000"/>
                <w:sz w:val="24"/>
                <w:szCs w:val="24"/>
              </w:rPr>
              <w:t>1</w:t>
            </w:r>
          </w:p>
        </w:tc>
        <w:tc>
          <w:tcPr>
            <w:tcW w:w="1334" w:type="dxa"/>
            <w:vAlign w:val="center"/>
          </w:tcPr>
          <w:p w:rsidR="00987513" w:rsidRDefault="005A2DFF">
            <w:pPr>
              <w:jc w:val="center"/>
            </w:pPr>
            <w:r>
              <w:rPr>
                <w:color w:val="000000"/>
                <w:sz w:val="24"/>
                <w:szCs w:val="24"/>
              </w:rPr>
              <w:t>002555</w:t>
            </w:r>
          </w:p>
        </w:tc>
        <w:tc>
          <w:tcPr>
            <w:tcW w:w="1777" w:type="dxa"/>
            <w:vAlign w:val="center"/>
          </w:tcPr>
          <w:p w:rsidR="00987513" w:rsidRDefault="005A2DFF">
            <w:pPr>
              <w:jc w:val="center"/>
            </w:pPr>
            <w:r>
              <w:rPr>
                <w:color w:val="000000"/>
                <w:sz w:val="24"/>
                <w:szCs w:val="24"/>
              </w:rPr>
              <w:t>三七互娱</w:t>
            </w:r>
          </w:p>
        </w:tc>
        <w:tc>
          <w:tcPr>
            <w:tcW w:w="1334" w:type="dxa"/>
            <w:vAlign w:val="center"/>
          </w:tcPr>
          <w:p w:rsidR="00987513" w:rsidRDefault="005A2DFF">
            <w:pPr>
              <w:jc w:val="right"/>
            </w:pPr>
            <w:r>
              <w:rPr>
                <w:color w:val="000000"/>
                <w:sz w:val="24"/>
                <w:szCs w:val="24"/>
              </w:rPr>
              <w:t>10,002,992</w:t>
            </w:r>
          </w:p>
        </w:tc>
        <w:tc>
          <w:tcPr>
            <w:tcW w:w="1924" w:type="dxa"/>
            <w:vAlign w:val="center"/>
          </w:tcPr>
          <w:p w:rsidR="00987513" w:rsidRDefault="005A2DFF">
            <w:pPr>
              <w:jc w:val="right"/>
            </w:pPr>
            <w:r>
              <w:rPr>
                <w:color w:val="000000"/>
                <w:sz w:val="24"/>
                <w:szCs w:val="24"/>
              </w:rPr>
              <w:t>164,049,068.80</w:t>
            </w:r>
          </w:p>
        </w:tc>
        <w:tc>
          <w:tcPr>
            <w:tcW w:w="1644" w:type="dxa"/>
            <w:vAlign w:val="center"/>
          </w:tcPr>
          <w:p w:rsidR="00987513" w:rsidRDefault="005A2DFF">
            <w:pPr>
              <w:jc w:val="right"/>
            </w:pPr>
            <w:r>
              <w:rPr>
                <w:color w:val="000000"/>
                <w:sz w:val="24"/>
                <w:szCs w:val="24"/>
              </w:rPr>
              <w:t>6.53</w:t>
            </w:r>
          </w:p>
        </w:tc>
      </w:tr>
      <w:tr w:rsidR="00987513">
        <w:trPr>
          <w:jc w:val="center"/>
        </w:trPr>
        <w:tc>
          <w:tcPr>
            <w:tcW w:w="855" w:type="dxa"/>
            <w:vAlign w:val="center"/>
          </w:tcPr>
          <w:p w:rsidR="00987513" w:rsidRDefault="005A2DFF">
            <w:pPr>
              <w:jc w:val="center"/>
            </w:pPr>
            <w:r>
              <w:rPr>
                <w:color w:val="000000"/>
                <w:sz w:val="24"/>
                <w:szCs w:val="24"/>
              </w:rPr>
              <w:t>2</w:t>
            </w:r>
          </w:p>
        </w:tc>
        <w:tc>
          <w:tcPr>
            <w:tcW w:w="1334" w:type="dxa"/>
            <w:vAlign w:val="center"/>
          </w:tcPr>
          <w:p w:rsidR="00987513" w:rsidRDefault="005A2DFF">
            <w:pPr>
              <w:jc w:val="center"/>
            </w:pPr>
            <w:r>
              <w:rPr>
                <w:color w:val="000000"/>
                <w:sz w:val="24"/>
                <w:szCs w:val="24"/>
              </w:rPr>
              <w:t>600967</w:t>
            </w:r>
          </w:p>
        </w:tc>
        <w:tc>
          <w:tcPr>
            <w:tcW w:w="1777" w:type="dxa"/>
            <w:vAlign w:val="center"/>
          </w:tcPr>
          <w:p w:rsidR="00987513" w:rsidRDefault="005A2DFF">
            <w:pPr>
              <w:jc w:val="center"/>
            </w:pPr>
            <w:r>
              <w:rPr>
                <w:color w:val="000000"/>
                <w:sz w:val="24"/>
                <w:szCs w:val="24"/>
              </w:rPr>
              <w:t>北方创业</w:t>
            </w:r>
          </w:p>
        </w:tc>
        <w:tc>
          <w:tcPr>
            <w:tcW w:w="1334" w:type="dxa"/>
            <w:vAlign w:val="center"/>
          </w:tcPr>
          <w:p w:rsidR="00987513" w:rsidRDefault="005A2DFF">
            <w:pPr>
              <w:jc w:val="right"/>
            </w:pPr>
            <w:r>
              <w:rPr>
                <w:color w:val="000000"/>
                <w:sz w:val="24"/>
                <w:szCs w:val="24"/>
              </w:rPr>
              <w:t>12,038,062</w:t>
            </w:r>
          </w:p>
        </w:tc>
        <w:tc>
          <w:tcPr>
            <w:tcW w:w="1924" w:type="dxa"/>
            <w:vAlign w:val="center"/>
          </w:tcPr>
          <w:p w:rsidR="00987513" w:rsidRDefault="005A2DFF">
            <w:pPr>
              <w:jc w:val="right"/>
            </w:pPr>
            <w:r>
              <w:rPr>
                <w:color w:val="000000"/>
                <w:sz w:val="24"/>
                <w:szCs w:val="24"/>
              </w:rPr>
              <w:t>163,356,501.34</w:t>
            </w:r>
          </w:p>
        </w:tc>
        <w:tc>
          <w:tcPr>
            <w:tcW w:w="1644" w:type="dxa"/>
            <w:vAlign w:val="center"/>
          </w:tcPr>
          <w:p w:rsidR="00987513" w:rsidRDefault="005A2DFF">
            <w:pPr>
              <w:jc w:val="right"/>
            </w:pPr>
            <w:r>
              <w:rPr>
                <w:color w:val="000000"/>
                <w:sz w:val="24"/>
                <w:szCs w:val="24"/>
              </w:rPr>
              <w:t>6.51</w:t>
            </w:r>
          </w:p>
        </w:tc>
      </w:tr>
      <w:tr w:rsidR="00987513">
        <w:trPr>
          <w:jc w:val="center"/>
        </w:trPr>
        <w:tc>
          <w:tcPr>
            <w:tcW w:w="855" w:type="dxa"/>
            <w:vAlign w:val="center"/>
          </w:tcPr>
          <w:p w:rsidR="00987513" w:rsidRDefault="005A2DFF">
            <w:pPr>
              <w:jc w:val="center"/>
            </w:pPr>
            <w:r>
              <w:rPr>
                <w:color w:val="000000"/>
                <w:sz w:val="24"/>
                <w:szCs w:val="24"/>
              </w:rPr>
              <w:t>3</w:t>
            </w:r>
          </w:p>
        </w:tc>
        <w:tc>
          <w:tcPr>
            <w:tcW w:w="1334" w:type="dxa"/>
            <w:vAlign w:val="center"/>
          </w:tcPr>
          <w:p w:rsidR="00987513" w:rsidRDefault="005A2DFF">
            <w:pPr>
              <w:jc w:val="center"/>
            </w:pPr>
            <w:r>
              <w:rPr>
                <w:color w:val="000000"/>
                <w:sz w:val="24"/>
                <w:szCs w:val="24"/>
              </w:rPr>
              <w:t>300129</w:t>
            </w:r>
          </w:p>
        </w:tc>
        <w:tc>
          <w:tcPr>
            <w:tcW w:w="1777" w:type="dxa"/>
            <w:vAlign w:val="center"/>
          </w:tcPr>
          <w:p w:rsidR="00987513" w:rsidRDefault="005A2DFF">
            <w:pPr>
              <w:jc w:val="center"/>
            </w:pPr>
            <w:r>
              <w:rPr>
                <w:color w:val="000000"/>
                <w:sz w:val="24"/>
                <w:szCs w:val="24"/>
              </w:rPr>
              <w:t>泰胜风能</w:t>
            </w:r>
          </w:p>
        </w:tc>
        <w:tc>
          <w:tcPr>
            <w:tcW w:w="1334" w:type="dxa"/>
            <w:vAlign w:val="center"/>
          </w:tcPr>
          <w:p w:rsidR="00987513" w:rsidRDefault="005A2DFF">
            <w:pPr>
              <w:jc w:val="right"/>
            </w:pPr>
            <w:r>
              <w:rPr>
                <w:color w:val="000000"/>
                <w:sz w:val="24"/>
                <w:szCs w:val="24"/>
              </w:rPr>
              <w:t>12,009,979</w:t>
            </w:r>
          </w:p>
        </w:tc>
        <w:tc>
          <w:tcPr>
            <w:tcW w:w="1924" w:type="dxa"/>
            <w:vAlign w:val="center"/>
          </w:tcPr>
          <w:p w:rsidR="00987513" w:rsidRDefault="005A2DFF">
            <w:pPr>
              <w:jc w:val="right"/>
            </w:pPr>
            <w:r>
              <w:rPr>
                <w:color w:val="000000"/>
                <w:sz w:val="24"/>
                <w:szCs w:val="24"/>
              </w:rPr>
              <w:t>105,087,316.25</w:t>
            </w:r>
          </w:p>
        </w:tc>
        <w:tc>
          <w:tcPr>
            <w:tcW w:w="1644" w:type="dxa"/>
            <w:vAlign w:val="center"/>
          </w:tcPr>
          <w:p w:rsidR="00987513" w:rsidRDefault="005A2DFF">
            <w:pPr>
              <w:jc w:val="right"/>
            </w:pPr>
            <w:r>
              <w:rPr>
                <w:color w:val="000000"/>
                <w:sz w:val="24"/>
                <w:szCs w:val="24"/>
              </w:rPr>
              <w:t>4.19</w:t>
            </w:r>
          </w:p>
        </w:tc>
      </w:tr>
      <w:tr w:rsidR="00987513">
        <w:trPr>
          <w:jc w:val="center"/>
        </w:trPr>
        <w:tc>
          <w:tcPr>
            <w:tcW w:w="855" w:type="dxa"/>
            <w:vAlign w:val="center"/>
          </w:tcPr>
          <w:p w:rsidR="00987513" w:rsidRDefault="005A2DFF">
            <w:pPr>
              <w:jc w:val="center"/>
            </w:pPr>
            <w:r>
              <w:rPr>
                <w:color w:val="000000"/>
                <w:sz w:val="24"/>
                <w:szCs w:val="24"/>
              </w:rPr>
              <w:t>4</w:t>
            </w:r>
          </w:p>
        </w:tc>
        <w:tc>
          <w:tcPr>
            <w:tcW w:w="1334" w:type="dxa"/>
            <w:vAlign w:val="center"/>
          </w:tcPr>
          <w:p w:rsidR="00987513" w:rsidRDefault="005A2DFF">
            <w:pPr>
              <w:jc w:val="center"/>
            </w:pPr>
            <w:r>
              <w:rPr>
                <w:color w:val="000000"/>
                <w:sz w:val="24"/>
                <w:szCs w:val="24"/>
              </w:rPr>
              <w:t>000821</w:t>
            </w:r>
          </w:p>
        </w:tc>
        <w:tc>
          <w:tcPr>
            <w:tcW w:w="1777" w:type="dxa"/>
            <w:vAlign w:val="center"/>
          </w:tcPr>
          <w:p w:rsidR="00987513" w:rsidRDefault="005A2DFF">
            <w:pPr>
              <w:jc w:val="center"/>
            </w:pPr>
            <w:r>
              <w:rPr>
                <w:color w:val="000000"/>
                <w:sz w:val="24"/>
                <w:szCs w:val="24"/>
              </w:rPr>
              <w:t>京山轻机</w:t>
            </w:r>
          </w:p>
        </w:tc>
        <w:tc>
          <w:tcPr>
            <w:tcW w:w="1334" w:type="dxa"/>
            <w:vAlign w:val="center"/>
          </w:tcPr>
          <w:p w:rsidR="00987513" w:rsidRDefault="005A2DFF">
            <w:pPr>
              <w:jc w:val="right"/>
            </w:pPr>
            <w:r>
              <w:rPr>
                <w:color w:val="000000"/>
                <w:sz w:val="24"/>
                <w:szCs w:val="24"/>
              </w:rPr>
              <w:t>6,503,625</w:t>
            </w:r>
          </w:p>
        </w:tc>
        <w:tc>
          <w:tcPr>
            <w:tcW w:w="1924" w:type="dxa"/>
            <w:vAlign w:val="center"/>
          </w:tcPr>
          <w:p w:rsidR="00987513" w:rsidRDefault="005A2DFF">
            <w:pPr>
              <w:jc w:val="right"/>
            </w:pPr>
            <w:r>
              <w:rPr>
                <w:color w:val="000000"/>
                <w:sz w:val="24"/>
                <w:szCs w:val="24"/>
              </w:rPr>
              <w:t>99,765,607.50</w:t>
            </w:r>
          </w:p>
        </w:tc>
        <w:tc>
          <w:tcPr>
            <w:tcW w:w="1644" w:type="dxa"/>
            <w:vAlign w:val="center"/>
          </w:tcPr>
          <w:p w:rsidR="00987513" w:rsidRDefault="005A2DFF">
            <w:pPr>
              <w:jc w:val="right"/>
            </w:pPr>
            <w:r>
              <w:rPr>
                <w:color w:val="000000"/>
                <w:sz w:val="24"/>
                <w:szCs w:val="24"/>
              </w:rPr>
              <w:t>3.97</w:t>
            </w:r>
          </w:p>
        </w:tc>
      </w:tr>
      <w:tr w:rsidR="00987513">
        <w:trPr>
          <w:jc w:val="center"/>
        </w:trPr>
        <w:tc>
          <w:tcPr>
            <w:tcW w:w="855" w:type="dxa"/>
            <w:vAlign w:val="center"/>
          </w:tcPr>
          <w:p w:rsidR="00987513" w:rsidRDefault="005A2DFF">
            <w:pPr>
              <w:jc w:val="center"/>
            </w:pPr>
            <w:r>
              <w:rPr>
                <w:color w:val="000000"/>
                <w:sz w:val="24"/>
                <w:szCs w:val="24"/>
              </w:rPr>
              <w:t>5</w:t>
            </w:r>
          </w:p>
        </w:tc>
        <w:tc>
          <w:tcPr>
            <w:tcW w:w="1334" w:type="dxa"/>
            <w:vAlign w:val="center"/>
          </w:tcPr>
          <w:p w:rsidR="00987513" w:rsidRDefault="005A2DFF">
            <w:pPr>
              <w:jc w:val="center"/>
            </w:pPr>
            <w:r>
              <w:rPr>
                <w:color w:val="000000"/>
                <w:sz w:val="24"/>
                <w:szCs w:val="24"/>
              </w:rPr>
              <w:t>600500</w:t>
            </w:r>
          </w:p>
        </w:tc>
        <w:tc>
          <w:tcPr>
            <w:tcW w:w="1777" w:type="dxa"/>
            <w:vAlign w:val="center"/>
          </w:tcPr>
          <w:p w:rsidR="00987513" w:rsidRDefault="005A2DFF">
            <w:pPr>
              <w:jc w:val="center"/>
            </w:pPr>
            <w:r>
              <w:rPr>
                <w:color w:val="000000"/>
                <w:sz w:val="24"/>
                <w:szCs w:val="24"/>
              </w:rPr>
              <w:t>中化国际</w:t>
            </w:r>
          </w:p>
        </w:tc>
        <w:tc>
          <w:tcPr>
            <w:tcW w:w="1334" w:type="dxa"/>
            <w:vAlign w:val="center"/>
          </w:tcPr>
          <w:p w:rsidR="00987513" w:rsidRDefault="005A2DFF">
            <w:pPr>
              <w:jc w:val="right"/>
            </w:pPr>
            <w:r>
              <w:rPr>
                <w:color w:val="000000"/>
                <w:sz w:val="24"/>
                <w:szCs w:val="24"/>
              </w:rPr>
              <w:t>8,000,000</w:t>
            </w:r>
          </w:p>
        </w:tc>
        <w:tc>
          <w:tcPr>
            <w:tcW w:w="1924" w:type="dxa"/>
            <w:vAlign w:val="center"/>
          </w:tcPr>
          <w:p w:rsidR="00987513" w:rsidRDefault="005A2DFF">
            <w:pPr>
              <w:jc w:val="right"/>
            </w:pPr>
            <w:r>
              <w:rPr>
                <w:color w:val="000000"/>
                <w:sz w:val="24"/>
                <w:szCs w:val="24"/>
              </w:rPr>
              <w:t>93,280,000.00</w:t>
            </w:r>
          </w:p>
        </w:tc>
        <w:tc>
          <w:tcPr>
            <w:tcW w:w="1644" w:type="dxa"/>
            <w:vAlign w:val="center"/>
          </w:tcPr>
          <w:p w:rsidR="00987513" w:rsidRDefault="005A2DFF">
            <w:pPr>
              <w:jc w:val="right"/>
            </w:pPr>
            <w:r>
              <w:rPr>
                <w:color w:val="000000"/>
                <w:sz w:val="24"/>
                <w:szCs w:val="24"/>
              </w:rPr>
              <w:t>3.72</w:t>
            </w:r>
          </w:p>
        </w:tc>
      </w:tr>
      <w:tr w:rsidR="00987513">
        <w:trPr>
          <w:jc w:val="center"/>
        </w:trPr>
        <w:tc>
          <w:tcPr>
            <w:tcW w:w="855" w:type="dxa"/>
            <w:vAlign w:val="center"/>
          </w:tcPr>
          <w:p w:rsidR="00987513" w:rsidRDefault="005A2DFF">
            <w:pPr>
              <w:jc w:val="center"/>
            </w:pPr>
            <w:r>
              <w:rPr>
                <w:color w:val="000000"/>
                <w:sz w:val="24"/>
                <w:szCs w:val="24"/>
              </w:rPr>
              <w:t>6</w:t>
            </w:r>
          </w:p>
        </w:tc>
        <w:tc>
          <w:tcPr>
            <w:tcW w:w="1334" w:type="dxa"/>
            <w:vAlign w:val="center"/>
          </w:tcPr>
          <w:p w:rsidR="00987513" w:rsidRDefault="005A2DFF">
            <w:pPr>
              <w:jc w:val="center"/>
            </w:pPr>
            <w:r>
              <w:rPr>
                <w:color w:val="000000"/>
                <w:sz w:val="24"/>
                <w:szCs w:val="24"/>
              </w:rPr>
              <w:t>600389</w:t>
            </w:r>
          </w:p>
        </w:tc>
        <w:tc>
          <w:tcPr>
            <w:tcW w:w="1777" w:type="dxa"/>
            <w:vAlign w:val="center"/>
          </w:tcPr>
          <w:p w:rsidR="00987513" w:rsidRDefault="005A2DFF">
            <w:pPr>
              <w:jc w:val="center"/>
            </w:pPr>
            <w:r>
              <w:rPr>
                <w:color w:val="000000"/>
                <w:sz w:val="24"/>
                <w:szCs w:val="24"/>
              </w:rPr>
              <w:t>江山股份</w:t>
            </w:r>
          </w:p>
        </w:tc>
        <w:tc>
          <w:tcPr>
            <w:tcW w:w="1334" w:type="dxa"/>
            <w:vAlign w:val="center"/>
          </w:tcPr>
          <w:p w:rsidR="00987513" w:rsidRDefault="005A2DFF">
            <w:pPr>
              <w:jc w:val="right"/>
            </w:pPr>
            <w:r>
              <w:rPr>
                <w:color w:val="000000"/>
                <w:sz w:val="24"/>
                <w:szCs w:val="24"/>
              </w:rPr>
              <w:t>4,202,338</w:t>
            </w:r>
          </w:p>
        </w:tc>
        <w:tc>
          <w:tcPr>
            <w:tcW w:w="1924" w:type="dxa"/>
            <w:vAlign w:val="center"/>
          </w:tcPr>
          <w:p w:rsidR="00987513" w:rsidRDefault="005A2DFF">
            <w:pPr>
              <w:jc w:val="right"/>
            </w:pPr>
            <w:r>
              <w:rPr>
                <w:color w:val="000000"/>
                <w:sz w:val="24"/>
                <w:szCs w:val="24"/>
              </w:rPr>
              <w:t>82,954,152.12</w:t>
            </w:r>
          </w:p>
        </w:tc>
        <w:tc>
          <w:tcPr>
            <w:tcW w:w="1644" w:type="dxa"/>
            <w:vAlign w:val="center"/>
          </w:tcPr>
          <w:p w:rsidR="00987513" w:rsidRDefault="005A2DFF">
            <w:pPr>
              <w:jc w:val="right"/>
            </w:pPr>
            <w:r>
              <w:rPr>
                <w:color w:val="000000"/>
                <w:sz w:val="24"/>
                <w:szCs w:val="24"/>
              </w:rPr>
              <w:t>3.30</w:t>
            </w:r>
          </w:p>
        </w:tc>
      </w:tr>
      <w:tr w:rsidR="00987513">
        <w:trPr>
          <w:jc w:val="center"/>
        </w:trPr>
        <w:tc>
          <w:tcPr>
            <w:tcW w:w="855" w:type="dxa"/>
            <w:vAlign w:val="center"/>
          </w:tcPr>
          <w:p w:rsidR="00987513" w:rsidRDefault="005A2DFF">
            <w:pPr>
              <w:jc w:val="center"/>
            </w:pPr>
            <w:r>
              <w:rPr>
                <w:color w:val="000000"/>
                <w:sz w:val="24"/>
                <w:szCs w:val="24"/>
              </w:rPr>
              <w:t>7</w:t>
            </w:r>
          </w:p>
        </w:tc>
        <w:tc>
          <w:tcPr>
            <w:tcW w:w="1334" w:type="dxa"/>
            <w:vAlign w:val="center"/>
          </w:tcPr>
          <w:p w:rsidR="00987513" w:rsidRDefault="005A2DFF">
            <w:pPr>
              <w:jc w:val="center"/>
            </w:pPr>
            <w:r>
              <w:rPr>
                <w:color w:val="000000"/>
                <w:sz w:val="24"/>
                <w:szCs w:val="24"/>
              </w:rPr>
              <w:t>600309</w:t>
            </w:r>
          </w:p>
        </w:tc>
        <w:tc>
          <w:tcPr>
            <w:tcW w:w="1777" w:type="dxa"/>
            <w:vAlign w:val="center"/>
          </w:tcPr>
          <w:p w:rsidR="00987513" w:rsidRDefault="005A2DFF">
            <w:pPr>
              <w:jc w:val="center"/>
            </w:pPr>
            <w:r>
              <w:rPr>
                <w:color w:val="000000"/>
                <w:sz w:val="24"/>
                <w:szCs w:val="24"/>
              </w:rPr>
              <w:t>万华化学</w:t>
            </w:r>
          </w:p>
        </w:tc>
        <w:tc>
          <w:tcPr>
            <w:tcW w:w="1334" w:type="dxa"/>
            <w:vAlign w:val="center"/>
          </w:tcPr>
          <w:p w:rsidR="00987513" w:rsidRDefault="005A2DFF">
            <w:pPr>
              <w:jc w:val="right"/>
            </w:pPr>
            <w:r>
              <w:rPr>
                <w:color w:val="000000"/>
                <w:sz w:val="24"/>
                <w:szCs w:val="24"/>
              </w:rPr>
              <w:t>3,502,061</w:t>
            </w:r>
          </w:p>
        </w:tc>
        <w:tc>
          <w:tcPr>
            <w:tcW w:w="1924" w:type="dxa"/>
            <w:vAlign w:val="center"/>
          </w:tcPr>
          <w:p w:rsidR="00987513" w:rsidRDefault="005A2DFF">
            <w:pPr>
              <w:jc w:val="right"/>
            </w:pPr>
            <w:r>
              <w:rPr>
                <w:color w:val="000000"/>
                <w:sz w:val="24"/>
                <w:szCs w:val="24"/>
              </w:rPr>
              <w:t>75,399,373.33</w:t>
            </w:r>
          </w:p>
        </w:tc>
        <w:tc>
          <w:tcPr>
            <w:tcW w:w="1644" w:type="dxa"/>
            <w:vAlign w:val="center"/>
          </w:tcPr>
          <w:p w:rsidR="00987513" w:rsidRDefault="005A2DFF">
            <w:pPr>
              <w:jc w:val="right"/>
            </w:pPr>
            <w:r>
              <w:rPr>
                <w:color w:val="000000"/>
                <w:sz w:val="24"/>
                <w:szCs w:val="24"/>
              </w:rPr>
              <w:t>3.00</w:t>
            </w:r>
          </w:p>
        </w:tc>
      </w:tr>
      <w:tr w:rsidR="00987513">
        <w:trPr>
          <w:jc w:val="center"/>
        </w:trPr>
        <w:tc>
          <w:tcPr>
            <w:tcW w:w="855" w:type="dxa"/>
            <w:vAlign w:val="center"/>
          </w:tcPr>
          <w:p w:rsidR="00987513" w:rsidRDefault="005A2DFF">
            <w:pPr>
              <w:jc w:val="center"/>
            </w:pPr>
            <w:r>
              <w:rPr>
                <w:color w:val="000000"/>
                <w:sz w:val="24"/>
                <w:szCs w:val="24"/>
              </w:rPr>
              <w:t>8</w:t>
            </w:r>
          </w:p>
        </w:tc>
        <w:tc>
          <w:tcPr>
            <w:tcW w:w="1334" w:type="dxa"/>
            <w:vAlign w:val="center"/>
          </w:tcPr>
          <w:p w:rsidR="00987513" w:rsidRDefault="005A2DFF">
            <w:pPr>
              <w:jc w:val="center"/>
            </w:pPr>
            <w:r>
              <w:rPr>
                <w:color w:val="000000"/>
                <w:sz w:val="24"/>
                <w:szCs w:val="24"/>
              </w:rPr>
              <w:t>300115</w:t>
            </w:r>
          </w:p>
        </w:tc>
        <w:tc>
          <w:tcPr>
            <w:tcW w:w="1777" w:type="dxa"/>
            <w:vAlign w:val="center"/>
          </w:tcPr>
          <w:p w:rsidR="00987513" w:rsidRDefault="005A2DFF">
            <w:pPr>
              <w:jc w:val="center"/>
            </w:pPr>
            <w:r>
              <w:rPr>
                <w:color w:val="000000"/>
                <w:sz w:val="24"/>
                <w:szCs w:val="24"/>
              </w:rPr>
              <w:t>长盈精密</w:t>
            </w:r>
          </w:p>
        </w:tc>
        <w:tc>
          <w:tcPr>
            <w:tcW w:w="1334" w:type="dxa"/>
            <w:vAlign w:val="center"/>
          </w:tcPr>
          <w:p w:rsidR="00987513" w:rsidRDefault="005A2DFF">
            <w:pPr>
              <w:jc w:val="right"/>
            </w:pPr>
            <w:r>
              <w:rPr>
                <w:color w:val="000000"/>
                <w:sz w:val="24"/>
                <w:szCs w:val="24"/>
              </w:rPr>
              <w:t>2,751,840</w:t>
            </w:r>
          </w:p>
        </w:tc>
        <w:tc>
          <w:tcPr>
            <w:tcW w:w="1924" w:type="dxa"/>
            <w:vAlign w:val="center"/>
          </w:tcPr>
          <w:p w:rsidR="00987513" w:rsidRDefault="005A2DFF">
            <w:pPr>
              <w:jc w:val="right"/>
            </w:pPr>
            <w:r>
              <w:rPr>
                <w:color w:val="000000"/>
                <w:sz w:val="24"/>
                <w:szCs w:val="24"/>
              </w:rPr>
              <w:t>71,712,950.40</w:t>
            </w:r>
          </w:p>
        </w:tc>
        <w:tc>
          <w:tcPr>
            <w:tcW w:w="1644" w:type="dxa"/>
            <w:vAlign w:val="center"/>
          </w:tcPr>
          <w:p w:rsidR="00987513" w:rsidRDefault="005A2DFF">
            <w:pPr>
              <w:jc w:val="right"/>
            </w:pPr>
            <w:r>
              <w:rPr>
                <w:color w:val="000000"/>
                <w:sz w:val="24"/>
                <w:szCs w:val="24"/>
              </w:rPr>
              <w:t>2.86</w:t>
            </w:r>
          </w:p>
        </w:tc>
      </w:tr>
      <w:tr w:rsidR="00987513">
        <w:trPr>
          <w:jc w:val="center"/>
        </w:trPr>
        <w:tc>
          <w:tcPr>
            <w:tcW w:w="855" w:type="dxa"/>
            <w:vAlign w:val="center"/>
          </w:tcPr>
          <w:p w:rsidR="00987513" w:rsidRDefault="005A2DFF">
            <w:pPr>
              <w:jc w:val="center"/>
            </w:pPr>
            <w:r>
              <w:rPr>
                <w:color w:val="000000"/>
                <w:sz w:val="24"/>
                <w:szCs w:val="24"/>
              </w:rPr>
              <w:t>9</w:t>
            </w:r>
          </w:p>
        </w:tc>
        <w:tc>
          <w:tcPr>
            <w:tcW w:w="1334" w:type="dxa"/>
            <w:vAlign w:val="center"/>
          </w:tcPr>
          <w:p w:rsidR="00987513" w:rsidRDefault="005A2DFF">
            <w:pPr>
              <w:jc w:val="center"/>
            </w:pPr>
            <w:r>
              <w:rPr>
                <w:color w:val="000000"/>
                <w:sz w:val="24"/>
                <w:szCs w:val="24"/>
              </w:rPr>
              <w:t>002659</w:t>
            </w:r>
          </w:p>
        </w:tc>
        <w:tc>
          <w:tcPr>
            <w:tcW w:w="1777" w:type="dxa"/>
            <w:vAlign w:val="center"/>
          </w:tcPr>
          <w:p w:rsidR="00987513" w:rsidRDefault="005A2DFF">
            <w:pPr>
              <w:jc w:val="center"/>
            </w:pPr>
            <w:r>
              <w:rPr>
                <w:color w:val="000000"/>
                <w:sz w:val="24"/>
                <w:szCs w:val="24"/>
              </w:rPr>
              <w:t>中泰桥梁</w:t>
            </w:r>
          </w:p>
        </w:tc>
        <w:tc>
          <w:tcPr>
            <w:tcW w:w="1334" w:type="dxa"/>
            <w:vAlign w:val="center"/>
          </w:tcPr>
          <w:p w:rsidR="00987513" w:rsidRDefault="005A2DFF">
            <w:pPr>
              <w:jc w:val="right"/>
            </w:pPr>
            <w:r>
              <w:rPr>
                <w:color w:val="000000"/>
                <w:sz w:val="24"/>
                <w:szCs w:val="24"/>
              </w:rPr>
              <w:t>3,097,006</w:t>
            </w:r>
          </w:p>
        </w:tc>
        <w:tc>
          <w:tcPr>
            <w:tcW w:w="1924" w:type="dxa"/>
            <w:vAlign w:val="center"/>
          </w:tcPr>
          <w:p w:rsidR="00987513" w:rsidRDefault="005A2DFF">
            <w:pPr>
              <w:jc w:val="right"/>
            </w:pPr>
            <w:r>
              <w:rPr>
                <w:color w:val="000000"/>
                <w:sz w:val="24"/>
                <w:szCs w:val="24"/>
              </w:rPr>
              <w:t>71,447,928.42</w:t>
            </w:r>
          </w:p>
        </w:tc>
        <w:tc>
          <w:tcPr>
            <w:tcW w:w="1644" w:type="dxa"/>
            <w:vAlign w:val="center"/>
          </w:tcPr>
          <w:p w:rsidR="00987513" w:rsidRDefault="005A2DFF">
            <w:pPr>
              <w:jc w:val="right"/>
            </w:pPr>
            <w:r>
              <w:rPr>
                <w:color w:val="000000"/>
                <w:sz w:val="24"/>
                <w:szCs w:val="24"/>
              </w:rPr>
              <w:t>2.85</w:t>
            </w:r>
          </w:p>
        </w:tc>
      </w:tr>
      <w:tr w:rsidR="00987513">
        <w:trPr>
          <w:jc w:val="center"/>
        </w:trPr>
        <w:tc>
          <w:tcPr>
            <w:tcW w:w="855" w:type="dxa"/>
            <w:vAlign w:val="center"/>
          </w:tcPr>
          <w:p w:rsidR="00987513" w:rsidRDefault="005A2DFF">
            <w:pPr>
              <w:jc w:val="center"/>
            </w:pPr>
            <w:r>
              <w:rPr>
                <w:color w:val="000000"/>
                <w:sz w:val="24"/>
                <w:szCs w:val="24"/>
              </w:rPr>
              <w:t>10</w:t>
            </w:r>
          </w:p>
        </w:tc>
        <w:tc>
          <w:tcPr>
            <w:tcW w:w="1334" w:type="dxa"/>
            <w:vAlign w:val="center"/>
          </w:tcPr>
          <w:p w:rsidR="00987513" w:rsidRDefault="005A2DFF">
            <w:pPr>
              <w:jc w:val="center"/>
            </w:pPr>
            <w:r>
              <w:rPr>
                <w:color w:val="000000"/>
                <w:sz w:val="24"/>
                <w:szCs w:val="24"/>
              </w:rPr>
              <w:t>600028</w:t>
            </w:r>
          </w:p>
        </w:tc>
        <w:tc>
          <w:tcPr>
            <w:tcW w:w="1777" w:type="dxa"/>
            <w:vAlign w:val="center"/>
          </w:tcPr>
          <w:p w:rsidR="00987513" w:rsidRDefault="005A2DFF">
            <w:pPr>
              <w:jc w:val="center"/>
            </w:pPr>
            <w:r>
              <w:rPr>
                <w:color w:val="000000"/>
                <w:sz w:val="24"/>
                <w:szCs w:val="24"/>
              </w:rPr>
              <w:t>中国石化</w:t>
            </w:r>
          </w:p>
        </w:tc>
        <w:tc>
          <w:tcPr>
            <w:tcW w:w="1334" w:type="dxa"/>
            <w:vAlign w:val="center"/>
          </w:tcPr>
          <w:p w:rsidR="00987513" w:rsidRDefault="005A2DFF">
            <w:pPr>
              <w:jc w:val="right"/>
            </w:pPr>
            <w:r>
              <w:rPr>
                <w:color w:val="000000"/>
                <w:sz w:val="24"/>
                <w:szCs w:val="24"/>
              </w:rPr>
              <w:t>13,000,000</w:t>
            </w:r>
          </w:p>
        </w:tc>
        <w:tc>
          <w:tcPr>
            <w:tcW w:w="1924" w:type="dxa"/>
            <w:vAlign w:val="center"/>
          </w:tcPr>
          <w:p w:rsidR="00987513" w:rsidRDefault="005A2DFF">
            <w:pPr>
              <w:jc w:val="right"/>
            </w:pPr>
            <w:r>
              <w:rPr>
                <w:color w:val="000000"/>
                <w:sz w:val="24"/>
                <w:szCs w:val="24"/>
              </w:rPr>
              <w:t>70,330,000.00</w:t>
            </w:r>
          </w:p>
        </w:tc>
        <w:tc>
          <w:tcPr>
            <w:tcW w:w="1644" w:type="dxa"/>
            <w:vAlign w:val="center"/>
          </w:tcPr>
          <w:p w:rsidR="00987513" w:rsidRDefault="005A2DFF">
            <w:pPr>
              <w:jc w:val="right"/>
            </w:pPr>
            <w:r>
              <w:rPr>
                <w:color w:val="000000"/>
                <w:sz w:val="24"/>
                <w:szCs w:val="24"/>
              </w:rPr>
              <w:t>2.80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129,955,000.00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129,955,000.00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129,955,000.00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87513">
        <w:trPr>
          <w:jc w:val="center"/>
        </w:trPr>
        <w:tc>
          <w:tcPr>
            <w:tcW w:w="850" w:type="dxa"/>
            <w:vAlign w:val="center"/>
          </w:tcPr>
          <w:p w:rsidR="00987513" w:rsidRDefault="005A2DFF">
            <w:pPr>
              <w:jc w:val="center"/>
            </w:pPr>
            <w:r>
              <w:rPr>
                <w:color w:val="000000"/>
                <w:sz w:val="24"/>
                <w:szCs w:val="24"/>
              </w:rPr>
              <w:t>1</w:t>
            </w:r>
          </w:p>
        </w:tc>
        <w:tc>
          <w:tcPr>
            <w:tcW w:w="1475" w:type="dxa"/>
            <w:vAlign w:val="center"/>
          </w:tcPr>
          <w:p w:rsidR="00987513" w:rsidRDefault="005A2DFF">
            <w:pPr>
              <w:jc w:val="center"/>
            </w:pPr>
            <w:r>
              <w:rPr>
                <w:color w:val="000000"/>
                <w:sz w:val="24"/>
                <w:szCs w:val="24"/>
              </w:rPr>
              <w:t>160401</w:t>
            </w:r>
          </w:p>
        </w:tc>
        <w:tc>
          <w:tcPr>
            <w:tcW w:w="1769" w:type="dxa"/>
            <w:vAlign w:val="center"/>
          </w:tcPr>
          <w:p w:rsidR="00987513" w:rsidRDefault="005A2DFF">
            <w:pPr>
              <w:jc w:val="center"/>
            </w:pPr>
            <w:r>
              <w:rPr>
                <w:color w:val="000000"/>
                <w:sz w:val="24"/>
                <w:szCs w:val="24"/>
              </w:rPr>
              <w:t>16</w:t>
            </w:r>
            <w:r>
              <w:rPr>
                <w:color w:val="000000"/>
                <w:sz w:val="24"/>
                <w:szCs w:val="24"/>
              </w:rPr>
              <w:t>农发</w:t>
            </w:r>
            <w:r>
              <w:rPr>
                <w:color w:val="000000"/>
                <w:sz w:val="24"/>
                <w:szCs w:val="24"/>
              </w:rPr>
              <w:t>01</w:t>
            </w:r>
          </w:p>
        </w:tc>
        <w:tc>
          <w:tcPr>
            <w:tcW w:w="1387" w:type="dxa"/>
            <w:vAlign w:val="center"/>
          </w:tcPr>
          <w:p w:rsidR="00987513" w:rsidRDefault="005A2DFF">
            <w:pPr>
              <w:jc w:val="right"/>
            </w:pPr>
            <w:r>
              <w:rPr>
                <w:color w:val="000000"/>
                <w:sz w:val="24"/>
                <w:szCs w:val="24"/>
              </w:rPr>
              <w:t>1,000,000</w:t>
            </w:r>
          </w:p>
        </w:tc>
        <w:tc>
          <w:tcPr>
            <w:tcW w:w="2150" w:type="dxa"/>
            <w:vAlign w:val="center"/>
          </w:tcPr>
          <w:p w:rsidR="00987513" w:rsidRDefault="005A2DFF">
            <w:pPr>
              <w:jc w:val="right"/>
            </w:pPr>
            <w:r>
              <w:rPr>
                <w:color w:val="000000"/>
                <w:sz w:val="24"/>
                <w:szCs w:val="24"/>
              </w:rPr>
              <w:t>100,000,000.00</w:t>
            </w:r>
          </w:p>
        </w:tc>
        <w:tc>
          <w:tcPr>
            <w:tcW w:w="1237" w:type="dxa"/>
            <w:vAlign w:val="center"/>
          </w:tcPr>
          <w:p w:rsidR="00987513" w:rsidRDefault="005A2DFF">
            <w:pPr>
              <w:jc w:val="right"/>
            </w:pPr>
            <w:r>
              <w:rPr>
                <w:color w:val="000000"/>
                <w:sz w:val="24"/>
                <w:szCs w:val="24"/>
              </w:rPr>
              <w:t>3.98</w:t>
            </w:r>
          </w:p>
        </w:tc>
      </w:tr>
      <w:tr w:rsidR="00987513">
        <w:trPr>
          <w:jc w:val="center"/>
        </w:trPr>
        <w:tc>
          <w:tcPr>
            <w:tcW w:w="850" w:type="dxa"/>
            <w:vAlign w:val="center"/>
          </w:tcPr>
          <w:p w:rsidR="00987513" w:rsidRDefault="005A2DFF">
            <w:pPr>
              <w:jc w:val="center"/>
            </w:pPr>
            <w:r>
              <w:rPr>
                <w:color w:val="000000"/>
                <w:sz w:val="24"/>
                <w:szCs w:val="24"/>
              </w:rPr>
              <w:t>2</w:t>
            </w:r>
          </w:p>
        </w:tc>
        <w:tc>
          <w:tcPr>
            <w:tcW w:w="1475" w:type="dxa"/>
            <w:vAlign w:val="center"/>
          </w:tcPr>
          <w:p w:rsidR="00987513" w:rsidRDefault="005A2DFF">
            <w:pPr>
              <w:jc w:val="center"/>
            </w:pPr>
            <w:r>
              <w:rPr>
                <w:color w:val="000000"/>
                <w:sz w:val="24"/>
                <w:szCs w:val="24"/>
              </w:rPr>
              <w:t>160414</w:t>
            </w:r>
          </w:p>
        </w:tc>
        <w:tc>
          <w:tcPr>
            <w:tcW w:w="1769" w:type="dxa"/>
            <w:vAlign w:val="center"/>
          </w:tcPr>
          <w:p w:rsidR="00987513" w:rsidRDefault="005A2DFF">
            <w:pPr>
              <w:jc w:val="center"/>
            </w:pPr>
            <w:r>
              <w:rPr>
                <w:color w:val="000000"/>
                <w:sz w:val="24"/>
                <w:szCs w:val="24"/>
              </w:rPr>
              <w:t>16</w:t>
            </w:r>
            <w:r>
              <w:rPr>
                <w:color w:val="000000"/>
                <w:sz w:val="24"/>
                <w:szCs w:val="24"/>
              </w:rPr>
              <w:t>农发</w:t>
            </w:r>
            <w:r>
              <w:rPr>
                <w:color w:val="000000"/>
                <w:sz w:val="24"/>
                <w:szCs w:val="24"/>
              </w:rPr>
              <w:t>14</w:t>
            </w:r>
          </w:p>
        </w:tc>
        <w:tc>
          <w:tcPr>
            <w:tcW w:w="1387" w:type="dxa"/>
            <w:vAlign w:val="center"/>
          </w:tcPr>
          <w:p w:rsidR="00987513" w:rsidRDefault="005A2DFF">
            <w:pPr>
              <w:jc w:val="right"/>
            </w:pPr>
            <w:r>
              <w:rPr>
                <w:color w:val="000000"/>
                <w:sz w:val="24"/>
                <w:szCs w:val="24"/>
              </w:rPr>
              <w:t>300,000</w:t>
            </w:r>
          </w:p>
        </w:tc>
        <w:tc>
          <w:tcPr>
            <w:tcW w:w="2150" w:type="dxa"/>
            <w:vAlign w:val="center"/>
          </w:tcPr>
          <w:p w:rsidR="00987513" w:rsidRDefault="005A2DFF">
            <w:pPr>
              <w:jc w:val="right"/>
            </w:pPr>
            <w:r>
              <w:rPr>
                <w:color w:val="000000"/>
                <w:sz w:val="24"/>
                <w:szCs w:val="24"/>
              </w:rPr>
              <w:t>29,955,000.00</w:t>
            </w:r>
          </w:p>
        </w:tc>
        <w:tc>
          <w:tcPr>
            <w:tcW w:w="1237" w:type="dxa"/>
            <w:vAlign w:val="center"/>
          </w:tcPr>
          <w:p w:rsidR="00987513" w:rsidRDefault="005A2DFF">
            <w:pPr>
              <w:jc w:val="right"/>
            </w:pPr>
            <w:r>
              <w:rPr>
                <w:color w:val="000000"/>
                <w:sz w:val="24"/>
                <w:szCs w:val="24"/>
              </w:rPr>
              <w:t>1.19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报告期内本基金投资的前十名证券的发行主体除中泰桥梁（证券代码：</w:t>
      </w:r>
      <w:r w:rsidRPr="00BE5388">
        <w:rPr>
          <w:bCs/>
          <w:color w:val="000000"/>
          <w:kern w:val="0"/>
          <w:sz w:val="24"/>
          <w:szCs w:val="24"/>
        </w:rPr>
        <w:t>002659</w:t>
      </w:r>
      <w:r w:rsidRPr="00BE5388">
        <w:rPr>
          <w:bCs/>
          <w:color w:val="000000"/>
          <w:kern w:val="0"/>
          <w:sz w:val="24"/>
          <w:szCs w:val="24"/>
        </w:rPr>
        <w:t>）外，未出现被监管部门立案调查，或在报告编制日前一年内受到公开谴责、处罚的情形。</w:t>
      </w:r>
    </w:p>
    <w:p w:rsidR="00987513" w:rsidRDefault="005A2DFF">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报告期内本基金投资的前十名证券之一中泰桥梁（证券代码：</w:t>
      </w:r>
      <w:r>
        <w:rPr>
          <w:bCs/>
          <w:color w:val="000000"/>
          <w:kern w:val="0"/>
          <w:sz w:val="24"/>
          <w:szCs w:val="24"/>
        </w:rPr>
        <w:t>002659</w:t>
      </w:r>
      <w:r>
        <w:rPr>
          <w:bCs/>
          <w:color w:val="000000"/>
          <w:kern w:val="0"/>
          <w:sz w:val="24"/>
          <w:szCs w:val="24"/>
        </w:rPr>
        <w:t>）于</w:t>
      </w:r>
      <w:r>
        <w:rPr>
          <w:bCs/>
          <w:color w:val="000000"/>
          <w:kern w:val="0"/>
          <w:sz w:val="24"/>
          <w:szCs w:val="24"/>
        </w:rPr>
        <w:t>2016</w:t>
      </w:r>
      <w:r>
        <w:rPr>
          <w:bCs/>
          <w:color w:val="000000"/>
          <w:kern w:val="0"/>
          <w:sz w:val="24"/>
          <w:szCs w:val="24"/>
        </w:rPr>
        <w:t>年</w:t>
      </w:r>
      <w:r>
        <w:rPr>
          <w:bCs/>
          <w:color w:val="000000"/>
          <w:kern w:val="0"/>
          <w:sz w:val="24"/>
          <w:szCs w:val="24"/>
        </w:rPr>
        <w:t>10</w:t>
      </w:r>
      <w:r>
        <w:rPr>
          <w:bCs/>
          <w:color w:val="000000"/>
          <w:kern w:val="0"/>
          <w:sz w:val="24"/>
          <w:szCs w:val="24"/>
        </w:rPr>
        <w:t>月</w:t>
      </w:r>
      <w:r>
        <w:rPr>
          <w:bCs/>
          <w:color w:val="000000"/>
          <w:kern w:val="0"/>
          <w:sz w:val="24"/>
          <w:szCs w:val="24"/>
        </w:rPr>
        <w:t>20</w:t>
      </w:r>
      <w:r>
        <w:rPr>
          <w:bCs/>
          <w:color w:val="000000"/>
          <w:kern w:val="0"/>
          <w:sz w:val="24"/>
          <w:szCs w:val="24"/>
        </w:rPr>
        <w:t>日公告，公司控股子公司北京文凯兴教育投资有限责任公司因违反了《北京市城乡规划条例》收到北京市规划和国土资源管理委员会于</w:t>
      </w:r>
      <w:r>
        <w:rPr>
          <w:bCs/>
          <w:color w:val="000000"/>
          <w:kern w:val="0"/>
          <w:sz w:val="24"/>
          <w:szCs w:val="24"/>
        </w:rPr>
        <w:t>2016</w:t>
      </w:r>
      <w:r>
        <w:rPr>
          <w:bCs/>
          <w:color w:val="000000"/>
          <w:kern w:val="0"/>
          <w:sz w:val="24"/>
          <w:szCs w:val="24"/>
        </w:rPr>
        <w:t>年</w:t>
      </w:r>
      <w:r>
        <w:rPr>
          <w:bCs/>
          <w:color w:val="000000"/>
          <w:kern w:val="0"/>
          <w:sz w:val="24"/>
          <w:szCs w:val="24"/>
        </w:rPr>
        <w:t>10</w:t>
      </w:r>
      <w:r>
        <w:rPr>
          <w:bCs/>
          <w:color w:val="000000"/>
          <w:kern w:val="0"/>
          <w:sz w:val="24"/>
          <w:szCs w:val="24"/>
        </w:rPr>
        <w:t>月</w:t>
      </w:r>
      <w:r>
        <w:rPr>
          <w:bCs/>
          <w:color w:val="000000"/>
          <w:kern w:val="0"/>
          <w:sz w:val="24"/>
          <w:szCs w:val="24"/>
        </w:rPr>
        <w:t>18</w:t>
      </w:r>
      <w:r>
        <w:rPr>
          <w:bCs/>
          <w:color w:val="000000"/>
          <w:kern w:val="0"/>
          <w:sz w:val="24"/>
          <w:szCs w:val="24"/>
        </w:rPr>
        <w:t>日出具的《行政处罚决定书》。据此，北京市规划和国土资源管理委员会决定对北京文凯兴教育投资有限责任公司处以罚款</w:t>
      </w:r>
      <w:r>
        <w:rPr>
          <w:bCs/>
          <w:color w:val="000000"/>
          <w:kern w:val="0"/>
          <w:sz w:val="24"/>
          <w:szCs w:val="24"/>
        </w:rPr>
        <w:t>14,284,788.1</w:t>
      </w:r>
      <w:r>
        <w:rPr>
          <w:bCs/>
          <w:color w:val="000000"/>
          <w:kern w:val="0"/>
          <w:sz w:val="24"/>
          <w:szCs w:val="24"/>
        </w:rPr>
        <w:t>元。</w:t>
      </w:r>
    </w:p>
    <w:p w:rsidR="00987513" w:rsidRDefault="005A2DFF">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w:t>
      </w:r>
      <w:r>
        <w:rPr>
          <w:bCs/>
          <w:color w:val="000000"/>
          <w:kern w:val="0"/>
          <w:sz w:val="24"/>
          <w:szCs w:val="24"/>
        </w:rPr>
        <w:t>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1,136,535.20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3,287,177.00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9,424.52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4,433,136.72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987513">
        <w:trPr>
          <w:jc w:val="center"/>
        </w:trPr>
        <w:tc>
          <w:tcPr>
            <w:tcW w:w="1129" w:type="dxa"/>
            <w:vAlign w:val="center"/>
          </w:tcPr>
          <w:p w:rsidR="00987513" w:rsidRDefault="005A2DFF">
            <w:pPr>
              <w:jc w:val="center"/>
            </w:pPr>
            <w:r>
              <w:rPr>
                <w:color w:val="000000"/>
                <w:sz w:val="24"/>
                <w:szCs w:val="24"/>
              </w:rPr>
              <w:t>1</w:t>
            </w:r>
          </w:p>
        </w:tc>
        <w:tc>
          <w:tcPr>
            <w:tcW w:w="1356" w:type="dxa"/>
            <w:vAlign w:val="center"/>
          </w:tcPr>
          <w:p w:rsidR="00987513" w:rsidRDefault="005A2DFF">
            <w:pPr>
              <w:jc w:val="center"/>
            </w:pPr>
            <w:r>
              <w:rPr>
                <w:color w:val="000000"/>
                <w:sz w:val="24"/>
                <w:szCs w:val="24"/>
              </w:rPr>
              <w:t>000821</w:t>
            </w:r>
          </w:p>
        </w:tc>
        <w:tc>
          <w:tcPr>
            <w:tcW w:w="1355" w:type="dxa"/>
            <w:vAlign w:val="center"/>
          </w:tcPr>
          <w:p w:rsidR="00987513" w:rsidRDefault="005A2DFF">
            <w:pPr>
              <w:jc w:val="center"/>
            </w:pPr>
            <w:r>
              <w:rPr>
                <w:color w:val="000000"/>
                <w:sz w:val="24"/>
                <w:szCs w:val="24"/>
              </w:rPr>
              <w:t>京山轻机</w:t>
            </w:r>
          </w:p>
        </w:tc>
        <w:tc>
          <w:tcPr>
            <w:tcW w:w="1880" w:type="dxa"/>
            <w:vAlign w:val="center"/>
          </w:tcPr>
          <w:p w:rsidR="00987513" w:rsidRDefault="005A2DFF">
            <w:pPr>
              <w:jc w:val="right"/>
            </w:pPr>
            <w:r>
              <w:rPr>
                <w:color w:val="000000"/>
                <w:sz w:val="24"/>
                <w:szCs w:val="24"/>
              </w:rPr>
              <w:t>99,765,607.50</w:t>
            </w:r>
          </w:p>
        </w:tc>
        <w:tc>
          <w:tcPr>
            <w:tcW w:w="1724" w:type="dxa"/>
            <w:vAlign w:val="center"/>
          </w:tcPr>
          <w:p w:rsidR="00987513" w:rsidRDefault="005A2DFF">
            <w:pPr>
              <w:jc w:val="right"/>
            </w:pPr>
            <w:r>
              <w:rPr>
                <w:color w:val="000000"/>
                <w:sz w:val="24"/>
                <w:szCs w:val="24"/>
              </w:rPr>
              <w:t>3.97</w:t>
            </w:r>
          </w:p>
        </w:tc>
        <w:tc>
          <w:tcPr>
            <w:tcW w:w="1424" w:type="dxa"/>
            <w:vAlign w:val="center"/>
          </w:tcPr>
          <w:p w:rsidR="00987513" w:rsidRDefault="005A2DFF">
            <w:pPr>
              <w:jc w:val="right"/>
            </w:pPr>
            <w:r>
              <w:rPr>
                <w:color w:val="000000"/>
                <w:sz w:val="24"/>
                <w:szCs w:val="24"/>
              </w:rPr>
              <w:t>重大事项</w:t>
            </w:r>
          </w:p>
        </w:tc>
      </w:tr>
      <w:tr w:rsidR="00987513">
        <w:trPr>
          <w:jc w:val="center"/>
        </w:trPr>
        <w:tc>
          <w:tcPr>
            <w:tcW w:w="1129" w:type="dxa"/>
            <w:vAlign w:val="center"/>
          </w:tcPr>
          <w:p w:rsidR="00987513" w:rsidRDefault="005A2DFF">
            <w:pPr>
              <w:jc w:val="center"/>
            </w:pPr>
            <w:r>
              <w:rPr>
                <w:color w:val="000000"/>
                <w:sz w:val="24"/>
                <w:szCs w:val="24"/>
              </w:rPr>
              <w:t>2</w:t>
            </w:r>
          </w:p>
        </w:tc>
        <w:tc>
          <w:tcPr>
            <w:tcW w:w="1356" w:type="dxa"/>
            <w:vAlign w:val="center"/>
          </w:tcPr>
          <w:p w:rsidR="00987513" w:rsidRDefault="005A2DFF">
            <w:pPr>
              <w:jc w:val="center"/>
            </w:pPr>
            <w:r>
              <w:rPr>
                <w:color w:val="000000"/>
                <w:sz w:val="24"/>
                <w:szCs w:val="24"/>
              </w:rPr>
              <w:t>002659</w:t>
            </w:r>
          </w:p>
        </w:tc>
        <w:tc>
          <w:tcPr>
            <w:tcW w:w="1355" w:type="dxa"/>
            <w:vAlign w:val="center"/>
          </w:tcPr>
          <w:p w:rsidR="00987513" w:rsidRDefault="005A2DFF">
            <w:pPr>
              <w:jc w:val="center"/>
            </w:pPr>
            <w:r>
              <w:rPr>
                <w:color w:val="000000"/>
                <w:sz w:val="24"/>
                <w:szCs w:val="24"/>
              </w:rPr>
              <w:t>中泰桥梁</w:t>
            </w:r>
          </w:p>
        </w:tc>
        <w:tc>
          <w:tcPr>
            <w:tcW w:w="1880" w:type="dxa"/>
            <w:vAlign w:val="center"/>
          </w:tcPr>
          <w:p w:rsidR="00987513" w:rsidRDefault="005A2DFF">
            <w:pPr>
              <w:jc w:val="right"/>
            </w:pPr>
            <w:r>
              <w:rPr>
                <w:color w:val="000000"/>
                <w:sz w:val="24"/>
                <w:szCs w:val="24"/>
              </w:rPr>
              <w:t>71,447,928.42</w:t>
            </w:r>
          </w:p>
        </w:tc>
        <w:tc>
          <w:tcPr>
            <w:tcW w:w="1724" w:type="dxa"/>
            <w:vAlign w:val="center"/>
          </w:tcPr>
          <w:p w:rsidR="00987513" w:rsidRDefault="005A2DFF">
            <w:pPr>
              <w:jc w:val="right"/>
            </w:pPr>
            <w:r>
              <w:rPr>
                <w:color w:val="000000"/>
                <w:sz w:val="24"/>
                <w:szCs w:val="24"/>
              </w:rPr>
              <w:t>2.85</w:t>
            </w:r>
          </w:p>
        </w:tc>
        <w:tc>
          <w:tcPr>
            <w:tcW w:w="1424" w:type="dxa"/>
            <w:vAlign w:val="center"/>
          </w:tcPr>
          <w:p w:rsidR="00987513" w:rsidRDefault="005A2DFF">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3,138,800,273.87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25,171,300.94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130,561,729.59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3,033,409,845.22</w:t>
            </w:r>
          </w:p>
        </w:tc>
      </w:tr>
    </w:tbl>
    <w:p w:rsidR="00987513" w:rsidRDefault="005A2DF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23,710,503.49</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23,710,503.49</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0.78</w:t>
            </w:r>
          </w:p>
        </w:tc>
      </w:tr>
    </w:tbl>
    <w:p w:rsidR="00987513" w:rsidRDefault="005A2DF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987513" w:rsidRDefault="005A2DF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、中国证监会批准交银施罗德蓝筹股票证券投资基金募集的文件；</w:t>
      </w:r>
      <w:r>
        <w:rPr>
          <w:color w:val="000000"/>
          <w:sz w:val="24"/>
          <w:szCs w:val="24"/>
        </w:rPr>
        <w:t xml:space="preserve"> </w:t>
      </w:r>
    </w:p>
    <w:p w:rsidR="00987513" w:rsidRDefault="005A2DF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、《交银施罗德蓝筹混合型证券投资基金基金合同》；</w:t>
      </w:r>
      <w:r>
        <w:rPr>
          <w:color w:val="000000"/>
          <w:sz w:val="24"/>
          <w:szCs w:val="24"/>
        </w:rPr>
        <w:t xml:space="preserve"> </w:t>
      </w:r>
    </w:p>
    <w:p w:rsidR="00987513" w:rsidRDefault="005A2DF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、《交银施罗德蓝筹混合型证券投资基金招募说明书》；</w:t>
      </w:r>
      <w:r>
        <w:rPr>
          <w:color w:val="000000"/>
          <w:sz w:val="24"/>
          <w:szCs w:val="24"/>
        </w:rPr>
        <w:t xml:space="preserve"> </w:t>
      </w:r>
    </w:p>
    <w:p w:rsidR="00987513" w:rsidRDefault="005A2DF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、《交银施罗德蓝筹混合型证券投资基金托管协议》；</w:t>
      </w:r>
      <w:r>
        <w:rPr>
          <w:color w:val="000000"/>
          <w:sz w:val="24"/>
          <w:szCs w:val="24"/>
        </w:rPr>
        <w:t xml:space="preserve"> </w:t>
      </w:r>
    </w:p>
    <w:p w:rsidR="00987513" w:rsidRDefault="005A2DFF">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、关于募集交银施罗德蓝筹股票证券投资基金之法律意见书；</w:t>
      </w:r>
      <w:r>
        <w:rPr>
          <w:color w:val="000000"/>
          <w:sz w:val="24"/>
          <w:szCs w:val="24"/>
        </w:rPr>
        <w:t xml:space="preserve"> </w:t>
      </w:r>
    </w:p>
    <w:p w:rsidR="00987513" w:rsidRDefault="005A2DFF">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987513" w:rsidRDefault="005A2DFF">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、报告期内交银施罗德蓝筹混合型证券投资基金在指定报刊上各项公告的原稿。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987513" w:rsidRDefault="005A2DF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08" w:rsidRDefault="003B5E08" w:rsidP="00876D65">
      <w:r>
        <w:separator/>
      </w:r>
    </w:p>
  </w:endnote>
  <w:endnote w:type="continuationSeparator" w:id="0">
    <w:p w:rsidR="003B5E08" w:rsidRDefault="003B5E0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5A2DFF">
      <w:rPr>
        <w:noProof/>
        <w:kern w:val="0"/>
        <w:szCs w:val="21"/>
      </w:rPr>
      <w:t>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5A2DFF">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08" w:rsidRDefault="003B5E08" w:rsidP="00876D65">
      <w:r>
        <w:separator/>
      </w:r>
    </w:p>
  </w:footnote>
  <w:footnote w:type="continuationSeparator" w:id="0">
    <w:p w:rsidR="003B5E08" w:rsidRDefault="003B5E0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2DF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87513"/>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B5D50-2B4B-4A34-8560-A78E7E8B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1226</Words>
  <Characters>6992</Characters>
  <Application>Microsoft Office Word</Application>
  <DocSecurity>0</DocSecurity>
  <Lines>58</Lines>
  <Paragraphs>16</Paragraphs>
  <ScaleCrop>false</ScaleCrop>
  <Company/>
  <LinksUpToDate>false</LinksUpToDate>
  <CharactersWithSpaces>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荣华</dc:creator>
  <cp:lastModifiedBy>荣华</cp:lastModifiedBy>
  <cp:revision>2</cp:revision>
  <dcterms:created xsi:type="dcterms:W3CDTF">2017-01-17T10:48:00Z</dcterms:created>
  <dcterms:modified xsi:type="dcterms:W3CDTF">2017-01-17T10:48:00Z</dcterms:modified>
</cp:coreProperties>
</file>