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3808EC" w:rsidP="003808EC">
      <w:pPr>
        <w:tabs>
          <w:tab w:val="left" w:pos="2040"/>
        </w:tabs>
        <w:autoSpaceDE w:val="0"/>
        <w:autoSpaceDN w:val="0"/>
        <w:adjustRightInd w:val="0"/>
        <w:spacing w:before="29" w:line="288" w:lineRule="auto"/>
        <w:jc w:val="left"/>
        <w:rPr>
          <w:color w:val="000000"/>
          <w:kern w:val="0"/>
          <w:sz w:val="24"/>
          <w:szCs w:val="24"/>
        </w:rPr>
      </w:pPr>
      <w:r>
        <w:rPr>
          <w:color w:val="000000"/>
          <w:kern w:val="0"/>
          <w:sz w:val="24"/>
          <w:szCs w:val="24"/>
        </w:rPr>
        <w:tab/>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620AA" w:rsidRDefault="002C153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w:t>
      </w:r>
      <w:bookmarkStart w:id="0" w:name="_GoBack"/>
      <w:bookmarkEnd w:id="0"/>
      <w:r>
        <w:rPr>
          <w:color w:val="000000"/>
          <w:sz w:val="24"/>
          <w:szCs w:val="24"/>
        </w:rPr>
        <w:t>连带责任。</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5,676,062,235.40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808EC" w:rsidRPr="00414345" w:rsidTr="003808E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808EC" w:rsidRPr="00414345" w:rsidTr="003808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206,370,475.80</w:t>
            </w:r>
          </w:p>
        </w:tc>
      </w:tr>
      <w:tr w:rsidR="003808EC" w:rsidRPr="00414345" w:rsidTr="003808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82,650,041.15</w:t>
            </w:r>
          </w:p>
        </w:tc>
      </w:tr>
      <w:tr w:rsidR="003808EC" w:rsidRPr="00414345" w:rsidTr="003808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200DDE" w:rsidP="00C15CAC">
            <w:pPr>
              <w:adjustRightInd w:val="0"/>
              <w:spacing w:before="29" w:line="288" w:lineRule="auto"/>
              <w:ind w:left="17"/>
              <w:jc w:val="right"/>
              <w:rPr>
                <w:color w:val="000000"/>
                <w:sz w:val="24"/>
                <w:szCs w:val="24"/>
              </w:rPr>
            </w:pPr>
            <w:r w:rsidRPr="00200DDE">
              <w:rPr>
                <w:color w:val="000000"/>
                <w:sz w:val="24"/>
                <w:szCs w:val="24"/>
              </w:rPr>
              <w:t>0.0149</w:t>
            </w:r>
          </w:p>
        </w:tc>
      </w:tr>
      <w:tr w:rsidR="003808EC" w:rsidRPr="00414345" w:rsidTr="003808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3,225,367,795.77</w:t>
            </w:r>
          </w:p>
        </w:tc>
      </w:tr>
      <w:tr w:rsidR="003808EC" w:rsidRPr="00414345" w:rsidTr="003808E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0.5682</w:t>
            </w:r>
          </w:p>
        </w:tc>
      </w:tr>
    </w:tbl>
    <w:p w:rsidR="007620AA" w:rsidRDefault="002C153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620AA">
        <w:trPr>
          <w:jc w:val="center"/>
        </w:trPr>
        <w:tc>
          <w:tcPr>
            <w:tcW w:w="1701" w:type="dxa"/>
            <w:vAlign w:val="center"/>
          </w:tcPr>
          <w:p w:rsidR="007620AA" w:rsidRDefault="002C1539">
            <w:pPr>
              <w:jc w:val="left"/>
            </w:pPr>
            <w:r>
              <w:rPr>
                <w:color w:val="000000"/>
                <w:sz w:val="24"/>
                <w:szCs w:val="24"/>
              </w:rPr>
              <w:t>过去三个月</w:t>
            </w:r>
          </w:p>
        </w:tc>
        <w:tc>
          <w:tcPr>
            <w:tcW w:w="1045" w:type="dxa"/>
            <w:vAlign w:val="center"/>
          </w:tcPr>
          <w:p w:rsidR="007620AA" w:rsidRDefault="002C1539">
            <w:pPr>
              <w:jc w:val="center"/>
            </w:pPr>
            <w:r>
              <w:rPr>
                <w:color w:val="000000"/>
                <w:sz w:val="24"/>
                <w:szCs w:val="24"/>
              </w:rPr>
              <w:t>3.24%</w:t>
            </w:r>
          </w:p>
        </w:tc>
        <w:tc>
          <w:tcPr>
            <w:tcW w:w="1344" w:type="dxa"/>
            <w:vAlign w:val="center"/>
          </w:tcPr>
          <w:p w:rsidR="007620AA" w:rsidRDefault="002C1539">
            <w:pPr>
              <w:jc w:val="center"/>
            </w:pPr>
            <w:r>
              <w:rPr>
                <w:color w:val="000000"/>
                <w:sz w:val="24"/>
                <w:szCs w:val="24"/>
              </w:rPr>
              <w:t>0.81%</w:t>
            </w:r>
          </w:p>
        </w:tc>
        <w:tc>
          <w:tcPr>
            <w:tcW w:w="1194" w:type="dxa"/>
            <w:vAlign w:val="center"/>
          </w:tcPr>
          <w:p w:rsidR="007620AA" w:rsidRDefault="002C1539">
            <w:pPr>
              <w:jc w:val="center"/>
            </w:pPr>
            <w:r>
              <w:rPr>
                <w:color w:val="000000"/>
                <w:sz w:val="24"/>
                <w:szCs w:val="24"/>
              </w:rPr>
              <w:t>0.98%</w:t>
            </w:r>
          </w:p>
        </w:tc>
        <w:tc>
          <w:tcPr>
            <w:tcW w:w="1492" w:type="dxa"/>
            <w:vAlign w:val="center"/>
          </w:tcPr>
          <w:p w:rsidR="007620AA" w:rsidRDefault="002C1539">
            <w:pPr>
              <w:jc w:val="center"/>
            </w:pPr>
            <w:r>
              <w:rPr>
                <w:color w:val="000000"/>
                <w:sz w:val="24"/>
                <w:szCs w:val="24"/>
              </w:rPr>
              <w:t>0.54%</w:t>
            </w:r>
          </w:p>
        </w:tc>
        <w:tc>
          <w:tcPr>
            <w:tcW w:w="1194" w:type="dxa"/>
            <w:vAlign w:val="center"/>
          </w:tcPr>
          <w:p w:rsidR="007620AA" w:rsidRDefault="002C1539">
            <w:pPr>
              <w:jc w:val="center"/>
            </w:pPr>
            <w:r>
              <w:rPr>
                <w:color w:val="000000"/>
                <w:sz w:val="24"/>
                <w:szCs w:val="24"/>
              </w:rPr>
              <w:t>2.26%</w:t>
            </w:r>
          </w:p>
        </w:tc>
        <w:tc>
          <w:tcPr>
            <w:tcW w:w="898" w:type="dxa"/>
            <w:vAlign w:val="center"/>
          </w:tcPr>
          <w:p w:rsidR="007620AA" w:rsidRDefault="002C1539">
            <w:pPr>
              <w:jc w:val="center"/>
            </w:pPr>
            <w:r>
              <w:rPr>
                <w:color w:val="000000"/>
                <w:sz w:val="24"/>
                <w:szCs w:val="24"/>
              </w:rPr>
              <w:t>0.27%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620AA">
        <w:trPr>
          <w:jc w:val="center"/>
        </w:trPr>
        <w:tc>
          <w:tcPr>
            <w:tcW w:w="846" w:type="dxa"/>
            <w:vAlign w:val="center"/>
          </w:tcPr>
          <w:p w:rsidR="007620AA" w:rsidRDefault="002C1539">
            <w:pPr>
              <w:jc w:val="center"/>
            </w:pPr>
            <w:r>
              <w:rPr>
                <w:color w:val="000000"/>
                <w:sz w:val="24"/>
                <w:szCs w:val="24"/>
              </w:rPr>
              <w:t>曹文俊</w:t>
            </w:r>
          </w:p>
        </w:tc>
        <w:tc>
          <w:tcPr>
            <w:tcW w:w="845" w:type="dxa"/>
            <w:vAlign w:val="center"/>
          </w:tcPr>
          <w:p w:rsidR="007620AA" w:rsidRDefault="002C1539">
            <w:pPr>
              <w:jc w:val="center"/>
            </w:pPr>
            <w:r>
              <w:rPr>
                <w:color w:val="000000"/>
                <w:sz w:val="24"/>
                <w:szCs w:val="24"/>
              </w:rPr>
              <w:t>交银精选混合、交银趋势混合的基金经理</w:t>
            </w:r>
          </w:p>
        </w:tc>
        <w:tc>
          <w:tcPr>
            <w:tcW w:w="1549" w:type="dxa"/>
            <w:vAlign w:val="center"/>
          </w:tcPr>
          <w:p w:rsidR="007620AA" w:rsidRDefault="002C1539">
            <w:pPr>
              <w:jc w:val="center"/>
            </w:pPr>
            <w:r>
              <w:rPr>
                <w:color w:val="000000"/>
                <w:sz w:val="24"/>
                <w:szCs w:val="24"/>
              </w:rPr>
              <w:t>2014-10-22</w:t>
            </w:r>
          </w:p>
        </w:tc>
        <w:tc>
          <w:tcPr>
            <w:tcW w:w="1548" w:type="dxa"/>
            <w:vAlign w:val="center"/>
          </w:tcPr>
          <w:p w:rsidR="007620AA" w:rsidRDefault="002C1539">
            <w:pPr>
              <w:jc w:val="center"/>
            </w:pPr>
            <w:r>
              <w:rPr>
                <w:color w:val="000000"/>
                <w:sz w:val="24"/>
                <w:szCs w:val="24"/>
              </w:rPr>
              <w:t>-</w:t>
            </w:r>
          </w:p>
        </w:tc>
        <w:tc>
          <w:tcPr>
            <w:tcW w:w="1407" w:type="dxa"/>
            <w:vAlign w:val="center"/>
          </w:tcPr>
          <w:p w:rsidR="007620AA" w:rsidRDefault="002C1539">
            <w:pPr>
              <w:jc w:val="center"/>
            </w:pPr>
            <w:r>
              <w:rPr>
                <w:color w:val="000000"/>
                <w:sz w:val="24"/>
                <w:szCs w:val="24"/>
              </w:rPr>
              <w:t>11</w:t>
            </w:r>
            <w:r>
              <w:rPr>
                <w:color w:val="000000"/>
                <w:sz w:val="24"/>
                <w:szCs w:val="24"/>
              </w:rPr>
              <w:t>年</w:t>
            </w:r>
          </w:p>
        </w:tc>
        <w:tc>
          <w:tcPr>
            <w:tcW w:w="2673" w:type="dxa"/>
            <w:vAlign w:val="center"/>
          </w:tcPr>
          <w:p w:rsidR="007620AA" w:rsidRDefault="002C1539">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620AA" w:rsidRDefault="002C153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620AA" w:rsidRDefault="002C153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620AA" w:rsidRDefault="002C153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620AA" w:rsidRDefault="002C1539">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年四季度市场分化严重，以上证</w:t>
      </w:r>
      <w:r>
        <w:rPr>
          <w:color w:val="000000"/>
          <w:sz w:val="24"/>
          <w:szCs w:val="24"/>
        </w:rPr>
        <w:t>50</w:t>
      </w:r>
      <w:r>
        <w:rPr>
          <w:color w:val="000000"/>
          <w:sz w:val="24"/>
          <w:szCs w:val="24"/>
        </w:rPr>
        <w:t>为代表的大股票涨幅明显，而创业板和中小盘则跌幅明显。四季度以来，最重要的两大宏观变量为一、二线城市房地产调控加码和债市去杠杆引发的资金价格迅速上行。由于房地产和债券两大市场资金溢出效应，商品期货市场获得游资追捧，提升市场的通胀预期，进而引发弱需求背景下的补库存行为。</w:t>
      </w:r>
      <w:r>
        <w:rPr>
          <w:color w:val="000000"/>
          <w:sz w:val="24"/>
          <w:szCs w:val="24"/>
        </w:rPr>
        <w:t>2016</w:t>
      </w:r>
      <w:r>
        <w:rPr>
          <w:color w:val="000000"/>
          <w:sz w:val="24"/>
          <w:szCs w:val="24"/>
        </w:rPr>
        <w:t>年四季度以来，以房地产销售和财政支出为代表的需求端先行指标已经明显走弱，而补库存效应导致生产端（即供给产出）依然旺盛，供求关系在向不利的方向倾斜。四季度本基金净值表现跑赢业绩比较基准，主要体现在行业配置和个股选择的优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展望未来一个季度，我们对市场持中性态度。我们判断</w:t>
      </w:r>
      <w:r w:rsidRPr="00414345">
        <w:rPr>
          <w:color w:val="000000"/>
          <w:sz w:val="24"/>
          <w:szCs w:val="24"/>
        </w:rPr>
        <w:t>2017</w:t>
      </w:r>
      <w:r w:rsidRPr="00414345">
        <w:rPr>
          <w:color w:val="000000"/>
          <w:sz w:val="24"/>
          <w:szCs w:val="24"/>
        </w:rPr>
        <w:t>年上半年，需求走弱叠加去库存周期，经济增长压力仍然较大，对投资品不利，机会主要在于估值安全边际高的成长股。大类资产配置角度上，权益市场的估值泡沫明显小于房地产和固定收益市场。尽管</w:t>
      </w:r>
      <w:r w:rsidRPr="00414345">
        <w:rPr>
          <w:color w:val="000000"/>
          <w:sz w:val="24"/>
          <w:szCs w:val="24"/>
        </w:rPr>
        <w:t>2017</w:t>
      </w:r>
      <w:r w:rsidRPr="00414345">
        <w:rPr>
          <w:color w:val="000000"/>
          <w:sz w:val="24"/>
          <w:szCs w:val="24"/>
        </w:rPr>
        <w:t>年一季度预计流动性状况依然易紧难松，但指数大幅下跌的空间可能并不大。选股方向上，我们仍青睐与投资关联度不高的、估值性价比较高的成长型行业，如医药、环保等攻守兼备的行业，高度关注教育、流量增长相关的领域，并择机适当参与人工智能、国企改革等主题型投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0.5682</w:t>
      </w:r>
      <w:r w:rsidRPr="00414345">
        <w:rPr>
          <w:color w:val="000000"/>
          <w:sz w:val="24"/>
          <w:szCs w:val="24"/>
        </w:rPr>
        <w:t>元，本报告期份额净值增长率为</w:t>
      </w:r>
      <w:r w:rsidRPr="00414345">
        <w:rPr>
          <w:color w:val="000000"/>
          <w:sz w:val="24"/>
          <w:szCs w:val="24"/>
        </w:rPr>
        <w:t>3.24%</w:t>
      </w:r>
      <w:r w:rsidRPr="00414345">
        <w:rPr>
          <w:color w:val="000000"/>
          <w:sz w:val="24"/>
          <w:szCs w:val="24"/>
        </w:rPr>
        <w:t>，同期业绩比较基准增长率为</w:t>
      </w:r>
      <w:r w:rsidRPr="00414345">
        <w:rPr>
          <w:color w:val="000000"/>
          <w:sz w:val="24"/>
          <w:szCs w:val="24"/>
        </w:rPr>
        <w:t>0.98%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2,687,820,275.21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2,687,820,275.21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82.57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169,731,000.00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169,731,000.00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299,507,809.26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9.20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91,434,882.46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2.81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6,880,086.46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3,255,374,053.39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40,371,378.88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1,926,993,244.21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27,645,687.06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114,799,039.17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134,635,773.72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343,437,003.48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5,393,663.00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94,535,027.01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2,687,820,275.21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83.33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620AA">
        <w:trPr>
          <w:jc w:val="center"/>
        </w:trPr>
        <w:tc>
          <w:tcPr>
            <w:tcW w:w="855" w:type="dxa"/>
            <w:vAlign w:val="center"/>
          </w:tcPr>
          <w:p w:rsidR="007620AA" w:rsidRDefault="002C1539">
            <w:pPr>
              <w:jc w:val="center"/>
            </w:pPr>
            <w:r>
              <w:rPr>
                <w:color w:val="000000"/>
                <w:sz w:val="24"/>
                <w:szCs w:val="24"/>
              </w:rPr>
              <w:t>1</w:t>
            </w:r>
          </w:p>
        </w:tc>
        <w:tc>
          <w:tcPr>
            <w:tcW w:w="1334" w:type="dxa"/>
            <w:vAlign w:val="center"/>
          </w:tcPr>
          <w:p w:rsidR="007620AA" w:rsidRDefault="002C1539">
            <w:pPr>
              <w:jc w:val="center"/>
            </w:pPr>
            <w:r>
              <w:rPr>
                <w:color w:val="000000"/>
                <w:sz w:val="24"/>
                <w:szCs w:val="24"/>
              </w:rPr>
              <w:t>002123</w:t>
            </w:r>
          </w:p>
        </w:tc>
        <w:tc>
          <w:tcPr>
            <w:tcW w:w="1777" w:type="dxa"/>
            <w:vAlign w:val="center"/>
          </w:tcPr>
          <w:p w:rsidR="007620AA" w:rsidRDefault="002C1539">
            <w:pPr>
              <w:jc w:val="center"/>
            </w:pPr>
            <w:r>
              <w:rPr>
                <w:color w:val="000000"/>
                <w:sz w:val="24"/>
                <w:szCs w:val="24"/>
              </w:rPr>
              <w:t>梦网荣信</w:t>
            </w:r>
          </w:p>
        </w:tc>
        <w:tc>
          <w:tcPr>
            <w:tcW w:w="1334" w:type="dxa"/>
            <w:vAlign w:val="center"/>
          </w:tcPr>
          <w:p w:rsidR="007620AA" w:rsidRDefault="002C1539">
            <w:pPr>
              <w:jc w:val="right"/>
            </w:pPr>
            <w:r>
              <w:rPr>
                <w:color w:val="000000"/>
                <w:sz w:val="24"/>
                <w:szCs w:val="24"/>
              </w:rPr>
              <w:t>15,003,466</w:t>
            </w:r>
          </w:p>
        </w:tc>
        <w:tc>
          <w:tcPr>
            <w:tcW w:w="1924" w:type="dxa"/>
            <w:vAlign w:val="center"/>
          </w:tcPr>
          <w:p w:rsidR="007620AA" w:rsidRDefault="002C1539">
            <w:pPr>
              <w:jc w:val="right"/>
            </w:pPr>
            <w:r>
              <w:rPr>
                <w:color w:val="000000"/>
                <w:sz w:val="24"/>
                <w:szCs w:val="24"/>
              </w:rPr>
              <w:t>225,051,990.00</w:t>
            </w:r>
          </w:p>
        </w:tc>
        <w:tc>
          <w:tcPr>
            <w:tcW w:w="1644" w:type="dxa"/>
            <w:vAlign w:val="center"/>
          </w:tcPr>
          <w:p w:rsidR="007620AA" w:rsidRDefault="002C1539">
            <w:pPr>
              <w:jc w:val="right"/>
            </w:pPr>
            <w:r>
              <w:rPr>
                <w:color w:val="000000"/>
                <w:sz w:val="24"/>
                <w:szCs w:val="24"/>
              </w:rPr>
              <w:t>6.98</w:t>
            </w:r>
          </w:p>
        </w:tc>
      </w:tr>
      <w:tr w:rsidR="007620AA">
        <w:trPr>
          <w:jc w:val="center"/>
        </w:trPr>
        <w:tc>
          <w:tcPr>
            <w:tcW w:w="855" w:type="dxa"/>
            <w:vAlign w:val="center"/>
          </w:tcPr>
          <w:p w:rsidR="007620AA" w:rsidRDefault="002C1539">
            <w:pPr>
              <w:jc w:val="center"/>
            </w:pPr>
            <w:r>
              <w:rPr>
                <w:color w:val="000000"/>
                <w:sz w:val="24"/>
                <w:szCs w:val="24"/>
              </w:rPr>
              <w:t>2</w:t>
            </w:r>
          </w:p>
        </w:tc>
        <w:tc>
          <w:tcPr>
            <w:tcW w:w="1334" w:type="dxa"/>
            <w:vAlign w:val="center"/>
          </w:tcPr>
          <w:p w:rsidR="007620AA" w:rsidRDefault="002C1539">
            <w:pPr>
              <w:jc w:val="center"/>
            </w:pPr>
            <w:r>
              <w:rPr>
                <w:color w:val="000000"/>
                <w:sz w:val="24"/>
                <w:szCs w:val="24"/>
              </w:rPr>
              <w:t>002583</w:t>
            </w:r>
          </w:p>
        </w:tc>
        <w:tc>
          <w:tcPr>
            <w:tcW w:w="1777" w:type="dxa"/>
            <w:vAlign w:val="center"/>
          </w:tcPr>
          <w:p w:rsidR="007620AA" w:rsidRDefault="002C1539">
            <w:pPr>
              <w:jc w:val="center"/>
            </w:pPr>
            <w:r>
              <w:rPr>
                <w:color w:val="000000"/>
                <w:sz w:val="24"/>
                <w:szCs w:val="24"/>
              </w:rPr>
              <w:t>海能达</w:t>
            </w:r>
          </w:p>
        </w:tc>
        <w:tc>
          <w:tcPr>
            <w:tcW w:w="1334" w:type="dxa"/>
            <w:vAlign w:val="center"/>
          </w:tcPr>
          <w:p w:rsidR="007620AA" w:rsidRDefault="002C1539">
            <w:pPr>
              <w:jc w:val="right"/>
            </w:pPr>
            <w:r>
              <w:rPr>
                <w:color w:val="000000"/>
                <w:sz w:val="24"/>
                <w:szCs w:val="24"/>
              </w:rPr>
              <w:t>15,063,334</w:t>
            </w:r>
          </w:p>
        </w:tc>
        <w:tc>
          <w:tcPr>
            <w:tcW w:w="1924" w:type="dxa"/>
            <w:vAlign w:val="center"/>
          </w:tcPr>
          <w:p w:rsidR="007620AA" w:rsidRDefault="002C1539">
            <w:pPr>
              <w:jc w:val="right"/>
            </w:pPr>
            <w:r>
              <w:rPr>
                <w:color w:val="000000"/>
                <w:sz w:val="24"/>
                <w:szCs w:val="24"/>
              </w:rPr>
              <w:t>198,986,642.14</w:t>
            </w:r>
          </w:p>
        </w:tc>
        <w:tc>
          <w:tcPr>
            <w:tcW w:w="1644" w:type="dxa"/>
            <w:vAlign w:val="center"/>
          </w:tcPr>
          <w:p w:rsidR="007620AA" w:rsidRDefault="002C1539">
            <w:pPr>
              <w:jc w:val="right"/>
            </w:pPr>
            <w:r>
              <w:rPr>
                <w:color w:val="000000"/>
                <w:sz w:val="24"/>
                <w:szCs w:val="24"/>
              </w:rPr>
              <w:t>6.17</w:t>
            </w:r>
          </w:p>
        </w:tc>
      </w:tr>
      <w:tr w:rsidR="007620AA">
        <w:trPr>
          <w:jc w:val="center"/>
        </w:trPr>
        <w:tc>
          <w:tcPr>
            <w:tcW w:w="855" w:type="dxa"/>
            <w:vAlign w:val="center"/>
          </w:tcPr>
          <w:p w:rsidR="007620AA" w:rsidRDefault="002C1539">
            <w:pPr>
              <w:jc w:val="center"/>
            </w:pPr>
            <w:r>
              <w:rPr>
                <w:color w:val="000000"/>
                <w:sz w:val="24"/>
                <w:szCs w:val="24"/>
              </w:rPr>
              <w:t>3</w:t>
            </w:r>
          </w:p>
        </w:tc>
        <w:tc>
          <w:tcPr>
            <w:tcW w:w="1334" w:type="dxa"/>
            <w:vAlign w:val="center"/>
          </w:tcPr>
          <w:p w:rsidR="007620AA" w:rsidRDefault="002C1539">
            <w:pPr>
              <w:jc w:val="center"/>
            </w:pPr>
            <w:r>
              <w:rPr>
                <w:color w:val="000000"/>
                <w:sz w:val="24"/>
                <w:szCs w:val="24"/>
              </w:rPr>
              <w:t>300279</w:t>
            </w:r>
          </w:p>
        </w:tc>
        <w:tc>
          <w:tcPr>
            <w:tcW w:w="1777" w:type="dxa"/>
            <w:vAlign w:val="center"/>
          </w:tcPr>
          <w:p w:rsidR="007620AA" w:rsidRDefault="002C1539">
            <w:pPr>
              <w:jc w:val="center"/>
            </w:pPr>
            <w:r>
              <w:rPr>
                <w:color w:val="000000"/>
                <w:sz w:val="24"/>
                <w:szCs w:val="24"/>
              </w:rPr>
              <w:t>和晶科技</w:t>
            </w:r>
          </w:p>
        </w:tc>
        <w:tc>
          <w:tcPr>
            <w:tcW w:w="1334" w:type="dxa"/>
            <w:vAlign w:val="center"/>
          </w:tcPr>
          <w:p w:rsidR="007620AA" w:rsidRDefault="002C1539">
            <w:pPr>
              <w:jc w:val="right"/>
            </w:pPr>
            <w:r>
              <w:rPr>
                <w:color w:val="000000"/>
                <w:sz w:val="24"/>
                <w:szCs w:val="24"/>
              </w:rPr>
              <w:t>4,500,797</w:t>
            </w:r>
          </w:p>
        </w:tc>
        <w:tc>
          <w:tcPr>
            <w:tcW w:w="1924" w:type="dxa"/>
            <w:vAlign w:val="center"/>
          </w:tcPr>
          <w:p w:rsidR="007620AA" w:rsidRDefault="002C1539">
            <w:pPr>
              <w:jc w:val="right"/>
            </w:pPr>
            <w:r>
              <w:rPr>
                <w:color w:val="000000"/>
                <w:sz w:val="24"/>
                <w:szCs w:val="24"/>
              </w:rPr>
              <w:t>195,784,669.50</w:t>
            </w:r>
          </w:p>
        </w:tc>
        <w:tc>
          <w:tcPr>
            <w:tcW w:w="1644" w:type="dxa"/>
            <w:vAlign w:val="center"/>
          </w:tcPr>
          <w:p w:rsidR="007620AA" w:rsidRDefault="002C1539">
            <w:pPr>
              <w:jc w:val="right"/>
            </w:pPr>
            <w:r>
              <w:rPr>
                <w:color w:val="000000"/>
                <w:sz w:val="24"/>
                <w:szCs w:val="24"/>
              </w:rPr>
              <w:t>6.07</w:t>
            </w:r>
          </w:p>
        </w:tc>
      </w:tr>
      <w:tr w:rsidR="007620AA">
        <w:trPr>
          <w:jc w:val="center"/>
        </w:trPr>
        <w:tc>
          <w:tcPr>
            <w:tcW w:w="855" w:type="dxa"/>
            <w:vAlign w:val="center"/>
          </w:tcPr>
          <w:p w:rsidR="007620AA" w:rsidRDefault="002C1539">
            <w:pPr>
              <w:jc w:val="center"/>
            </w:pPr>
            <w:r>
              <w:rPr>
                <w:color w:val="000000"/>
                <w:sz w:val="24"/>
                <w:szCs w:val="24"/>
              </w:rPr>
              <w:t>4</w:t>
            </w:r>
          </w:p>
        </w:tc>
        <w:tc>
          <w:tcPr>
            <w:tcW w:w="1334" w:type="dxa"/>
            <w:vAlign w:val="center"/>
          </w:tcPr>
          <w:p w:rsidR="007620AA" w:rsidRDefault="002C1539">
            <w:pPr>
              <w:jc w:val="center"/>
            </w:pPr>
            <w:r>
              <w:rPr>
                <w:color w:val="000000"/>
                <w:sz w:val="24"/>
                <w:szCs w:val="24"/>
              </w:rPr>
              <w:t>300203</w:t>
            </w:r>
          </w:p>
        </w:tc>
        <w:tc>
          <w:tcPr>
            <w:tcW w:w="1777" w:type="dxa"/>
            <w:vAlign w:val="center"/>
          </w:tcPr>
          <w:p w:rsidR="007620AA" w:rsidRDefault="002C1539">
            <w:pPr>
              <w:jc w:val="center"/>
            </w:pPr>
            <w:r>
              <w:rPr>
                <w:color w:val="000000"/>
                <w:sz w:val="24"/>
                <w:szCs w:val="24"/>
              </w:rPr>
              <w:t>聚光科技</w:t>
            </w:r>
          </w:p>
        </w:tc>
        <w:tc>
          <w:tcPr>
            <w:tcW w:w="1334" w:type="dxa"/>
            <w:vAlign w:val="center"/>
          </w:tcPr>
          <w:p w:rsidR="007620AA" w:rsidRDefault="002C1539">
            <w:pPr>
              <w:jc w:val="right"/>
            </w:pPr>
            <w:r>
              <w:rPr>
                <w:color w:val="000000"/>
                <w:sz w:val="24"/>
                <w:szCs w:val="24"/>
              </w:rPr>
              <w:t>5,199,400</w:t>
            </w:r>
          </w:p>
        </w:tc>
        <w:tc>
          <w:tcPr>
            <w:tcW w:w="1924" w:type="dxa"/>
            <w:vAlign w:val="center"/>
          </w:tcPr>
          <w:p w:rsidR="007620AA" w:rsidRDefault="002C1539">
            <w:pPr>
              <w:jc w:val="right"/>
            </w:pPr>
            <w:r>
              <w:rPr>
                <w:color w:val="000000"/>
                <w:sz w:val="24"/>
                <w:szCs w:val="24"/>
              </w:rPr>
              <w:t>158,841,670.00</w:t>
            </w:r>
          </w:p>
        </w:tc>
        <w:tc>
          <w:tcPr>
            <w:tcW w:w="1644" w:type="dxa"/>
            <w:vAlign w:val="center"/>
          </w:tcPr>
          <w:p w:rsidR="007620AA" w:rsidRDefault="002C1539">
            <w:pPr>
              <w:jc w:val="right"/>
            </w:pPr>
            <w:r>
              <w:rPr>
                <w:color w:val="000000"/>
                <w:sz w:val="24"/>
                <w:szCs w:val="24"/>
              </w:rPr>
              <w:t>4.92</w:t>
            </w:r>
          </w:p>
        </w:tc>
      </w:tr>
      <w:tr w:rsidR="007620AA">
        <w:trPr>
          <w:jc w:val="center"/>
        </w:trPr>
        <w:tc>
          <w:tcPr>
            <w:tcW w:w="855" w:type="dxa"/>
            <w:vAlign w:val="center"/>
          </w:tcPr>
          <w:p w:rsidR="007620AA" w:rsidRDefault="002C1539">
            <w:pPr>
              <w:jc w:val="center"/>
            </w:pPr>
            <w:r>
              <w:rPr>
                <w:color w:val="000000"/>
                <w:sz w:val="24"/>
                <w:szCs w:val="24"/>
              </w:rPr>
              <w:t>5</w:t>
            </w:r>
          </w:p>
        </w:tc>
        <w:tc>
          <w:tcPr>
            <w:tcW w:w="1334" w:type="dxa"/>
            <w:vAlign w:val="center"/>
          </w:tcPr>
          <w:p w:rsidR="007620AA" w:rsidRDefault="002C1539">
            <w:pPr>
              <w:jc w:val="center"/>
            </w:pPr>
            <w:r>
              <w:rPr>
                <w:color w:val="000000"/>
                <w:sz w:val="24"/>
                <w:szCs w:val="24"/>
              </w:rPr>
              <w:t>600486</w:t>
            </w:r>
          </w:p>
        </w:tc>
        <w:tc>
          <w:tcPr>
            <w:tcW w:w="1777" w:type="dxa"/>
            <w:vAlign w:val="center"/>
          </w:tcPr>
          <w:p w:rsidR="007620AA" w:rsidRDefault="002C1539">
            <w:pPr>
              <w:jc w:val="center"/>
            </w:pPr>
            <w:r>
              <w:rPr>
                <w:color w:val="000000"/>
                <w:sz w:val="24"/>
                <w:szCs w:val="24"/>
              </w:rPr>
              <w:t>扬农化工</w:t>
            </w:r>
          </w:p>
        </w:tc>
        <w:tc>
          <w:tcPr>
            <w:tcW w:w="1334" w:type="dxa"/>
            <w:vAlign w:val="center"/>
          </w:tcPr>
          <w:p w:rsidR="007620AA" w:rsidRDefault="002C1539">
            <w:pPr>
              <w:jc w:val="right"/>
            </w:pPr>
            <w:r>
              <w:rPr>
                <w:color w:val="000000"/>
                <w:sz w:val="24"/>
                <w:szCs w:val="24"/>
              </w:rPr>
              <w:t>4,010,081</w:t>
            </w:r>
          </w:p>
        </w:tc>
        <w:tc>
          <w:tcPr>
            <w:tcW w:w="1924" w:type="dxa"/>
            <w:vAlign w:val="center"/>
          </w:tcPr>
          <w:p w:rsidR="007620AA" w:rsidRDefault="002C1539">
            <w:pPr>
              <w:jc w:val="right"/>
            </w:pPr>
            <w:r>
              <w:rPr>
                <w:color w:val="000000"/>
                <w:sz w:val="24"/>
                <w:szCs w:val="24"/>
              </w:rPr>
              <w:t>151,861,767.47</w:t>
            </w:r>
          </w:p>
        </w:tc>
        <w:tc>
          <w:tcPr>
            <w:tcW w:w="1644" w:type="dxa"/>
            <w:vAlign w:val="center"/>
          </w:tcPr>
          <w:p w:rsidR="007620AA" w:rsidRDefault="002C1539">
            <w:pPr>
              <w:jc w:val="right"/>
            </w:pPr>
            <w:r>
              <w:rPr>
                <w:color w:val="000000"/>
                <w:sz w:val="24"/>
                <w:szCs w:val="24"/>
              </w:rPr>
              <w:t>4.71</w:t>
            </w:r>
          </w:p>
        </w:tc>
      </w:tr>
      <w:tr w:rsidR="007620AA">
        <w:trPr>
          <w:jc w:val="center"/>
        </w:trPr>
        <w:tc>
          <w:tcPr>
            <w:tcW w:w="855" w:type="dxa"/>
            <w:vAlign w:val="center"/>
          </w:tcPr>
          <w:p w:rsidR="007620AA" w:rsidRDefault="002C1539">
            <w:pPr>
              <w:jc w:val="center"/>
            </w:pPr>
            <w:r>
              <w:rPr>
                <w:color w:val="000000"/>
                <w:sz w:val="24"/>
                <w:szCs w:val="24"/>
              </w:rPr>
              <w:t>6</w:t>
            </w:r>
          </w:p>
        </w:tc>
        <w:tc>
          <w:tcPr>
            <w:tcW w:w="1334" w:type="dxa"/>
            <w:vAlign w:val="center"/>
          </w:tcPr>
          <w:p w:rsidR="007620AA" w:rsidRDefault="002C1539">
            <w:pPr>
              <w:jc w:val="center"/>
            </w:pPr>
            <w:r>
              <w:rPr>
                <w:color w:val="000000"/>
                <w:sz w:val="24"/>
                <w:szCs w:val="24"/>
              </w:rPr>
              <w:t>000820</w:t>
            </w:r>
          </w:p>
        </w:tc>
        <w:tc>
          <w:tcPr>
            <w:tcW w:w="1777" w:type="dxa"/>
            <w:vAlign w:val="center"/>
          </w:tcPr>
          <w:p w:rsidR="007620AA" w:rsidRDefault="002C1539">
            <w:pPr>
              <w:jc w:val="center"/>
            </w:pPr>
            <w:r>
              <w:rPr>
                <w:color w:val="000000"/>
                <w:sz w:val="24"/>
                <w:szCs w:val="24"/>
              </w:rPr>
              <w:t>神雾节能</w:t>
            </w:r>
          </w:p>
        </w:tc>
        <w:tc>
          <w:tcPr>
            <w:tcW w:w="1334" w:type="dxa"/>
            <w:vAlign w:val="center"/>
          </w:tcPr>
          <w:p w:rsidR="007620AA" w:rsidRDefault="002C1539">
            <w:pPr>
              <w:jc w:val="right"/>
            </w:pPr>
            <w:r>
              <w:rPr>
                <w:color w:val="000000"/>
                <w:sz w:val="24"/>
                <w:szCs w:val="24"/>
              </w:rPr>
              <w:t>4,999,951</w:t>
            </w:r>
          </w:p>
        </w:tc>
        <w:tc>
          <w:tcPr>
            <w:tcW w:w="1924" w:type="dxa"/>
            <w:vAlign w:val="center"/>
          </w:tcPr>
          <w:p w:rsidR="007620AA" w:rsidRDefault="002C1539">
            <w:pPr>
              <w:jc w:val="right"/>
            </w:pPr>
            <w:r>
              <w:rPr>
                <w:color w:val="000000"/>
                <w:sz w:val="24"/>
                <w:szCs w:val="24"/>
              </w:rPr>
              <w:t>144,498,583.90</w:t>
            </w:r>
          </w:p>
        </w:tc>
        <w:tc>
          <w:tcPr>
            <w:tcW w:w="1644" w:type="dxa"/>
            <w:vAlign w:val="center"/>
          </w:tcPr>
          <w:p w:rsidR="007620AA" w:rsidRDefault="002C1539">
            <w:pPr>
              <w:jc w:val="right"/>
            </w:pPr>
            <w:r>
              <w:rPr>
                <w:color w:val="000000"/>
                <w:sz w:val="24"/>
                <w:szCs w:val="24"/>
              </w:rPr>
              <w:t>4.48</w:t>
            </w:r>
          </w:p>
        </w:tc>
      </w:tr>
      <w:tr w:rsidR="007620AA">
        <w:trPr>
          <w:jc w:val="center"/>
        </w:trPr>
        <w:tc>
          <w:tcPr>
            <w:tcW w:w="855" w:type="dxa"/>
            <w:vAlign w:val="center"/>
          </w:tcPr>
          <w:p w:rsidR="007620AA" w:rsidRDefault="002C1539">
            <w:pPr>
              <w:jc w:val="center"/>
            </w:pPr>
            <w:r>
              <w:rPr>
                <w:color w:val="000000"/>
                <w:sz w:val="24"/>
                <w:szCs w:val="24"/>
              </w:rPr>
              <w:t>7</w:t>
            </w:r>
          </w:p>
        </w:tc>
        <w:tc>
          <w:tcPr>
            <w:tcW w:w="1334" w:type="dxa"/>
            <w:vAlign w:val="center"/>
          </w:tcPr>
          <w:p w:rsidR="007620AA" w:rsidRDefault="002C1539">
            <w:pPr>
              <w:jc w:val="center"/>
            </w:pPr>
            <w:r>
              <w:rPr>
                <w:color w:val="000000"/>
                <w:sz w:val="24"/>
                <w:szCs w:val="24"/>
              </w:rPr>
              <w:t>600867</w:t>
            </w:r>
          </w:p>
        </w:tc>
        <w:tc>
          <w:tcPr>
            <w:tcW w:w="1777" w:type="dxa"/>
            <w:vAlign w:val="center"/>
          </w:tcPr>
          <w:p w:rsidR="007620AA" w:rsidRDefault="002C1539">
            <w:pPr>
              <w:jc w:val="center"/>
            </w:pPr>
            <w:r>
              <w:rPr>
                <w:color w:val="000000"/>
                <w:sz w:val="24"/>
                <w:szCs w:val="24"/>
              </w:rPr>
              <w:t>通化东宝</w:t>
            </w:r>
          </w:p>
        </w:tc>
        <w:tc>
          <w:tcPr>
            <w:tcW w:w="1334" w:type="dxa"/>
            <w:vAlign w:val="center"/>
          </w:tcPr>
          <w:p w:rsidR="007620AA" w:rsidRDefault="002C1539">
            <w:pPr>
              <w:jc w:val="right"/>
            </w:pPr>
            <w:r>
              <w:rPr>
                <w:color w:val="000000"/>
                <w:sz w:val="24"/>
                <w:szCs w:val="24"/>
              </w:rPr>
              <w:t>5,999,398</w:t>
            </w:r>
          </w:p>
        </w:tc>
        <w:tc>
          <w:tcPr>
            <w:tcW w:w="1924" w:type="dxa"/>
            <w:vAlign w:val="center"/>
          </w:tcPr>
          <w:p w:rsidR="007620AA" w:rsidRDefault="002C1539">
            <w:pPr>
              <w:jc w:val="right"/>
            </w:pPr>
            <w:r>
              <w:rPr>
                <w:color w:val="000000"/>
                <w:sz w:val="24"/>
                <w:szCs w:val="24"/>
              </w:rPr>
              <w:t>131,566,798.14</w:t>
            </w:r>
          </w:p>
        </w:tc>
        <w:tc>
          <w:tcPr>
            <w:tcW w:w="1644" w:type="dxa"/>
            <w:vAlign w:val="center"/>
          </w:tcPr>
          <w:p w:rsidR="007620AA" w:rsidRDefault="002C1539">
            <w:pPr>
              <w:jc w:val="right"/>
            </w:pPr>
            <w:r>
              <w:rPr>
                <w:color w:val="000000"/>
                <w:sz w:val="24"/>
                <w:szCs w:val="24"/>
              </w:rPr>
              <w:t>4.08</w:t>
            </w:r>
          </w:p>
        </w:tc>
      </w:tr>
      <w:tr w:rsidR="007620AA">
        <w:trPr>
          <w:jc w:val="center"/>
        </w:trPr>
        <w:tc>
          <w:tcPr>
            <w:tcW w:w="855" w:type="dxa"/>
            <w:vAlign w:val="center"/>
          </w:tcPr>
          <w:p w:rsidR="007620AA" w:rsidRDefault="002C1539">
            <w:pPr>
              <w:jc w:val="center"/>
            </w:pPr>
            <w:r>
              <w:rPr>
                <w:color w:val="000000"/>
                <w:sz w:val="24"/>
                <w:szCs w:val="24"/>
              </w:rPr>
              <w:t>8</w:t>
            </w:r>
          </w:p>
        </w:tc>
        <w:tc>
          <w:tcPr>
            <w:tcW w:w="1334" w:type="dxa"/>
            <w:vAlign w:val="center"/>
          </w:tcPr>
          <w:p w:rsidR="007620AA" w:rsidRDefault="002C1539">
            <w:pPr>
              <w:jc w:val="center"/>
            </w:pPr>
            <w:r>
              <w:rPr>
                <w:color w:val="000000"/>
                <w:sz w:val="24"/>
                <w:szCs w:val="24"/>
              </w:rPr>
              <w:t>002659</w:t>
            </w:r>
          </w:p>
        </w:tc>
        <w:tc>
          <w:tcPr>
            <w:tcW w:w="1777" w:type="dxa"/>
            <w:vAlign w:val="center"/>
          </w:tcPr>
          <w:p w:rsidR="007620AA" w:rsidRDefault="002C1539">
            <w:pPr>
              <w:jc w:val="center"/>
            </w:pPr>
            <w:r>
              <w:rPr>
                <w:color w:val="000000"/>
                <w:sz w:val="24"/>
                <w:szCs w:val="24"/>
              </w:rPr>
              <w:t>中泰桥梁</w:t>
            </w:r>
          </w:p>
        </w:tc>
        <w:tc>
          <w:tcPr>
            <w:tcW w:w="1334" w:type="dxa"/>
            <w:vAlign w:val="center"/>
          </w:tcPr>
          <w:p w:rsidR="007620AA" w:rsidRDefault="002C1539">
            <w:pPr>
              <w:jc w:val="right"/>
            </w:pPr>
            <w:r>
              <w:rPr>
                <w:color w:val="000000"/>
                <w:sz w:val="24"/>
                <w:szCs w:val="24"/>
              </w:rPr>
              <w:t>4,975,442</w:t>
            </w:r>
          </w:p>
        </w:tc>
        <w:tc>
          <w:tcPr>
            <w:tcW w:w="1924" w:type="dxa"/>
            <w:vAlign w:val="center"/>
          </w:tcPr>
          <w:p w:rsidR="007620AA" w:rsidRDefault="002C1539">
            <w:pPr>
              <w:jc w:val="right"/>
            </w:pPr>
            <w:r>
              <w:rPr>
                <w:color w:val="000000"/>
                <w:sz w:val="24"/>
                <w:szCs w:val="24"/>
              </w:rPr>
              <w:t>114,783,446.94</w:t>
            </w:r>
          </w:p>
        </w:tc>
        <w:tc>
          <w:tcPr>
            <w:tcW w:w="1644" w:type="dxa"/>
            <w:vAlign w:val="center"/>
          </w:tcPr>
          <w:p w:rsidR="007620AA" w:rsidRDefault="002C1539">
            <w:pPr>
              <w:jc w:val="right"/>
            </w:pPr>
            <w:r>
              <w:rPr>
                <w:color w:val="000000"/>
                <w:sz w:val="24"/>
                <w:szCs w:val="24"/>
              </w:rPr>
              <w:t>3.56</w:t>
            </w:r>
          </w:p>
        </w:tc>
      </w:tr>
      <w:tr w:rsidR="007620AA">
        <w:trPr>
          <w:jc w:val="center"/>
        </w:trPr>
        <w:tc>
          <w:tcPr>
            <w:tcW w:w="855" w:type="dxa"/>
            <w:vAlign w:val="center"/>
          </w:tcPr>
          <w:p w:rsidR="007620AA" w:rsidRDefault="002C1539">
            <w:pPr>
              <w:jc w:val="center"/>
            </w:pPr>
            <w:r>
              <w:rPr>
                <w:color w:val="000000"/>
                <w:sz w:val="24"/>
                <w:szCs w:val="24"/>
              </w:rPr>
              <w:t>9</w:t>
            </w:r>
          </w:p>
        </w:tc>
        <w:tc>
          <w:tcPr>
            <w:tcW w:w="1334" w:type="dxa"/>
            <w:vAlign w:val="center"/>
          </w:tcPr>
          <w:p w:rsidR="007620AA" w:rsidRDefault="002C1539">
            <w:pPr>
              <w:jc w:val="center"/>
            </w:pPr>
            <w:r>
              <w:rPr>
                <w:color w:val="000000"/>
                <w:sz w:val="24"/>
                <w:szCs w:val="24"/>
              </w:rPr>
              <w:t>000661</w:t>
            </w:r>
          </w:p>
        </w:tc>
        <w:tc>
          <w:tcPr>
            <w:tcW w:w="1777" w:type="dxa"/>
            <w:vAlign w:val="center"/>
          </w:tcPr>
          <w:p w:rsidR="007620AA" w:rsidRDefault="002C1539">
            <w:pPr>
              <w:jc w:val="center"/>
            </w:pPr>
            <w:r>
              <w:rPr>
                <w:color w:val="000000"/>
                <w:sz w:val="24"/>
                <w:szCs w:val="24"/>
              </w:rPr>
              <w:t>长春高新</w:t>
            </w:r>
          </w:p>
        </w:tc>
        <w:tc>
          <w:tcPr>
            <w:tcW w:w="1334" w:type="dxa"/>
            <w:vAlign w:val="center"/>
          </w:tcPr>
          <w:p w:rsidR="007620AA" w:rsidRDefault="002C1539">
            <w:pPr>
              <w:jc w:val="right"/>
            </w:pPr>
            <w:r>
              <w:rPr>
                <w:color w:val="000000"/>
                <w:sz w:val="24"/>
                <w:szCs w:val="24"/>
              </w:rPr>
              <w:t>1,000,362</w:t>
            </w:r>
          </w:p>
        </w:tc>
        <w:tc>
          <w:tcPr>
            <w:tcW w:w="1924" w:type="dxa"/>
            <w:vAlign w:val="center"/>
          </w:tcPr>
          <w:p w:rsidR="007620AA" w:rsidRDefault="002C1539">
            <w:pPr>
              <w:jc w:val="right"/>
            </w:pPr>
            <w:r>
              <w:rPr>
                <w:color w:val="000000"/>
                <w:sz w:val="24"/>
                <w:szCs w:val="24"/>
              </w:rPr>
              <w:t>111,890,489.70</w:t>
            </w:r>
          </w:p>
        </w:tc>
        <w:tc>
          <w:tcPr>
            <w:tcW w:w="1644" w:type="dxa"/>
            <w:vAlign w:val="center"/>
          </w:tcPr>
          <w:p w:rsidR="007620AA" w:rsidRDefault="002C1539">
            <w:pPr>
              <w:jc w:val="right"/>
            </w:pPr>
            <w:r>
              <w:rPr>
                <w:color w:val="000000"/>
                <w:sz w:val="24"/>
                <w:szCs w:val="24"/>
              </w:rPr>
              <w:t>3.47</w:t>
            </w:r>
          </w:p>
        </w:tc>
      </w:tr>
      <w:tr w:rsidR="007620AA">
        <w:trPr>
          <w:jc w:val="center"/>
        </w:trPr>
        <w:tc>
          <w:tcPr>
            <w:tcW w:w="855" w:type="dxa"/>
            <w:vAlign w:val="center"/>
          </w:tcPr>
          <w:p w:rsidR="007620AA" w:rsidRDefault="002C1539">
            <w:pPr>
              <w:jc w:val="center"/>
            </w:pPr>
            <w:r>
              <w:rPr>
                <w:color w:val="000000"/>
                <w:sz w:val="24"/>
                <w:szCs w:val="24"/>
              </w:rPr>
              <w:t>10</w:t>
            </w:r>
          </w:p>
        </w:tc>
        <w:tc>
          <w:tcPr>
            <w:tcW w:w="1334" w:type="dxa"/>
            <w:vAlign w:val="center"/>
          </w:tcPr>
          <w:p w:rsidR="007620AA" w:rsidRDefault="002C1539">
            <w:pPr>
              <w:jc w:val="center"/>
            </w:pPr>
            <w:r>
              <w:rPr>
                <w:color w:val="000000"/>
                <w:sz w:val="24"/>
                <w:szCs w:val="24"/>
              </w:rPr>
              <w:t>002045</w:t>
            </w:r>
          </w:p>
        </w:tc>
        <w:tc>
          <w:tcPr>
            <w:tcW w:w="1777" w:type="dxa"/>
            <w:vAlign w:val="center"/>
          </w:tcPr>
          <w:p w:rsidR="007620AA" w:rsidRDefault="002C1539">
            <w:pPr>
              <w:jc w:val="center"/>
            </w:pPr>
            <w:r>
              <w:rPr>
                <w:color w:val="000000"/>
                <w:sz w:val="24"/>
                <w:szCs w:val="24"/>
              </w:rPr>
              <w:t>国光电器</w:t>
            </w:r>
          </w:p>
        </w:tc>
        <w:tc>
          <w:tcPr>
            <w:tcW w:w="1334" w:type="dxa"/>
            <w:vAlign w:val="center"/>
          </w:tcPr>
          <w:p w:rsidR="007620AA" w:rsidRDefault="002C1539">
            <w:pPr>
              <w:jc w:val="right"/>
            </w:pPr>
            <w:r>
              <w:rPr>
                <w:color w:val="000000"/>
                <w:sz w:val="24"/>
                <w:szCs w:val="24"/>
              </w:rPr>
              <w:t>8,024,759</w:t>
            </w:r>
          </w:p>
        </w:tc>
        <w:tc>
          <w:tcPr>
            <w:tcW w:w="1924" w:type="dxa"/>
            <w:vAlign w:val="center"/>
          </w:tcPr>
          <w:p w:rsidR="007620AA" w:rsidRDefault="002C1539">
            <w:pPr>
              <w:jc w:val="right"/>
            </w:pPr>
            <w:r>
              <w:rPr>
                <w:color w:val="000000"/>
                <w:sz w:val="24"/>
                <w:szCs w:val="24"/>
              </w:rPr>
              <w:t>99,908,249.55</w:t>
            </w:r>
          </w:p>
        </w:tc>
        <w:tc>
          <w:tcPr>
            <w:tcW w:w="1644" w:type="dxa"/>
            <w:vAlign w:val="center"/>
          </w:tcPr>
          <w:p w:rsidR="007620AA" w:rsidRDefault="002C1539">
            <w:pPr>
              <w:jc w:val="right"/>
            </w:pPr>
            <w:r>
              <w:rPr>
                <w:color w:val="000000"/>
                <w:sz w:val="24"/>
                <w:szCs w:val="24"/>
              </w:rPr>
              <w:t>3.10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169,731,000.00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169,731,000.00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169,731,000.00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620AA">
        <w:trPr>
          <w:jc w:val="center"/>
        </w:trPr>
        <w:tc>
          <w:tcPr>
            <w:tcW w:w="850" w:type="dxa"/>
            <w:vAlign w:val="center"/>
          </w:tcPr>
          <w:p w:rsidR="007620AA" w:rsidRDefault="002C1539">
            <w:pPr>
              <w:jc w:val="center"/>
            </w:pPr>
            <w:r>
              <w:rPr>
                <w:color w:val="000000"/>
                <w:sz w:val="24"/>
                <w:szCs w:val="24"/>
              </w:rPr>
              <w:t>1</w:t>
            </w:r>
          </w:p>
        </w:tc>
        <w:tc>
          <w:tcPr>
            <w:tcW w:w="1475" w:type="dxa"/>
            <w:vAlign w:val="center"/>
          </w:tcPr>
          <w:p w:rsidR="007620AA" w:rsidRDefault="002C1539">
            <w:pPr>
              <w:jc w:val="center"/>
            </w:pPr>
            <w:r>
              <w:rPr>
                <w:color w:val="000000"/>
                <w:sz w:val="24"/>
                <w:szCs w:val="24"/>
              </w:rPr>
              <w:t>160414</w:t>
            </w:r>
          </w:p>
        </w:tc>
        <w:tc>
          <w:tcPr>
            <w:tcW w:w="1769" w:type="dxa"/>
            <w:vAlign w:val="center"/>
          </w:tcPr>
          <w:p w:rsidR="007620AA" w:rsidRDefault="002C1539">
            <w:pPr>
              <w:jc w:val="center"/>
            </w:pPr>
            <w:r>
              <w:rPr>
                <w:color w:val="000000"/>
                <w:sz w:val="24"/>
                <w:szCs w:val="24"/>
              </w:rPr>
              <w:t>16</w:t>
            </w:r>
            <w:r>
              <w:rPr>
                <w:color w:val="000000"/>
                <w:sz w:val="24"/>
                <w:szCs w:val="24"/>
              </w:rPr>
              <w:t>农发</w:t>
            </w:r>
            <w:r>
              <w:rPr>
                <w:color w:val="000000"/>
                <w:sz w:val="24"/>
                <w:szCs w:val="24"/>
              </w:rPr>
              <w:t>14</w:t>
            </w:r>
          </w:p>
        </w:tc>
        <w:tc>
          <w:tcPr>
            <w:tcW w:w="1387" w:type="dxa"/>
            <w:vAlign w:val="center"/>
          </w:tcPr>
          <w:p w:rsidR="007620AA" w:rsidRDefault="002C1539">
            <w:pPr>
              <w:jc w:val="right"/>
            </w:pPr>
            <w:r>
              <w:rPr>
                <w:color w:val="000000"/>
                <w:sz w:val="24"/>
                <w:szCs w:val="24"/>
              </w:rPr>
              <w:t>1,000,000</w:t>
            </w:r>
          </w:p>
        </w:tc>
        <w:tc>
          <w:tcPr>
            <w:tcW w:w="2150" w:type="dxa"/>
            <w:vAlign w:val="center"/>
          </w:tcPr>
          <w:p w:rsidR="007620AA" w:rsidRDefault="002C1539">
            <w:pPr>
              <w:jc w:val="right"/>
            </w:pPr>
            <w:r>
              <w:rPr>
                <w:color w:val="000000"/>
                <w:sz w:val="24"/>
                <w:szCs w:val="24"/>
              </w:rPr>
              <w:t>99,850,000.00</w:t>
            </w:r>
          </w:p>
        </w:tc>
        <w:tc>
          <w:tcPr>
            <w:tcW w:w="1237" w:type="dxa"/>
            <w:vAlign w:val="center"/>
          </w:tcPr>
          <w:p w:rsidR="007620AA" w:rsidRDefault="002C1539">
            <w:pPr>
              <w:jc w:val="right"/>
            </w:pPr>
            <w:r>
              <w:rPr>
                <w:color w:val="000000"/>
                <w:sz w:val="24"/>
                <w:szCs w:val="24"/>
              </w:rPr>
              <w:t>3.10</w:t>
            </w:r>
          </w:p>
        </w:tc>
      </w:tr>
      <w:tr w:rsidR="007620AA">
        <w:trPr>
          <w:jc w:val="center"/>
        </w:trPr>
        <w:tc>
          <w:tcPr>
            <w:tcW w:w="850" w:type="dxa"/>
            <w:vAlign w:val="center"/>
          </w:tcPr>
          <w:p w:rsidR="007620AA" w:rsidRDefault="002C1539">
            <w:pPr>
              <w:jc w:val="center"/>
            </w:pPr>
            <w:r>
              <w:rPr>
                <w:color w:val="000000"/>
                <w:sz w:val="24"/>
                <w:szCs w:val="24"/>
              </w:rPr>
              <w:t>2</w:t>
            </w:r>
          </w:p>
        </w:tc>
        <w:tc>
          <w:tcPr>
            <w:tcW w:w="1475" w:type="dxa"/>
            <w:vAlign w:val="center"/>
          </w:tcPr>
          <w:p w:rsidR="007620AA" w:rsidRDefault="002C1539">
            <w:pPr>
              <w:jc w:val="center"/>
            </w:pPr>
            <w:r>
              <w:rPr>
                <w:color w:val="000000"/>
                <w:sz w:val="24"/>
                <w:szCs w:val="24"/>
              </w:rPr>
              <w:t>160211</w:t>
            </w:r>
          </w:p>
        </w:tc>
        <w:tc>
          <w:tcPr>
            <w:tcW w:w="1769" w:type="dxa"/>
            <w:vAlign w:val="center"/>
          </w:tcPr>
          <w:p w:rsidR="007620AA" w:rsidRDefault="002C1539">
            <w:pPr>
              <w:jc w:val="center"/>
            </w:pPr>
            <w:r>
              <w:rPr>
                <w:color w:val="000000"/>
                <w:sz w:val="24"/>
                <w:szCs w:val="24"/>
              </w:rPr>
              <w:t>16</w:t>
            </w:r>
            <w:r>
              <w:rPr>
                <w:color w:val="000000"/>
                <w:sz w:val="24"/>
                <w:szCs w:val="24"/>
              </w:rPr>
              <w:t>国开</w:t>
            </w:r>
            <w:r>
              <w:rPr>
                <w:color w:val="000000"/>
                <w:sz w:val="24"/>
                <w:szCs w:val="24"/>
              </w:rPr>
              <w:t>11</w:t>
            </w:r>
          </w:p>
        </w:tc>
        <w:tc>
          <w:tcPr>
            <w:tcW w:w="1387" w:type="dxa"/>
            <w:vAlign w:val="center"/>
          </w:tcPr>
          <w:p w:rsidR="007620AA" w:rsidRDefault="002C1539">
            <w:pPr>
              <w:jc w:val="right"/>
            </w:pPr>
            <w:r>
              <w:rPr>
                <w:color w:val="000000"/>
                <w:sz w:val="24"/>
                <w:szCs w:val="24"/>
              </w:rPr>
              <w:t>700,000</w:t>
            </w:r>
          </w:p>
        </w:tc>
        <w:tc>
          <w:tcPr>
            <w:tcW w:w="2150" w:type="dxa"/>
            <w:vAlign w:val="center"/>
          </w:tcPr>
          <w:p w:rsidR="007620AA" w:rsidRDefault="002C1539">
            <w:pPr>
              <w:jc w:val="right"/>
            </w:pPr>
            <w:r>
              <w:rPr>
                <w:color w:val="000000"/>
                <w:sz w:val="24"/>
                <w:szCs w:val="24"/>
              </w:rPr>
              <w:t>69,881,000.00</w:t>
            </w:r>
          </w:p>
        </w:tc>
        <w:tc>
          <w:tcPr>
            <w:tcW w:w="1237" w:type="dxa"/>
            <w:vAlign w:val="center"/>
          </w:tcPr>
          <w:p w:rsidR="007620AA" w:rsidRDefault="002C1539">
            <w:pPr>
              <w:jc w:val="right"/>
            </w:pPr>
            <w:r>
              <w:rPr>
                <w:color w:val="000000"/>
                <w:sz w:val="24"/>
                <w:szCs w:val="24"/>
              </w:rPr>
              <w:t>2.17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报告期内本基金投资的前十名证券的发行主体除中泰桥梁（证券代码：</w:t>
      </w:r>
      <w:r w:rsidRPr="00BE5388">
        <w:rPr>
          <w:bCs/>
          <w:color w:val="000000"/>
          <w:kern w:val="0"/>
          <w:sz w:val="24"/>
          <w:szCs w:val="24"/>
        </w:rPr>
        <w:t>002659</w:t>
      </w:r>
      <w:r w:rsidRPr="00BE5388">
        <w:rPr>
          <w:bCs/>
          <w:color w:val="000000"/>
          <w:kern w:val="0"/>
          <w:sz w:val="24"/>
          <w:szCs w:val="24"/>
        </w:rPr>
        <w:t>）外，未出现被监管部门立案调查，或在报告编制日前一年内受到公开谴责、处罚的情形。</w:t>
      </w:r>
    </w:p>
    <w:p w:rsidR="007620AA" w:rsidRDefault="002C1539">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报告期内本基金投资的前十名证券之一中泰桥梁（证券代码：</w:t>
      </w:r>
      <w:r>
        <w:rPr>
          <w:bCs/>
          <w:color w:val="000000"/>
          <w:kern w:val="0"/>
          <w:sz w:val="24"/>
          <w:szCs w:val="24"/>
        </w:rPr>
        <w:t>002659</w:t>
      </w:r>
      <w:r>
        <w:rPr>
          <w:bCs/>
          <w:color w:val="000000"/>
          <w:kern w:val="0"/>
          <w:sz w:val="24"/>
          <w:szCs w:val="24"/>
        </w:rPr>
        <w:t>）于</w:t>
      </w:r>
      <w:r>
        <w:rPr>
          <w:bCs/>
          <w:color w:val="000000"/>
          <w:kern w:val="0"/>
          <w:sz w:val="24"/>
          <w:szCs w:val="24"/>
        </w:rPr>
        <w:t>2016</w:t>
      </w:r>
      <w:r>
        <w:rPr>
          <w:bCs/>
          <w:color w:val="000000"/>
          <w:kern w:val="0"/>
          <w:sz w:val="24"/>
          <w:szCs w:val="24"/>
        </w:rPr>
        <w:t>年</w:t>
      </w:r>
      <w:r>
        <w:rPr>
          <w:bCs/>
          <w:color w:val="000000"/>
          <w:kern w:val="0"/>
          <w:sz w:val="24"/>
          <w:szCs w:val="24"/>
        </w:rPr>
        <w:t>10</w:t>
      </w:r>
      <w:r>
        <w:rPr>
          <w:bCs/>
          <w:color w:val="000000"/>
          <w:kern w:val="0"/>
          <w:sz w:val="24"/>
          <w:szCs w:val="24"/>
        </w:rPr>
        <w:t>月</w:t>
      </w:r>
      <w:r>
        <w:rPr>
          <w:bCs/>
          <w:color w:val="000000"/>
          <w:kern w:val="0"/>
          <w:sz w:val="24"/>
          <w:szCs w:val="24"/>
        </w:rPr>
        <w:t>20</w:t>
      </w:r>
      <w:r>
        <w:rPr>
          <w:bCs/>
          <w:color w:val="000000"/>
          <w:kern w:val="0"/>
          <w:sz w:val="24"/>
          <w:szCs w:val="24"/>
        </w:rPr>
        <w:t>日公告，公司控股子公司北京文凯兴教育投资有限责任公司因违反了《北京市城乡规划条例》收到北京市规划和国土资源管理委员会于</w:t>
      </w:r>
      <w:r>
        <w:rPr>
          <w:bCs/>
          <w:color w:val="000000"/>
          <w:kern w:val="0"/>
          <w:sz w:val="24"/>
          <w:szCs w:val="24"/>
        </w:rPr>
        <w:t>2016</w:t>
      </w:r>
      <w:r>
        <w:rPr>
          <w:bCs/>
          <w:color w:val="000000"/>
          <w:kern w:val="0"/>
          <w:sz w:val="24"/>
          <w:szCs w:val="24"/>
        </w:rPr>
        <w:t>年</w:t>
      </w:r>
      <w:r>
        <w:rPr>
          <w:bCs/>
          <w:color w:val="000000"/>
          <w:kern w:val="0"/>
          <w:sz w:val="24"/>
          <w:szCs w:val="24"/>
        </w:rPr>
        <w:t>10</w:t>
      </w:r>
      <w:r>
        <w:rPr>
          <w:bCs/>
          <w:color w:val="000000"/>
          <w:kern w:val="0"/>
          <w:sz w:val="24"/>
          <w:szCs w:val="24"/>
        </w:rPr>
        <w:t>月</w:t>
      </w:r>
      <w:r>
        <w:rPr>
          <w:bCs/>
          <w:color w:val="000000"/>
          <w:kern w:val="0"/>
          <w:sz w:val="24"/>
          <w:szCs w:val="24"/>
        </w:rPr>
        <w:t>18</w:t>
      </w:r>
      <w:r>
        <w:rPr>
          <w:bCs/>
          <w:color w:val="000000"/>
          <w:kern w:val="0"/>
          <w:sz w:val="24"/>
          <w:szCs w:val="24"/>
        </w:rPr>
        <w:t>日出具的《行政处罚决定书》。据此，北京市规划和国土资源管理委员会决定对北京文凯兴教育投资有限责任公司处以罚款</w:t>
      </w:r>
      <w:r>
        <w:rPr>
          <w:bCs/>
          <w:color w:val="000000"/>
          <w:kern w:val="0"/>
          <w:sz w:val="24"/>
          <w:szCs w:val="24"/>
        </w:rPr>
        <w:t>14,284,788.1</w:t>
      </w:r>
      <w:r>
        <w:rPr>
          <w:bCs/>
          <w:color w:val="000000"/>
          <w:kern w:val="0"/>
          <w:sz w:val="24"/>
          <w:szCs w:val="24"/>
        </w:rPr>
        <w:t>元。</w:t>
      </w:r>
    </w:p>
    <w:p w:rsidR="007620AA" w:rsidRDefault="002C1539">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3,038,631.62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3,098,276.34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743,178.50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6,880,086.46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620AA">
        <w:trPr>
          <w:jc w:val="center"/>
        </w:trPr>
        <w:tc>
          <w:tcPr>
            <w:tcW w:w="1129" w:type="dxa"/>
            <w:vAlign w:val="center"/>
          </w:tcPr>
          <w:p w:rsidR="007620AA" w:rsidRDefault="002C1539">
            <w:pPr>
              <w:jc w:val="center"/>
            </w:pPr>
            <w:r>
              <w:rPr>
                <w:color w:val="000000"/>
                <w:sz w:val="24"/>
                <w:szCs w:val="24"/>
              </w:rPr>
              <w:t>1</w:t>
            </w:r>
          </w:p>
        </w:tc>
        <w:tc>
          <w:tcPr>
            <w:tcW w:w="1356" w:type="dxa"/>
            <w:vAlign w:val="center"/>
          </w:tcPr>
          <w:p w:rsidR="007620AA" w:rsidRDefault="002C1539">
            <w:pPr>
              <w:jc w:val="center"/>
            </w:pPr>
            <w:r>
              <w:rPr>
                <w:color w:val="000000"/>
                <w:sz w:val="24"/>
                <w:szCs w:val="24"/>
              </w:rPr>
              <w:t>002659</w:t>
            </w:r>
          </w:p>
        </w:tc>
        <w:tc>
          <w:tcPr>
            <w:tcW w:w="1355" w:type="dxa"/>
            <w:vAlign w:val="center"/>
          </w:tcPr>
          <w:p w:rsidR="007620AA" w:rsidRDefault="002C1539">
            <w:pPr>
              <w:jc w:val="center"/>
            </w:pPr>
            <w:r>
              <w:rPr>
                <w:color w:val="000000"/>
                <w:sz w:val="24"/>
                <w:szCs w:val="24"/>
              </w:rPr>
              <w:t>中泰桥梁</w:t>
            </w:r>
          </w:p>
        </w:tc>
        <w:tc>
          <w:tcPr>
            <w:tcW w:w="1880" w:type="dxa"/>
            <w:vAlign w:val="center"/>
          </w:tcPr>
          <w:p w:rsidR="007620AA" w:rsidRDefault="002C1539">
            <w:pPr>
              <w:jc w:val="right"/>
            </w:pPr>
            <w:r>
              <w:rPr>
                <w:color w:val="000000"/>
                <w:sz w:val="24"/>
                <w:szCs w:val="24"/>
              </w:rPr>
              <w:t>114,783,446.94</w:t>
            </w:r>
          </w:p>
        </w:tc>
        <w:tc>
          <w:tcPr>
            <w:tcW w:w="1724" w:type="dxa"/>
            <w:vAlign w:val="center"/>
          </w:tcPr>
          <w:p w:rsidR="007620AA" w:rsidRDefault="002C1539">
            <w:pPr>
              <w:jc w:val="right"/>
            </w:pPr>
            <w:r>
              <w:rPr>
                <w:color w:val="000000"/>
                <w:sz w:val="24"/>
                <w:szCs w:val="24"/>
              </w:rPr>
              <w:t>3.56</w:t>
            </w:r>
          </w:p>
        </w:tc>
        <w:tc>
          <w:tcPr>
            <w:tcW w:w="1424" w:type="dxa"/>
            <w:vAlign w:val="center"/>
          </w:tcPr>
          <w:p w:rsidR="007620AA" w:rsidRDefault="002C1539">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4,122,649,750.49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2,394,059,853.46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840,647,368.55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5,676,062,235.40</w:t>
            </w:r>
          </w:p>
        </w:tc>
      </w:tr>
    </w:tbl>
    <w:p w:rsidR="007620AA" w:rsidRDefault="002C153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161,014,098.54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38,798,577.97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199,812,676.51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0.00</w:t>
            </w:r>
          </w:p>
        </w:tc>
      </w:tr>
    </w:tbl>
    <w:p w:rsidR="007620AA" w:rsidRDefault="002C153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892"/>
        <w:gridCol w:w="1701"/>
        <w:gridCol w:w="1150"/>
      </w:tblGrid>
      <w:tr w:rsidR="00320300" w:rsidRPr="00414345" w:rsidTr="003808EC">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77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17"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89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150"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7620AA" w:rsidTr="003808EC">
        <w:trPr>
          <w:jc w:val="center"/>
        </w:trPr>
        <w:tc>
          <w:tcPr>
            <w:tcW w:w="1032" w:type="dxa"/>
            <w:vAlign w:val="center"/>
          </w:tcPr>
          <w:p w:rsidR="007620AA" w:rsidRDefault="002C1539">
            <w:pPr>
              <w:jc w:val="center"/>
            </w:pPr>
            <w:r>
              <w:rPr>
                <w:color w:val="000000"/>
                <w:sz w:val="24"/>
              </w:rPr>
              <w:t>1</w:t>
            </w:r>
          </w:p>
        </w:tc>
        <w:tc>
          <w:tcPr>
            <w:tcW w:w="1776" w:type="dxa"/>
            <w:vAlign w:val="center"/>
          </w:tcPr>
          <w:p w:rsidR="007620AA" w:rsidRDefault="002C1539">
            <w:pPr>
              <w:jc w:val="center"/>
            </w:pPr>
            <w:r>
              <w:rPr>
                <w:color w:val="000000"/>
                <w:sz w:val="24"/>
              </w:rPr>
              <w:t>红利再投</w:t>
            </w:r>
          </w:p>
        </w:tc>
        <w:tc>
          <w:tcPr>
            <w:tcW w:w="1317" w:type="dxa"/>
            <w:vAlign w:val="center"/>
          </w:tcPr>
          <w:p w:rsidR="007620AA" w:rsidRDefault="002C1539">
            <w:pPr>
              <w:jc w:val="center"/>
            </w:pPr>
            <w:r>
              <w:rPr>
                <w:color w:val="000000"/>
                <w:sz w:val="24"/>
              </w:rPr>
              <w:t>2016-11-11</w:t>
            </w:r>
          </w:p>
        </w:tc>
        <w:tc>
          <w:tcPr>
            <w:tcW w:w="1892" w:type="dxa"/>
            <w:vAlign w:val="center"/>
          </w:tcPr>
          <w:p w:rsidR="007620AA" w:rsidRDefault="002C1539">
            <w:pPr>
              <w:jc w:val="right"/>
            </w:pPr>
            <w:r>
              <w:rPr>
                <w:color w:val="000000"/>
                <w:sz w:val="24"/>
              </w:rPr>
              <w:t>38,798,577.97</w:t>
            </w:r>
          </w:p>
        </w:tc>
        <w:tc>
          <w:tcPr>
            <w:tcW w:w="1701" w:type="dxa"/>
            <w:vAlign w:val="center"/>
          </w:tcPr>
          <w:p w:rsidR="007620AA" w:rsidRDefault="002C1539">
            <w:pPr>
              <w:jc w:val="right"/>
            </w:pPr>
            <w:r>
              <w:rPr>
                <w:color w:val="000000"/>
                <w:sz w:val="24"/>
              </w:rPr>
              <w:t>22,541,973.80</w:t>
            </w:r>
          </w:p>
        </w:tc>
        <w:tc>
          <w:tcPr>
            <w:tcW w:w="1150" w:type="dxa"/>
            <w:vAlign w:val="center"/>
          </w:tcPr>
          <w:p w:rsidR="007620AA" w:rsidRDefault="002C1539">
            <w:pPr>
              <w:jc w:val="center"/>
            </w:pPr>
            <w:r>
              <w:rPr>
                <w:color w:val="000000"/>
                <w:sz w:val="24"/>
              </w:rPr>
              <w:t>0.00%</w:t>
            </w:r>
          </w:p>
        </w:tc>
      </w:tr>
      <w:tr w:rsidR="007620AA" w:rsidTr="003808EC">
        <w:trPr>
          <w:jc w:val="center"/>
        </w:trPr>
        <w:tc>
          <w:tcPr>
            <w:tcW w:w="1032" w:type="dxa"/>
            <w:vAlign w:val="center"/>
          </w:tcPr>
          <w:p w:rsidR="007620AA" w:rsidRDefault="002C1539">
            <w:pPr>
              <w:jc w:val="center"/>
            </w:pPr>
            <w:r>
              <w:rPr>
                <w:color w:val="000000"/>
                <w:sz w:val="24"/>
              </w:rPr>
              <w:t>2</w:t>
            </w:r>
          </w:p>
        </w:tc>
        <w:tc>
          <w:tcPr>
            <w:tcW w:w="1776" w:type="dxa"/>
            <w:vAlign w:val="center"/>
          </w:tcPr>
          <w:p w:rsidR="007620AA" w:rsidRDefault="002C1539">
            <w:pPr>
              <w:jc w:val="center"/>
            </w:pPr>
            <w:r>
              <w:rPr>
                <w:color w:val="000000"/>
                <w:sz w:val="24"/>
              </w:rPr>
              <w:t>赎回</w:t>
            </w:r>
          </w:p>
        </w:tc>
        <w:tc>
          <w:tcPr>
            <w:tcW w:w="1317" w:type="dxa"/>
            <w:vAlign w:val="center"/>
          </w:tcPr>
          <w:p w:rsidR="007620AA" w:rsidRDefault="002C1539">
            <w:pPr>
              <w:jc w:val="center"/>
            </w:pPr>
            <w:r>
              <w:rPr>
                <w:color w:val="000000"/>
                <w:sz w:val="24"/>
              </w:rPr>
              <w:t>2016-12-27</w:t>
            </w:r>
          </w:p>
        </w:tc>
        <w:tc>
          <w:tcPr>
            <w:tcW w:w="1892" w:type="dxa"/>
            <w:vAlign w:val="center"/>
          </w:tcPr>
          <w:p w:rsidR="007620AA" w:rsidRDefault="00200DDE">
            <w:pPr>
              <w:jc w:val="right"/>
            </w:pPr>
            <w:r w:rsidRPr="00200DDE">
              <w:rPr>
                <w:color w:val="000000"/>
                <w:sz w:val="24"/>
              </w:rPr>
              <w:t>-199,812,676.51</w:t>
            </w:r>
          </w:p>
        </w:tc>
        <w:tc>
          <w:tcPr>
            <w:tcW w:w="1701" w:type="dxa"/>
            <w:vAlign w:val="center"/>
          </w:tcPr>
          <w:p w:rsidR="007620AA" w:rsidRDefault="00200DDE">
            <w:pPr>
              <w:jc w:val="right"/>
            </w:pPr>
            <w:r w:rsidRPr="00200DDE">
              <w:rPr>
                <w:color w:val="000000"/>
                <w:sz w:val="24"/>
              </w:rPr>
              <w:t>-113,591,867.27</w:t>
            </w:r>
          </w:p>
        </w:tc>
        <w:tc>
          <w:tcPr>
            <w:tcW w:w="1150" w:type="dxa"/>
            <w:vAlign w:val="center"/>
          </w:tcPr>
          <w:p w:rsidR="007620AA" w:rsidRDefault="002C1539">
            <w:pPr>
              <w:jc w:val="center"/>
            </w:pPr>
            <w:r>
              <w:rPr>
                <w:color w:val="000000"/>
                <w:sz w:val="24"/>
              </w:rPr>
              <w:t>0.27%</w:t>
            </w:r>
          </w:p>
        </w:tc>
      </w:tr>
      <w:tr w:rsidR="00320300" w:rsidRPr="00414345" w:rsidTr="003808EC">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776"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17"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892" w:type="dxa"/>
            <w:vAlign w:val="center"/>
          </w:tcPr>
          <w:p w:rsidR="00320300" w:rsidRPr="00414345" w:rsidRDefault="003808EC" w:rsidP="00C15CAC">
            <w:pPr>
              <w:adjustRightInd w:val="0"/>
              <w:snapToGrid w:val="0"/>
              <w:spacing w:before="29" w:line="288" w:lineRule="auto"/>
              <w:jc w:val="right"/>
              <w:rPr>
                <w:color w:val="000000"/>
                <w:sz w:val="24"/>
              </w:rPr>
            </w:pPr>
            <w:r w:rsidRPr="003808EC">
              <w:rPr>
                <w:color w:val="000000"/>
                <w:sz w:val="24"/>
              </w:rPr>
              <w:t>-161,014,098.54</w:t>
            </w:r>
          </w:p>
        </w:tc>
        <w:tc>
          <w:tcPr>
            <w:tcW w:w="1701" w:type="dxa"/>
            <w:vAlign w:val="center"/>
          </w:tcPr>
          <w:p w:rsidR="00320300" w:rsidRPr="00414345" w:rsidRDefault="003808EC" w:rsidP="00C15CAC">
            <w:pPr>
              <w:adjustRightInd w:val="0"/>
              <w:snapToGrid w:val="0"/>
              <w:spacing w:before="29" w:line="288" w:lineRule="auto"/>
              <w:jc w:val="right"/>
              <w:rPr>
                <w:color w:val="000000"/>
                <w:sz w:val="24"/>
              </w:rPr>
            </w:pPr>
            <w:r w:rsidRPr="003808EC">
              <w:rPr>
                <w:color w:val="000000"/>
                <w:sz w:val="24"/>
              </w:rPr>
              <w:t>-91,049,893.47</w:t>
            </w:r>
          </w:p>
        </w:tc>
        <w:tc>
          <w:tcPr>
            <w:tcW w:w="1150"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7620AA" w:rsidRDefault="002C153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620AA" w:rsidRDefault="002C153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7620AA" w:rsidRDefault="002C153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1F9" w:rsidRDefault="000761F9" w:rsidP="00876D65">
      <w:r>
        <w:separator/>
      </w:r>
    </w:p>
  </w:endnote>
  <w:endnote w:type="continuationSeparator" w:id="0">
    <w:p w:rsidR="000761F9" w:rsidRDefault="000761F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32022B">
      <w:rPr>
        <w:noProof/>
        <w:kern w:val="0"/>
        <w:szCs w:val="21"/>
      </w:rPr>
      <w:t>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32022B">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1F9" w:rsidRDefault="000761F9" w:rsidP="00876D65">
      <w:r>
        <w:separator/>
      </w:r>
    </w:p>
  </w:footnote>
  <w:footnote w:type="continuationSeparator" w:id="0">
    <w:p w:rsidR="000761F9" w:rsidRDefault="000761F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61F9"/>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DDE"/>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1539"/>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22B"/>
    <w:rsid w:val="00320300"/>
    <w:rsid w:val="00320E90"/>
    <w:rsid w:val="00324508"/>
    <w:rsid w:val="003259C8"/>
    <w:rsid w:val="003307FE"/>
    <w:rsid w:val="00330C0A"/>
    <w:rsid w:val="00333AD0"/>
    <w:rsid w:val="00336EAF"/>
    <w:rsid w:val="003470E2"/>
    <w:rsid w:val="0035076C"/>
    <w:rsid w:val="00352719"/>
    <w:rsid w:val="0035383E"/>
    <w:rsid w:val="00355364"/>
    <w:rsid w:val="00364CCB"/>
    <w:rsid w:val="00365798"/>
    <w:rsid w:val="003808EC"/>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20AA"/>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44FA3"/>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3B899-D99B-4C84-BE4B-12781F8F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2017-01-17T10:47:00Z</dcterms:created>
  <dcterms:modified xsi:type="dcterms:W3CDTF">2017-01-17T10:47:00Z</dcterms:modified>
</cp:coreProperties>
</file>