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bookmarkStart w:id="0" w:name="_GoBack"/>
      <w:bookmarkEnd w:id="0"/>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交银施罗德中证海外中国互联网指数型证券投资基金</w:t>
      </w:r>
      <w:r w:rsidRPr="006A23FB">
        <w:rPr>
          <w:b/>
          <w:sz w:val="36"/>
          <w:szCs w:val="36"/>
        </w:rPr>
        <w:t>(LOF)</w:t>
      </w:r>
    </w:p>
    <w:p w:rsidR="00F22F00" w:rsidRPr="006A23FB" w:rsidRDefault="00F22F00" w:rsidP="005546C0">
      <w:pPr>
        <w:spacing w:before="29" w:line="288" w:lineRule="auto"/>
        <w:jc w:val="center"/>
        <w:rPr>
          <w:b/>
          <w:sz w:val="36"/>
          <w:szCs w:val="36"/>
        </w:rPr>
      </w:pPr>
      <w:r w:rsidRPr="006A23FB">
        <w:rPr>
          <w:b/>
          <w:sz w:val="36"/>
          <w:szCs w:val="36"/>
        </w:rPr>
        <w:t>2016</w:t>
      </w:r>
      <w:r w:rsidRPr="006A23FB">
        <w:rPr>
          <w:b/>
          <w:sz w:val="36"/>
          <w:szCs w:val="36"/>
        </w:rPr>
        <w:t>年第</w:t>
      </w:r>
      <w:r w:rsidRPr="006A23FB">
        <w:rPr>
          <w:b/>
          <w:sz w:val="36"/>
          <w:szCs w:val="36"/>
        </w:rPr>
        <w:t>4</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2016</w:t>
      </w:r>
      <w:r w:rsidRPr="006A23FB">
        <w:rPr>
          <w:b/>
          <w:sz w:val="36"/>
          <w:szCs w:val="36"/>
        </w:rPr>
        <w:t>年</w:t>
      </w:r>
      <w:r w:rsidRPr="006A23FB">
        <w:rPr>
          <w:b/>
          <w:sz w:val="36"/>
          <w:szCs w:val="36"/>
        </w:rPr>
        <w:t>12</w:t>
      </w:r>
      <w:r w:rsidRPr="006A23FB">
        <w:rPr>
          <w:b/>
          <w:sz w:val="36"/>
          <w:szCs w:val="36"/>
        </w:rPr>
        <w:t>月</w:t>
      </w:r>
      <w:r w:rsidRPr="006A23FB">
        <w:rPr>
          <w:b/>
          <w:sz w:val="36"/>
          <w:szCs w:val="36"/>
        </w:rPr>
        <w:t>31</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基金托管人：中国农业银行股份有限公司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二〇一七年一月十九日</w:t>
      </w:r>
    </w:p>
    <w:p w:rsidR="00CC4CB4" w:rsidRPr="008640AE" w:rsidRDefault="00CC4CB4" w:rsidP="005546C0">
      <w:pPr>
        <w:spacing w:before="29" w:line="288" w:lineRule="auto"/>
        <w:ind w:firstLineChars="900" w:firstLine="2168"/>
        <w:rPr>
          <w:b/>
          <w:color w:val="000000"/>
          <w:sz w:val="24"/>
        </w:rPr>
        <w:sectPr w:rsidR="00CC4CB4" w:rsidRPr="008640AE" w:rsidSect="002537A4">
          <w:headerReference w:type="default" r:id="rId7"/>
          <w:footerReference w:type="default" r:id="rId8"/>
          <w:pgSz w:w="11926" w:h="15840"/>
          <w:pgMar w:top="1418" w:right="1440" w:bottom="851" w:left="1440" w:header="851" w:footer="992" w:gutter="0"/>
          <w:cols w:space="720"/>
          <w:noEndnote/>
        </w:sectPr>
      </w:pPr>
    </w:p>
    <w:p w:rsidR="0076518F" w:rsidRPr="008640AE" w:rsidRDefault="0076518F" w:rsidP="0043363E">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4E2A05" w:rsidRDefault="008C0C73">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4E2A05" w:rsidRDefault="008C0C73">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1</w:t>
      </w:r>
      <w:r>
        <w:rPr>
          <w:color w:val="000000"/>
          <w:sz w:val="24"/>
        </w:rPr>
        <w:t>月</w:t>
      </w:r>
      <w:r>
        <w:rPr>
          <w:color w:val="000000"/>
          <w:sz w:val="24"/>
        </w:rPr>
        <w:t>18</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4E2A05" w:rsidRDefault="008C0C73">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4E2A05" w:rsidRDefault="008C0C73">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4E2A05" w:rsidRDefault="008C0C73">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2016</w:t>
      </w:r>
      <w:r w:rsidRPr="008640AE">
        <w:rPr>
          <w:color w:val="000000"/>
          <w:sz w:val="24"/>
        </w:rPr>
        <w:t>年</w:t>
      </w:r>
      <w:r w:rsidRPr="008640AE">
        <w:rPr>
          <w:color w:val="000000"/>
          <w:sz w:val="24"/>
        </w:rPr>
        <w:t>10</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12</w:t>
      </w:r>
      <w:r w:rsidRPr="008640AE">
        <w:rPr>
          <w:color w:val="000000"/>
          <w:sz w:val="24"/>
        </w:rPr>
        <w:t>月</w:t>
      </w:r>
      <w:r w:rsidRPr="008640AE">
        <w:rPr>
          <w:color w:val="000000"/>
          <w:sz w:val="24"/>
        </w:rPr>
        <w:t>31</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43363E">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交银中证海外中国互联网指数</w:t>
            </w:r>
            <w:r w:rsidRPr="008640AE">
              <w:rPr>
                <w:color w:val="000000"/>
                <w:kern w:val="0"/>
                <w:sz w:val="24"/>
              </w:rPr>
              <w:t>(QDII-LOF)</w:t>
            </w:r>
          </w:p>
        </w:tc>
      </w:tr>
      <w:tr w:rsidR="0010282F" w:rsidRPr="008640AE" w:rsidTr="0010282F">
        <w:trPr>
          <w:jc w:val="center"/>
        </w:trPr>
        <w:tc>
          <w:tcPr>
            <w:tcW w:w="3135" w:type="dxa"/>
            <w:vAlign w:val="center"/>
          </w:tcPr>
          <w:p w:rsidR="0010282F" w:rsidRDefault="0010282F">
            <w:pPr>
              <w:adjustRightInd w:val="0"/>
              <w:spacing w:before="29" w:line="288" w:lineRule="auto"/>
              <w:ind w:left="17"/>
              <w:jc w:val="left"/>
              <w:rPr>
                <w:kern w:val="0"/>
                <w:sz w:val="24"/>
              </w:rPr>
            </w:pPr>
            <w:r>
              <w:rPr>
                <w:rFonts w:hint="eastAsia"/>
                <w:kern w:val="0"/>
                <w:sz w:val="24"/>
              </w:rPr>
              <w:t>场内简称</w:t>
            </w:r>
          </w:p>
        </w:tc>
        <w:tc>
          <w:tcPr>
            <w:tcW w:w="5733" w:type="dxa"/>
            <w:vAlign w:val="center"/>
          </w:tcPr>
          <w:p w:rsidR="0010282F" w:rsidRDefault="0010282F">
            <w:pPr>
              <w:adjustRightInd w:val="0"/>
              <w:spacing w:before="29" w:line="288" w:lineRule="auto"/>
              <w:ind w:left="17"/>
              <w:jc w:val="left"/>
              <w:rPr>
                <w:color w:val="000000"/>
                <w:kern w:val="0"/>
                <w:sz w:val="24"/>
              </w:rPr>
            </w:pPr>
            <w:r>
              <w:rPr>
                <w:color w:val="000000"/>
                <w:kern w:val="0"/>
                <w:sz w:val="24"/>
              </w:rPr>
              <w:t>中国互联</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164906</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164906</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上市契约型开放式</w:t>
            </w:r>
            <w:r w:rsidRPr="008640AE">
              <w:rPr>
                <w:color w:val="000000"/>
                <w:kern w:val="0"/>
                <w:sz w:val="24"/>
              </w:rPr>
              <w:t>(LOF)</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2015</w:t>
            </w:r>
            <w:r w:rsidRPr="008640AE">
              <w:rPr>
                <w:color w:val="000000"/>
                <w:kern w:val="0"/>
                <w:sz w:val="24"/>
              </w:rPr>
              <w:t>年</w:t>
            </w:r>
            <w:r w:rsidRPr="008640AE">
              <w:rPr>
                <w:color w:val="000000"/>
                <w:kern w:val="0"/>
                <w:sz w:val="24"/>
              </w:rPr>
              <w:t>5</w:t>
            </w:r>
            <w:r w:rsidRPr="008640AE">
              <w:rPr>
                <w:color w:val="000000"/>
                <w:kern w:val="0"/>
                <w:sz w:val="24"/>
              </w:rPr>
              <w:t>月</w:t>
            </w:r>
            <w:r w:rsidRPr="008640AE">
              <w:rPr>
                <w:color w:val="000000"/>
                <w:kern w:val="0"/>
                <w:sz w:val="24"/>
              </w:rPr>
              <w:t>27</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441,902,540.74</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本基金紧密跟踪标的指数，追求跟踪偏离度与跟踪误差最小化。本基金力争控制本基金日均跟踪偏离度的绝对值不超过</w:t>
            </w:r>
            <w:r w:rsidRPr="008640AE">
              <w:rPr>
                <w:color w:val="000000"/>
                <w:kern w:val="0"/>
                <w:sz w:val="24"/>
              </w:rPr>
              <w:t>0.5%</w:t>
            </w:r>
            <w:r w:rsidRPr="008640AE">
              <w:rPr>
                <w:color w:val="000000"/>
                <w:kern w:val="0"/>
                <w:sz w:val="24"/>
              </w:rPr>
              <w:t>，年跟踪误差不超过</w:t>
            </w:r>
            <w:r w:rsidRPr="008640AE">
              <w:rPr>
                <w:color w:val="000000"/>
                <w:kern w:val="0"/>
                <w:sz w:val="24"/>
              </w:rPr>
              <w:t>5%</w:t>
            </w:r>
            <w:r w:rsidRPr="008640AE">
              <w:rPr>
                <w:color w:val="000000"/>
                <w:kern w:val="0"/>
                <w:sz w:val="24"/>
              </w:rPr>
              <w:t>。</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中证海外中国互联网指数收益率</w:t>
            </w:r>
            <w:r w:rsidRPr="008640AE">
              <w:rPr>
                <w:color w:val="000000"/>
                <w:kern w:val="0"/>
                <w:sz w:val="24"/>
              </w:rPr>
              <w:t>×95%</w:t>
            </w:r>
            <w:r w:rsidRPr="008640AE">
              <w:rPr>
                <w:color w:val="000000"/>
                <w:kern w:val="0"/>
                <w:sz w:val="24"/>
              </w:rPr>
              <w:t>＋银行活期存款利率（税后）</w:t>
            </w:r>
            <w:r w:rsidRPr="008640AE">
              <w:rPr>
                <w:color w:val="000000"/>
                <w:kern w:val="0"/>
                <w:sz w:val="24"/>
              </w:rPr>
              <w:t>×5%</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本基金是一只股票型基金，其预期风险与预期收益高于混合型基金、债券型基金和货币市场基金，属于承</w:t>
            </w:r>
            <w:r w:rsidRPr="008640AE">
              <w:rPr>
                <w:color w:val="000000"/>
                <w:kern w:val="0"/>
                <w:sz w:val="24"/>
              </w:rPr>
              <w:lastRenderedPageBreak/>
              <w:t>担较高风险、预期收益较高的证券投资基金品种。同时本基金为指数型基金，具有与标的指数相似的风险收益特征。</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中国农业银行股份有限公司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 National Association HONG KONG BRANCH</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摩根大通银行香港分行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43363E">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8C0C73" w:rsidRPr="008640AE" w:rsidTr="008C0C73">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(2016</w:t>
            </w:r>
            <w:r w:rsidRPr="008640AE">
              <w:rPr>
                <w:color w:val="000000"/>
                <w:sz w:val="24"/>
              </w:rPr>
              <w:t>年</w:t>
            </w:r>
            <w:r w:rsidRPr="008640AE">
              <w:rPr>
                <w:color w:val="000000"/>
                <w:sz w:val="24"/>
              </w:rPr>
              <w:t>10</w:t>
            </w:r>
            <w:r w:rsidRPr="008640AE">
              <w:rPr>
                <w:color w:val="000000"/>
                <w:sz w:val="24"/>
              </w:rPr>
              <w:t>月</w:t>
            </w:r>
            <w:r w:rsidRPr="008640AE">
              <w:rPr>
                <w:color w:val="000000"/>
                <w:sz w:val="24"/>
              </w:rPr>
              <w:t>1</w:t>
            </w:r>
            <w:r w:rsidRPr="008640AE">
              <w:rPr>
                <w:color w:val="000000"/>
                <w:sz w:val="24"/>
              </w:rPr>
              <w:t>日</w:t>
            </w:r>
            <w:r w:rsidRPr="008640AE">
              <w:rPr>
                <w:color w:val="000000"/>
                <w:sz w:val="24"/>
              </w:rPr>
              <w:t>-2016</w:t>
            </w:r>
            <w:r w:rsidRPr="008640AE">
              <w:rPr>
                <w:color w:val="000000"/>
                <w:sz w:val="24"/>
              </w:rPr>
              <w:t>年</w:t>
            </w:r>
            <w:r w:rsidRPr="008640AE">
              <w:rPr>
                <w:color w:val="000000"/>
                <w:sz w:val="24"/>
              </w:rPr>
              <w:t>12</w:t>
            </w:r>
            <w:r w:rsidRPr="008640AE">
              <w:rPr>
                <w:color w:val="000000"/>
                <w:sz w:val="24"/>
              </w:rPr>
              <w:t>月</w:t>
            </w:r>
            <w:r w:rsidRPr="008640AE">
              <w:rPr>
                <w:color w:val="000000"/>
                <w:sz w:val="24"/>
              </w:rPr>
              <w:t>31</w:t>
            </w:r>
            <w:r w:rsidRPr="008640AE">
              <w:rPr>
                <w:color w:val="000000"/>
                <w:sz w:val="24"/>
              </w:rPr>
              <w:t>日</w:t>
            </w:r>
            <w:r w:rsidRPr="008640AE">
              <w:rPr>
                <w:color w:val="000000"/>
                <w:sz w:val="24"/>
              </w:rPr>
              <w:t>)</w:t>
            </w:r>
          </w:p>
        </w:tc>
      </w:tr>
      <w:tr w:rsidR="008C0C73" w:rsidRPr="008640AE" w:rsidTr="008C0C73">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2,840,258.02</w:t>
            </w:r>
          </w:p>
        </w:tc>
      </w:tr>
      <w:tr w:rsidR="008C0C73" w:rsidRPr="008640AE" w:rsidTr="008C0C73">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-51,172,595.37</w:t>
            </w:r>
          </w:p>
        </w:tc>
      </w:tr>
      <w:tr w:rsidR="008C0C73" w:rsidRPr="008640AE" w:rsidTr="008C0C73">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-0.111</w:t>
            </w:r>
            <w:r w:rsidR="00CB7735">
              <w:rPr>
                <w:color w:val="000000"/>
                <w:sz w:val="24"/>
              </w:rPr>
              <w:t>1</w:t>
            </w:r>
          </w:p>
        </w:tc>
      </w:tr>
      <w:tr w:rsidR="008C0C73" w:rsidRPr="008640AE" w:rsidTr="008C0C73">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412,619,421.01</w:t>
            </w:r>
          </w:p>
        </w:tc>
      </w:tr>
      <w:tr w:rsidR="008C0C73" w:rsidRPr="008640AE" w:rsidTr="008C0C73">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0.934</w:t>
            </w:r>
          </w:p>
        </w:tc>
      </w:tr>
    </w:tbl>
    <w:p w:rsidR="004E2A05" w:rsidRDefault="008C0C7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8C0C73">
      <w:pPr>
        <w:autoSpaceDE w:val="0"/>
        <w:autoSpaceDN w:val="0"/>
        <w:adjustRightInd w:val="0"/>
        <w:spacing w:before="29" w:line="288" w:lineRule="auto"/>
        <w:ind w:firstLineChars="200" w:firstLine="480"/>
        <w:jc w:val="left"/>
        <w:rPr>
          <w:color w:val="000000"/>
          <w:sz w:val="24"/>
        </w:rPr>
      </w:pPr>
      <w:r w:rsidRPr="008640AE">
        <w:rPr>
          <w:color w:val="000000"/>
          <w:sz w:val="24"/>
        </w:rPr>
        <w:t>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b/>
            <w:color w:val="000000"/>
            <w:kern w:val="0"/>
            <w:sz w:val="24"/>
          </w:rPr>
          <w:t>3.2.1</w:t>
        </w:r>
      </w:smartTag>
      <w:r w:rsidR="004A36FD" w:rsidRPr="008640AE">
        <w:rPr>
          <w:b/>
          <w:color w:val="000000"/>
          <w:kern w:val="0"/>
          <w:sz w:val="24"/>
        </w:rPr>
        <w:t xml:space="preserve"> </w:t>
      </w:r>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4E2A05">
        <w:trPr>
          <w:jc w:val="center"/>
        </w:trPr>
        <w:tc>
          <w:tcPr>
            <w:tcW w:w="1701" w:type="dxa"/>
            <w:vAlign w:val="center"/>
          </w:tcPr>
          <w:p w:rsidR="004E2A05" w:rsidRDefault="008C0C73">
            <w:pPr>
              <w:jc w:val="left"/>
            </w:pPr>
            <w:r>
              <w:rPr>
                <w:color w:val="000000"/>
                <w:sz w:val="24"/>
              </w:rPr>
              <w:t>过去三个月</w:t>
            </w:r>
          </w:p>
        </w:tc>
        <w:tc>
          <w:tcPr>
            <w:tcW w:w="1194" w:type="dxa"/>
            <w:vAlign w:val="center"/>
          </w:tcPr>
          <w:p w:rsidR="004E2A05" w:rsidRDefault="008C0C73">
            <w:pPr>
              <w:jc w:val="right"/>
            </w:pPr>
            <w:r>
              <w:rPr>
                <w:color w:val="000000"/>
                <w:sz w:val="24"/>
              </w:rPr>
              <w:t>-10.71%</w:t>
            </w:r>
          </w:p>
        </w:tc>
        <w:tc>
          <w:tcPr>
            <w:tcW w:w="1194" w:type="dxa"/>
            <w:vAlign w:val="center"/>
          </w:tcPr>
          <w:p w:rsidR="004E2A05" w:rsidRDefault="008C0C73">
            <w:pPr>
              <w:jc w:val="right"/>
            </w:pPr>
            <w:r>
              <w:rPr>
                <w:color w:val="000000"/>
                <w:sz w:val="24"/>
              </w:rPr>
              <w:t>1.19%</w:t>
            </w:r>
          </w:p>
        </w:tc>
        <w:tc>
          <w:tcPr>
            <w:tcW w:w="1194" w:type="dxa"/>
            <w:vAlign w:val="center"/>
          </w:tcPr>
          <w:p w:rsidR="004E2A05" w:rsidRDefault="008C0C73">
            <w:pPr>
              <w:jc w:val="right"/>
            </w:pPr>
            <w:r>
              <w:rPr>
                <w:color w:val="000000"/>
                <w:sz w:val="24"/>
              </w:rPr>
              <w:t>-13.70%</w:t>
            </w:r>
          </w:p>
        </w:tc>
        <w:tc>
          <w:tcPr>
            <w:tcW w:w="1343" w:type="dxa"/>
            <w:vAlign w:val="center"/>
          </w:tcPr>
          <w:p w:rsidR="004E2A05" w:rsidRDefault="008C0C73">
            <w:pPr>
              <w:jc w:val="right"/>
            </w:pPr>
            <w:r>
              <w:rPr>
                <w:color w:val="000000"/>
                <w:sz w:val="24"/>
              </w:rPr>
              <w:t>1.15%</w:t>
            </w:r>
          </w:p>
        </w:tc>
        <w:tc>
          <w:tcPr>
            <w:tcW w:w="1194" w:type="dxa"/>
            <w:vAlign w:val="center"/>
          </w:tcPr>
          <w:p w:rsidR="004E2A05" w:rsidRDefault="008C0C73">
            <w:pPr>
              <w:jc w:val="right"/>
            </w:pPr>
            <w:r>
              <w:rPr>
                <w:color w:val="000000"/>
                <w:sz w:val="24"/>
              </w:rPr>
              <w:t>2.99%</w:t>
            </w:r>
          </w:p>
        </w:tc>
        <w:tc>
          <w:tcPr>
            <w:tcW w:w="1048" w:type="dxa"/>
            <w:vAlign w:val="center"/>
          </w:tcPr>
          <w:p w:rsidR="004E2A05" w:rsidRDefault="008C0C73">
            <w:pPr>
              <w:jc w:val="right"/>
            </w:pPr>
            <w:r>
              <w:rPr>
                <w:color w:val="000000"/>
                <w:sz w:val="24"/>
              </w:rPr>
              <w:t>0.04%</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lastRenderedPageBreak/>
        <w:t>3.2.2</w:t>
      </w:r>
      <w:r w:rsidR="00E97B3C">
        <w:rPr>
          <w:rFonts w:hint="eastAsia"/>
          <w:b/>
          <w:color w:val="000000"/>
          <w:kern w:val="0"/>
          <w:sz w:val="24"/>
        </w:rPr>
        <w:t xml:space="preserve">  </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交银施罗德中证海外中国互联网指数型证券投资基金</w:t>
      </w:r>
      <w:r w:rsidRPr="008640AE">
        <w:rPr>
          <w:sz w:val="24"/>
        </w:rPr>
        <w:t>(LOF)</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2015</w:t>
      </w:r>
      <w:r w:rsidR="00623556" w:rsidRPr="008640AE">
        <w:rPr>
          <w:color w:val="000000"/>
          <w:kern w:val="0"/>
          <w:sz w:val="24"/>
        </w:rPr>
        <w:t>年</w:t>
      </w:r>
      <w:r w:rsidR="00623556" w:rsidRPr="008640AE">
        <w:rPr>
          <w:color w:val="000000"/>
          <w:kern w:val="0"/>
          <w:sz w:val="24"/>
        </w:rPr>
        <w:t>5</w:t>
      </w:r>
      <w:r w:rsidR="00623556" w:rsidRPr="008640AE">
        <w:rPr>
          <w:color w:val="000000"/>
          <w:kern w:val="0"/>
          <w:sz w:val="24"/>
        </w:rPr>
        <w:t>月</w:t>
      </w:r>
      <w:r w:rsidR="00623556" w:rsidRPr="008640AE">
        <w:rPr>
          <w:color w:val="000000"/>
          <w:kern w:val="0"/>
          <w:sz w:val="24"/>
        </w:rPr>
        <w:t>27</w:t>
      </w:r>
      <w:r w:rsidR="00623556" w:rsidRPr="008640AE">
        <w:rPr>
          <w:color w:val="000000"/>
          <w:kern w:val="0"/>
          <w:sz w:val="24"/>
        </w:rPr>
        <w:t>日</w:t>
      </w:r>
      <w:r w:rsidRPr="008640AE">
        <w:rPr>
          <w:color w:val="000000"/>
          <w:kern w:val="0"/>
          <w:sz w:val="24"/>
        </w:rPr>
        <w:t>至</w:t>
      </w:r>
      <w:r w:rsidRPr="008640AE">
        <w:rPr>
          <w:color w:val="000000"/>
          <w:kern w:val="0"/>
          <w:sz w:val="24"/>
        </w:rPr>
        <w:t>2016</w:t>
      </w:r>
      <w:r w:rsidRPr="008640AE">
        <w:rPr>
          <w:color w:val="000000"/>
          <w:kern w:val="0"/>
          <w:sz w:val="24"/>
        </w:rPr>
        <w:t>年</w:t>
      </w:r>
      <w:r w:rsidRPr="008640AE">
        <w:rPr>
          <w:color w:val="000000"/>
          <w:kern w:val="0"/>
          <w:sz w:val="24"/>
        </w:rPr>
        <w:t>12</w:t>
      </w:r>
      <w:r w:rsidRPr="008640AE">
        <w:rPr>
          <w:color w:val="000000"/>
          <w:kern w:val="0"/>
          <w:sz w:val="24"/>
        </w:rPr>
        <w:t>月</w:t>
      </w:r>
      <w:r w:rsidRPr="008640AE">
        <w:rPr>
          <w:color w:val="000000"/>
          <w:kern w:val="0"/>
          <w:sz w:val="24"/>
        </w:rPr>
        <w:t>31</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43363E">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4E2A05">
        <w:trPr>
          <w:jc w:val="center"/>
        </w:trPr>
        <w:tc>
          <w:tcPr>
            <w:tcW w:w="846" w:type="dxa"/>
            <w:vAlign w:val="center"/>
          </w:tcPr>
          <w:p w:rsidR="004E2A05" w:rsidRDefault="008C0C73">
            <w:pPr>
              <w:jc w:val="center"/>
            </w:pPr>
            <w:r>
              <w:rPr>
                <w:color w:val="000000"/>
                <w:sz w:val="24"/>
              </w:rPr>
              <w:t>蔡铮</w:t>
            </w:r>
          </w:p>
        </w:tc>
        <w:tc>
          <w:tcPr>
            <w:tcW w:w="845" w:type="dxa"/>
            <w:vAlign w:val="center"/>
          </w:tcPr>
          <w:p w:rsidR="004E2A05" w:rsidRDefault="008C0C73">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lastRenderedPageBreak/>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lastRenderedPageBreak/>
              <w:t>（</w:t>
            </w:r>
            <w:r>
              <w:rPr>
                <w:color w:val="000000"/>
                <w:sz w:val="24"/>
              </w:rPr>
              <w:t>LOF</w:t>
            </w:r>
            <w:r>
              <w:rPr>
                <w:color w:val="000000"/>
                <w:sz w:val="24"/>
              </w:rPr>
              <w:t>）的基金经理，公司量化投资部副总经理</w:t>
            </w:r>
          </w:p>
        </w:tc>
        <w:tc>
          <w:tcPr>
            <w:tcW w:w="1549" w:type="dxa"/>
            <w:vAlign w:val="center"/>
          </w:tcPr>
          <w:p w:rsidR="004E2A05" w:rsidRDefault="008C0C73">
            <w:pPr>
              <w:jc w:val="center"/>
            </w:pPr>
            <w:r>
              <w:rPr>
                <w:color w:val="000000"/>
                <w:sz w:val="24"/>
              </w:rPr>
              <w:lastRenderedPageBreak/>
              <w:t>2015-05-27</w:t>
            </w:r>
          </w:p>
        </w:tc>
        <w:tc>
          <w:tcPr>
            <w:tcW w:w="1548" w:type="dxa"/>
            <w:vAlign w:val="center"/>
          </w:tcPr>
          <w:p w:rsidR="004E2A05" w:rsidRDefault="008C0C73">
            <w:pPr>
              <w:jc w:val="center"/>
            </w:pPr>
            <w:r>
              <w:rPr>
                <w:color w:val="000000"/>
                <w:sz w:val="24"/>
              </w:rPr>
              <w:t>-</w:t>
            </w:r>
          </w:p>
        </w:tc>
        <w:tc>
          <w:tcPr>
            <w:tcW w:w="1407" w:type="dxa"/>
            <w:vAlign w:val="center"/>
          </w:tcPr>
          <w:p w:rsidR="004E2A05" w:rsidRDefault="008C0C73">
            <w:pPr>
              <w:jc w:val="center"/>
            </w:pPr>
            <w:r>
              <w:rPr>
                <w:color w:val="000000"/>
                <w:sz w:val="24"/>
              </w:rPr>
              <w:t>7</w:t>
            </w:r>
            <w:r>
              <w:rPr>
                <w:color w:val="000000"/>
                <w:sz w:val="24"/>
              </w:rPr>
              <w:t>年</w:t>
            </w:r>
          </w:p>
        </w:tc>
        <w:tc>
          <w:tcPr>
            <w:tcW w:w="2673" w:type="dxa"/>
            <w:vAlign w:val="center"/>
          </w:tcPr>
          <w:p w:rsidR="004E2A05" w:rsidRDefault="008C0C73">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Pr>
                <w:color w:val="000000"/>
                <w:sz w:val="24"/>
              </w:rPr>
              <w:t>2012</w:t>
            </w:r>
            <w:r>
              <w:rPr>
                <w:color w:val="000000"/>
                <w:sz w:val="24"/>
              </w:rPr>
              <w:t>年</w:t>
            </w:r>
            <w:r>
              <w:rPr>
                <w:color w:val="000000"/>
                <w:sz w:val="24"/>
              </w:rPr>
              <w:t>12</w:t>
            </w:r>
            <w:r>
              <w:rPr>
                <w:color w:val="000000"/>
                <w:sz w:val="24"/>
              </w:rPr>
              <w:lastRenderedPageBreak/>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lastRenderedPageBreak/>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2</w:t>
      </w:r>
      <w:r w:rsidR="0017526E" w:rsidRPr="008640AE">
        <w:rPr>
          <w:b/>
          <w:color w:val="000000"/>
          <w:kern w:val="0"/>
          <w:sz w:val="24"/>
        </w:rPr>
        <w:t xml:space="preserve"> </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0017526E" w:rsidRPr="008640AE">
        <w:rPr>
          <w:b/>
          <w:color w:val="000000"/>
          <w:kern w:val="0"/>
          <w:sz w:val="24"/>
        </w:rPr>
        <w:t xml:space="preserve"> </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3.1</w:t>
      </w:r>
      <w:r w:rsidRPr="008640AE">
        <w:rPr>
          <w:sz w:val="24"/>
        </w:rPr>
        <w:t>公平交易制度的执行情况</w:t>
      </w:r>
    </w:p>
    <w:p w:rsidR="004E2A05" w:rsidRDefault="008C0C7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E2A05" w:rsidRDefault="008C0C7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E2A05" w:rsidRDefault="008C0C7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3</w:t>
      </w:r>
      <w:r w:rsidRPr="008640AE">
        <w:rPr>
          <w:sz w:val="24"/>
        </w:rPr>
        <w:t>.</w:t>
      </w:r>
      <w:r w:rsidR="00A32FDA" w:rsidRPr="008640AE">
        <w:rPr>
          <w:sz w:val="24"/>
        </w:rPr>
        <w:t>2</w:t>
      </w:r>
      <w:r w:rsidR="0017526E" w:rsidRPr="008640AE">
        <w:rPr>
          <w:sz w:val="24"/>
        </w:rPr>
        <w:t xml:space="preserve"> </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lastRenderedPageBreak/>
        <w:t>本基金于本报告期内未发现异常交易行为。本报告期内，本公司管理的所有投资组合参与的交易所公开竞价同日反向交易成交较少的单边交易量超过该证券当日总成交量</w:t>
      </w:r>
      <w:r w:rsidRPr="008640AE">
        <w:rPr>
          <w:color w:val="000000"/>
          <w:sz w:val="24"/>
        </w:rPr>
        <w:t>5%</w:t>
      </w:r>
      <w:r w:rsidRPr="008640AE">
        <w:rPr>
          <w:color w:val="000000"/>
          <w:sz w:val="24"/>
        </w:rPr>
        <w:t>的情况有</w:t>
      </w:r>
      <w:r w:rsidRPr="008640AE">
        <w:rPr>
          <w:color w:val="000000"/>
          <w:sz w:val="24"/>
        </w:rPr>
        <w:t>1</w:t>
      </w:r>
      <w:r w:rsidRPr="008640AE">
        <w:rPr>
          <w:color w:val="000000"/>
          <w:sz w:val="24"/>
        </w:rPr>
        <w:t>次，是投资组合因投资策略需要而发生同日反向交易，未发现不公平交易和利益输送的情况。本基金与本公司管理的其他投资组合在不同时间窗下（如日内、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日内）同向交易的交易价差未发现异常。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4.4</w:t>
      </w:r>
      <w:r w:rsidR="00195D4D" w:rsidRPr="008640AE">
        <w:rPr>
          <w:b/>
          <w:color w:val="000000"/>
          <w:kern w:val="0"/>
          <w:sz w:val="24"/>
        </w:rPr>
        <w:t xml:space="preserve"> </w:t>
      </w:r>
      <w:r w:rsidRPr="008640AE">
        <w:rPr>
          <w:b/>
          <w:color w:val="000000"/>
          <w:kern w:val="0"/>
          <w:sz w:val="24"/>
        </w:rPr>
        <w:t>报告期内基金的投资策略和业绩表现说明</w:t>
      </w:r>
    </w:p>
    <w:p w:rsidR="004E2A05" w:rsidRDefault="008C0C73">
      <w:pPr>
        <w:spacing w:before="29" w:line="288" w:lineRule="auto"/>
        <w:ind w:firstLineChars="200" w:firstLine="480"/>
        <w:rPr>
          <w:color w:val="000000"/>
          <w:sz w:val="24"/>
        </w:rPr>
      </w:pPr>
      <w:r>
        <w:rPr>
          <w:color w:val="000000"/>
          <w:sz w:val="24"/>
        </w:rPr>
        <w:t>2016</w:t>
      </w:r>
      <w:r>
        <w:rPr>
          <w:color w:val="000000"/>
          <w:sz w:val="24"/>
        </w:rPr>
        <w:t>年四季度，国内宏观经济延续弱势平稳的态势，货币政策中性偏紧，经济基本面对资本市场的支持力度总体较为有限。欧美市场风险偏好有所回升，欧美和香港市场表现出不同走势。</w:t>
      </w:r>
      <w:r>
        <w:rPr>
          <w:color w:val="000000"/>
          <w:sz w:val="24"/>
        </w:rPr>
        <w:t>10</w:t>
      </w:r>
      <w:r>
        <w:rPr>
          <w:color w:val="000000"/>
          <w:sz w:val="24"/>
        </w:rPr>
        <w:t>、</w:t>
      </w:r>
      <w:r>
        <w:rPr>
          <w:color w:val="000000"/>
          <w:sz w:val="24"/>
        </w:rPr>
        <w:t>11</w:t>
      </w:r>
      <w:r>
        <w:rPr>
          <w:color w:val="000000"/>
          <w:sz w:val="24"/>
        </w:rPr>
        <w:t>月份欧美市场总体震荡，美国大选明朗后，欧美股市普遍出现上涨，但随着人民币贬值压力加大，</w:t>
      </w:r>
      <w:r>
        <w:rPr>
          <w:color w:val="000000"/>
          <w:sz w:val="24"/>
        </w:rPr>
        <w:t>A</w:t>
      </w:r>
      <w:r>
        <w:rPr>
          <w:color w:val="000000"/>
          <w:sz w:val="24"/>
        </w:rPr>
        <w:t>股和港股市场出现了较大幅度回撤。作为跟踪中证海外中国互联网指数的指数基金，在本季度呈现出震荡下行的走势。</w:t>
      </w:r>
    </w:p>
    <w:p w:rsidR="00B0116D" w:rsidRPr="008640AE" w:rsidRDefault="00B0116D" w:rsidP="005546C0">
      <w:pPr>
        <w:spacing w:before="29" w:line="288" w:lineRule="auto"/>
        <w:ind w:firstLineChars="200" w:firstLine="480"/>
        <w:rPr>
          <w:color w:val="000000"/>
          <w:sz w:val="24"/>
        </w:rPr>
      </w:pPr>
      <w:r w:rsidRPr="008640AE">
        <w:rPr>
          <w:color w:val="000000"/>
          <w:sz w:val="24"/>
        </w:rPr>
        <w:t>展望下一季度，在海外整体经济没有稳步向上的环境下，海外市场的不确定性仍在</w:t>
      </w:r>
      <w:r w:rsidRPr="008640AE">
        <w:rPr>
          <w:color w:val="000000"/>
          <w:sz w:val="24"/>
        </w:rPr>
        <w:t>,</w:t>
      </w:r>
      <w:r w:rsidRPr="008640AE">
        <w:rPr>
          <w:color w:val="000000"/>
          <w:sz w:val="24"/>
        </w:rPr>
        <w:t>加上整体流动性最宽松阶段似乎已过，我们总体持较为谨慎的看法。</w:t>
      </w:r>
    </w:p>
    <w:p w:rsidR="00FD7298" w:rsidRPr="008640AE" w:rsidRDefault="00B0116D" w:rsidP="005546C0">
      <w:pPr>
        <w:spacing w:before="29" w:line="288" w:lineRule="auto"/>
        <w:ind w:firstLineChars="200" w:firstLine="480"/>
        <w:rPr>
          <w:color w:val="000000"/>
          <w:sz w:val="24"/>
        </w:rPr>
      </w:pPr>
      <w:r w:rsidRPr="008640AE">
        <w:rPr>
          <w:color w:val="000000"/>
          <w:sz w:val="24"/>
        </w:rPr>
        <w:t>截至</w:t>
      </w:r>
      <w:r w:rsidRPr="008640AE">
        <w:rPr>
          <w:color w:val="000000"/>
          <w:sz w:val="24"/>
        </w:rPr>
        <w:t>2016</w:t>
      </w:r>
      <w:r w:rsidRPr="008640AE">
        <w:rPr>
          <w:color w:val="000000"/>
          <w:sz w:val="24"/>
        </w:rPr>
        <w:t>年</w:t>
      </w:r>
      <w:r w:rsidRPr="008640AE">
        <w:rPr>
          <w:color w:val="000000"/>
          <w:sz w:val="24"/>
        </w:rPr>
        <w:t>12</w:t>
      </w:r>
      <w:r w:rsidRPr="008640AE">
        <w:rPr>
          <w:color w:val="000000"/>
          <w:sz w:val="24"/>
        </w:rPr>
        <w:t>月</w:t>
      </w:r>
      <w:r w:rsidRPr="008640AE">
        <w:rPr>
          <w:color w:val="000000"/>
          <w:sz w:val="24"/>
        </w:rPr>
        <w:t>31</w:t>
      </w:r>
      <w:r w:rsidRPr="008640AE">
        <w:rPr>
          <w:color w:val="000000"/>
          <w:sz w:val="24"/>
        </w:rPr>
        <w:t>日，本基金份额净值为</w:t>
      </w:r>
      <w:r w:rsidRPr="008640AE">
        <w:rPr>
          <w:color w:val="000000"/>
          <w:sz w:val="24"/>
        </w:rPr>
        <w:t>0.934</w:t>
      </w:r>
      <w:r w:rsidRPr="008640AE">
        <w:rPr>
          <w:color w:val="000000"/>
          <w:sz w:val="24"/>
        </w:rPr>
        <w:t>元，本报告期份额净值增长率为</w:t>
      </w:r>
      <w:r w:rsidRPr="008640AE">
        <w:rPr>
          <w:color w:val="000000"/>
          <w:sz w:val="24"/>
        </w:rPr>
        <w:t>-10.71%</w:t>
      </w:r>
      <w:r w:rsidRPr="008640AE">
        <w:rPr>
          <w:color w:val="000000"/>
          <w:sz w:val="24"/>
        </w:rPr>
        <w:t>，同期业绩比较基准增长率为</w:t>
      </w:r>
      <w:r w:rsidRPr="008640AE">
        <w:rPr>
          <w:color w:val="000000"/>
          <w:sz w:val="24"/>
        </w:rPr>
        <w:t>-13.70%</w:t>
      </w:r>
      <w:r w:rsidRPr="008640AE">
        <w:rPr>
          <w:color w:val="000000"/>
          <w:sz w:val="24"/>
        </w:rPr>
        <w:t>。</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.5</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本基金本报告期内无需预警说明。</w:t>
      </w:r>
    </w:p>
    <w:p w:rsidR="00EA3F21" w:rsidRPr="008640AE" w:rsidRDefault="00EA3F21" w:rsidP="005546C0">
      <w:pPr>
        <w:spacing w:before="29" w:line="288" w:lineRule="auto"/>
        <w:ind w:firstLineChars="200" w:firstLine="480"/>
        <w:rPr>
          <w:color w:val="000000"/>
          <w:sz w:val="24"/>
        </w:rPr>
      </w:pPr>
    </w:p>
    <w:p w:rsidR="0076518F" w:rsidRPr="008640AE" w:rsidRDefault="0076518F" w:rsidP="0043363E">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384,520,497.53</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92.62</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99,458,352.02</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23.96</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285,062,145.51</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68.67</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30,401,340.64</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7.32</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223,353.42</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0.05</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415,145,191.59</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注：本基金本报告期末未持有通过沪港通投资的股票。</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4E2A05">
        <w:trPr>
          <w:jc w:val="center"/>
        </w:trPr>
        <w:tc>
          <w:tcPr>
            <w:tcW w:w="2484" w:type="dxa"/>
            <w:vAlign w:val="center"/>
          </w:tcPr>
          <w:p w:rsidR="004E2A05" w:rsidRDefault="008C0C73">
            <w:pPr>
              <w:jc w:val="left"/>
            </w:pPr>
            <w:r>
              <w:rPr>
                <w:color w:val="000000"/>
                <w:sz w:val="24"/>
              </w:rPr>
              <w:t>美国</w:t>
            </w:r>
          </w:p>
        </w:tc>
        <w:tc>
          <w:tcPr>
            <w:tcW w:w="3214" w:type="dxa"/>
            <w:vAlign w:val="center"/>
          </w:tcPr>
          <w:p w:rsidR="004E2A05" w:rsidRDefault="008C0C73">
            <w:pPr>
              <w:jc w:val="right"/>
            </w:pPr>
            <w:r>
              <w:rPr>
                <w:color w:val="000000"/>
                <w:sz w:val="24"/>
              </w:rPr>
              <w:t>306,915,591.95</w:t>
            </w:r>
          </w:p>
        </w:tc>
        <w:tc>
          <w:tcPr>
            <w:tcW w:w="3170" w:type="dxa"/>
            <w:vAlign w:val="center"/>
          </w:tcPr>
          <w:p w:rsidR="004E2A05" w:rsidRDefault="008C0C73">
            <w:pPr>
              <w:jc w:val="right"/>
            </w:pPr>
            <w:r>
              <w:rPr>
                <w:color w:val="000000"/>
                <w:sz w:val="24"/>
              </w:rPr>
              <w:t>74.38</w:t>
            </w:r>
          </w:p>
        </w:tc>
      </w:tr>
      <w:tr w:rsidR="004E2A05">
        <w:trPr>
          <w:jc w:val="center"/>
        </w:trPr>
        <w:tc>
          <w:tcPr>
            <w:tcW w:w="2484" w:type="dxa"/>
            <w:vAlign w:val="center"/>
          </w:tcPr>
          <w:p w:rsidR="004E2A05" w:rsidRDefault="008C0C73">
            <w:pPr>
              <w:jc w:val="left"/>
            </w:pPr>
            <w:r>
              <w:rPr>
                <w:color w:val="000000"/>
                <w:sz w:val="24"/>
              </w:rPr>
              <w:t>香港</w:t>
            </w:r>
          </w:p>
        </w:tc>
        <w:tc>
          <w:tcPr>
            <w:tcW w:w="3214" w:type="dxa"/>
            <w:vAlign w:val="center"/>
          </w:tcPr>
          <w:p w:rsidR="004E2A05" w:rsidRDefault="008C0C73">
            <w:pPr>
              <w:jc w:val="right"/>
            </w:pPr>
            <w:r>
              <w:rPr>
                <w:color w:val="000000"/>
                <w:sz w:val="24"/>
              </w:rPr>
              <w:t>77,604,905.58</w:t>
            </w:r>
          </w:p>
        </w:tc>
        <w:tc>
          <w:tcPr>
            <w:tcW w:w="3170" w:type="dxa"/>
            <w:vAlign w:val="center"/>
          </w:tcPr>
          <w:p w:rsidR="004E2A05" w:rsidRDefault="008C0C73">
            <w:pPr>
              <w:jc w:val="right"/>
            </w:pPr>
            <w:r>
              <w:rPr>
                <w:color w:val="000000"/>
                <w:sz w:val="24"/>
              </w:rPr>
              <w:t>18.81</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384,520,497.53</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93.19</w:t>
            </w:r>
          </w:p>
        </w:tc>
      </w:tr>
    </w:tbl>
    <w:p w:rsidR="004E2A05" w:rsidRDefault="008C0C7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8C0C73">
      <w:pPr>
        <w:autoSpaceDE w:val="0"/>
        <w:autoSpaceDN w:val="0"/>
        <w:adjustRightInd w:val="0"/>
        <w:spacing w:before="29" w:line="288" w:lineRule="auto"/>
        <w:ind w:firstLineChars="200" w:firstLine="480"/>
        <w:jc w:val="left"/>
        <w:rPr>
          <w:color w:val="000000"/>
          <w:sz w:val="24"/>
        </w:rPr>
      </w:pPr>
      <w:r w:rsidRPr="008640AE">
        <w:rPr>
          <w:color w:val="000000"/>
          <w:sz w:val="24"/>
        </w:rPr>
        <w:t>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p w:rsidR="00C612DC" w:rsidRPr="00C612DC" w:rsidRDefault="00C612DC" w:rsidP="00C612DC">
      <w:pPr>
        <w:autoSpaceDE w:val="0"/>
        <w:autoSpaceDN w:val="0"/>
        <w:adjustRightInd w:val="0"/>
        <w:spacing w:before="29" w:line="288" w:lineRule="auto"/>
        <w:jc w:val="left"/>
        <w:rPr>
          <w:b/>
          <w:color w:val="000000"/>
          <w:kern w:val="0"/>
          <w:sz w:val="24"/>
        </w:rPr>
      </w:pPr>
      <w:r w:rsidRPr="00C612DC">
        <w:rPr>
          <w:rFonts w:hint="eastAsia"/>
          <w:b/>
          <w:color w:val="000000"/>
          <w:kern w:val="0"/>
          <w:sz w:val="24"/>
        </w:rPr>
        <w:t>5.3.1</w:t>
      </w:r>
      <w:r w:rsidRPr="00C612DC">
        <w:rPr>
          <w:rFonts w:hint="eastAsia"/>
          <w:b/>
          <w:color w:val="000000"/>
          <w:kern w:val="0"/>
          <w:sz w:val="24"/>
        </w:rPr>
        <w:t>报告期末指数投资按行业分类的股票及存托凭证投资组合</w:t>
      </w:r>
    </w:p>
    <w:tbl>
      <w:tblPr>
        <w:tblStyle w:val="af7"/>
        <w:tblW w:w="0" w:type="auto"/>
        <w:tblInd w:w="15" w:type="dxa"/>
        <w:tblLayout w:type="fixed"/>
        <w:tblLook w:val="04A0" w:firstRow="1" w:lastRow="0" w:firstColumn="1" w:lastColumn="0" w:noHBand="0" w:noVBand="1"/>
      </w:tblPr>
      <w:tblGrid>
        <w:gridCol w:w="2787"/>
        <w:gridCol w:w="2976"/>
        <w:gridCol w:w="3261"/>
      </w:tblGrid>
      <w:tr w:rsidR="00C612DC" w:rsidRPr="00820253" w:rsidTr="00DB2E09">
        <w:tc>
          <w:tcPr>
            <w:tcW w:w="2787" w:type="dxa"/>
            <w:vAlign w:val="center"/>
          </w:tcPr>
          <w:p w:rsidR="00C612DC" w:rsidRPr="00C612DC" w:rsidRDefault="00C612DC" w:rsidP="00C612DC">
            <w:pPr>
              <w:autoSpaceDE w:val="0"/>
              <w:autoSpaceDN w:val="0"/>
              <w:adjustRightInd w:val="0"/>
              <w:spacing w:before="29" w:line="288" w:lineRule="auto"/>
              <w:ind w:left="15"/>
              <w:jc w:val="center"/>
              <w:rPr>
                <w:color w:val="000000"/>
                <w:kern w:val="0"/>
                <w:sz w:val="24"/>
              </w:rPr>
            </w:pPr>
            <w:r w:rsidRPr="00C612DC">
              <w:rPr>
                <w:rFonts w:hint="eastAsia"/>
                <w:color w:val="000000"/>
                <w:kern w:val="0"/>
                <w:sz w:val="24"/>
              </w:rPr>
              <w:t>行业类别</w:t>
            </w:r>
          </w:p>
        </w:tc>
        <w:tc>
          <w:tcPr>
            <w:tcW w:w="2976" w:type="dxa"/>
            <w:vAlign w:val="center"/>
          </w:tcPr>
          <w:p w:rsidR="00C612DC" w:rsidRPr="00820253" w:rsidRDefault="00C612DC" w:rsidP="004C1FC8">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sidRPr="00820253">
              <w:rPr>
                <w:rFonts w:asciiTheme="minorEastAsia" w:eastAsiaTheme="minorEastAsia" w:hAnsiTheme="minorEastAsia" w:cs="Arial" w:hint="eastAsia"/>
                <w:color w:val="000000"/>
                <w:kern w:val="0"/>
                <w:sz w:val="24"/>
              </w:rPr>
              <w:t>公允价值（人民币元）</w:t>
            </w:r>
          </w:p>
        </w:tc>
        <w:tc>
          <w:tcPr>
            <w:tcW w:w="3261" w:type="dxa"/>
            <w:vAlign w:val="center"/>
          </w:tcPr>
          <w:p w:rsidR="00C612DC" w:rsidRPr="00820253" w:rsidRDefault="00C612DC" w:rsidP="004C1FC8">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sidRPr="00820253">
              <w:rPr>
                <w:rFonts w:asciiTheme="minorEastAsia" w:eastAsiaTheme="minorEastAsia" w:hAnsiTheme="minorEastAsia" w:cs="Arial" w:hint="eastAsia"/>
                <w:color w:val="000000"/>
                <w:kern w:val="0"/>
                <w:sz w:val="24"/>
              </w:rPr>
              <w:t>占基金资产净值比例（％）</w:t>
            </w:r>
          </w:p>
        </w:tc>
      </w:tr>
      <w:tr w:rsidR="004E2A05">
        <w:tc>
          <w:tcPr>
            <w:tcW w:w="2787" w:type="dxa"/>
            <w:vAlign w:val="center"/>
          </w:tcPr>
          <w:p w:rsidR="004E2A05" w:rsidRDefault="008C0C73">
            <w:pPr>
              <w:jc w:val="left"/>
            </w:pPr>
            <w:r>
              <w:rPr>
                <w:color w:val="000000"/>
                <w:sz w:val="24"/>
              </w:rPr>
              <w:t>信息技术</w:t>
            </w:r>
          </w:p>
        </w:tc>
        <w:tc>
          <w:tcPr>
            <w:tcW w:w="2976" w:type="dxa"/>
            <w:vAlign w:val="center"/>
          </w:tcPr>
          <w:p w:rsidR="004E2A05" w:rsidRDefault="008C0C73">
            <w:pPr>
              <w:jc w:val="right"/>
            </w:pPr>
            <w:r>
              <w:rPr>
                <w:color w:val="000000"/>
                <w:sz w:val="24"/>
              </w:rPr>
              <w:t>264,598,805.15</w:t>
            </w:r>
          </w:p>
        </w:tc>
        <w:tc>
          <w:tcPr>
            <w:tcW w:w="3261" w:type="dxa"/>
            <w:vAlign w:val="center"/>
          </w:tcPr>
          <w:p w:rsidR="004E2A05" w:rsidRDefault="008C0C73">
            <w:pPr>
              <w:jc w:val="right"/>
            </w:pPr>
            <w:r>
              <w:rPr>
                <w:color w:val="000000"/>
                <w:sz w:val="24"/>
              </w:rPr>
              <w:t>64.13</w:t>
            </w:r>
          </w:p>
        </w:tc>
      </w:tr>
      <w:tr w:rsidR="004E2A05">
        <w:tc>
          <w:tcPr>
            <w:tcW w:w="2787" w:type="dxa"/>
            <w:vAlign w:val="center"/>
          </w:tcPr>
          <w:p w:rsidR="004E2A05" w:rsidRDefault="008C0C73">
            <w:pPr>
              <w:jc w:val="left"/>
            </w:pPr>
            <w:r>
              <w:rPr>
                <w:color w:val="000000"/>
                <w:sz w:val="24"/>
              </w:rPr>
              <w:t>非必需消费品</w:t>
            </w:r>
          </w:p>
        </w:tc>
        <w:tc>
          <w:tcPr>
            <w:tcW w:w="2976" w:type="dxa"/>
            <w:vAlign w:val="center"/>
          </w:tcPr>
          <w:p w:rsidR="004E2A05" w:rsidRDefault="008C0C73">
            <w:pPr>
              <w:jc w:val="right"/>
            </w:pPr>
            <w:r>
              <w:rPr>
                <w:color w:val="000000"/>
                <w:sz w:val="24"/>
              </w:rPr>
              <w:t>111,755,352.06</w:t>
            </w:r>
          </w:p>
        </w:tc>
        <w:tc>
          <w:tcPr>
            <w:tcW w:w="3261" w:type="dxa"/>
            <w:vAlign w:val="center"/>
          </w:tcPr>
          <w:p w:rsidR="004E2A05" w:rsidRDefault="008C0C73">
            <w:pPr>
              <w:jc w:val="right"/>
            </w:pPr>
            <w:r>
              <w:rPr>
                <w:color w:val="000000"/>
                <w:sz w:val="24"/>
              </w:rPr>
              <w:t>27.08</w:t>
            </w:r>
          </w:p>
        </w:tc>
      </w:tr>
      <w:tr w:rsidR="004E2A05">
        <w:tc>
          <w:tcPr>
            <w:tcW w:w="2787" w:type="dxa"/>
            <w:vAlign w:val="center"/>
          </w:tcPr>
          <w:p w:rsidR="004E2A05" w:rsidRDefault="008C0C73">
            <w:pPr>
              <w:jc w:val="left"/>
            </w:pPr>
            <w:r>
              <w:rPr>
                <w:color w:val="000000"/>
                <w:sz w:val="24"/>
              </w:rPr>
              <w:t>工业</w:t>
            </w:r>
          </w:p>
        </w:tc>
        <w:tc>
          <w:tcPr>
            <w:tcW w:w="2976" w:type="dxa"/>
            <w:vAlign w:val="center"/>
          </w:tcPr>
          <w:p w:rsidR="004E2A05" w:rsidRDefault="008C0C73">
            <w:pPr>
              <w:jc w:val="right"/>
            </w:pPr>
            <w:r>
              <w:rPr>
                <w:color w:val="000000"/>
                <w:sz w:val="24"/>
              </w:rPr>
              <w:t>8,166,340.32</w:t>
            </w:r>
          </w:p>
        </w:tc>
        <w:tc>
          <w:tcPr>
            <w:tcW w:w="3261" w:type="dxa"/>
            <w:vAlign w:val="center"/>
          </w:tcPr>
          <w:p w:rsidR="004E2A05" w:rsidRDefault="008C0C73">
            <w:pPr>
              <w:jc w:val="right"/>
            </w:pPr>
            <w:r>
              <w:rPr>
                <w:color w:val="000000"/>
                <w:sz w:val="24"/>
              </w:rPr>
              <w:t>1.98</w:t>
            </w:r>
          </w:p>
        </w:tc>
      </w:tr>
      <w:tr w:rsidR="00C612DC" w:rsidRPr="00C612DC" w:rsidTr="00DB2E09">
        <w:tc>
          <w:tcPr>
            <w:tcW w:w="2787"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rFonts w:hint="eastAsia"/>
                <w:color w:val="000000"/>
                <w:sz w:val="24"/>
              </w:rPr>
              <w:t>合计</w:t>
            </w:r>
          </w:p>
        </w:tc>
        <w:tc>
          <w:tcPr>
            <w:tcW w:w="2976" w:type="dxa"/>
            <w:vAlign w:val="center"/>
          </w:tcPr>
          <w:p w:rsidR="00C612DC" w:rsidRPr="00C612DC" w:rsidRDefault="00C612DC" w:rsidP="00127CA3">
            <w:pPr>
              <w:autoSpaceDE w:val="0"/>
              <w:autoSpaceDN w:val="0"/>
              <w:adjustRightInd w:val="0"/>
              <w:spacing w:before="29" w:line="288" w:lineRule="auto"/>
              <w:jc w:val="right"/>
              <w:rPr>
                <w:color w:val="000000"/>
                <w:sz w:val="24"/>
              </w:rPr>
            </w:pPr>
            <w:r w:rsidRPr="00C612DC">
              <w:rPr>
                <w:color w:val="000000"/>
                <w:sz w:val="24"/>
              </w:rPr>
              <w:t>384,520,497.53</w:t>
            </w:r>
          </w:p>
        </w:tc>
        <w:tc>
          <w:tcPr>
            <w:tcW w:w="3261" w:type="dxa"/>
            <w:vAlign w:val="center"/>
          </w:tcPr>
          <w:p w:rsidR="00C612DC" w:rsidRPr="00C612DC" w:rsidRDefault="00C612DC" w:rsidP="00127CA3">
            <w:pPr>
              <w:autoSpaceDE w:val="0"/>
              <w:autoSpaceDN w:val="0"/>
              <w:adjustRightInd w:val="0"/>
              <w:spacing w:before="29" w:line="288" w:lineRule="auto"/>
              <w:jc w:val="right"/>
              <w:rPr>
                <w:color w:val="000000"/>
                <w:sz w:val="24"/>
              </w:rPr>
            </w:pPr>
            <w:r w:rsidRPr="00C612DC">
              <w:rPr>
                <w:color w:val="000000"/>
                <w:sz w:val="24"/>
              </w:rPr>
              <w:t>93.19</w:t>
            </w:r>
          </w:p>
        </w:tc>
      </w:tr>
    </w:tbl>
    <w:p w:rsidR="005B6AC7"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C612DC" w:rsidRPr="008640AE" w:rsidRDefault="00C612DC" w:rsidP="005546C0">
      <w:pPr>
        <w:autoSpaceDE w:val="0"/>
        <w:autoSpaceDN w:val="0"/>
        <w:adjustRightInd w:val="0"/>
        <w:spacing w:before="29" w:line="288" w:lineRule="auto"/>
        <w:jc w:val="left"/>
        <w:rPr>
          <w:color w:val="000000"/>
          <w:sz w:val="24"/>
        </w:rPr>
      </w:pPr>
    </w:p>
    <w:p w:rsidR="00C612DC" w:rsidRPr="00C612DC" w:rsidRDefault="00C612DC" w:rsidP="00C612D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C612DC">
          <w:rPr>
            <w:rFonts w:hint="eastAsia"/>
            <w:b/>
            <w:color w:val="000000"/>
            <w:kern w:val="0"/>
            <w:sz w:val="24"/>
          </w:rPr>
          <w:t>5.3.2</w:t>
        </w:r>
      </w:smartTag>
      <w:r w:rsidRPr="00C612DC">
        <w:rPr>
          <w:rFonts w:hint="eastAsia"/>
          <w:b/>
          <w:color w:val="000000"/>
          <w:kern w:val="0"/>
          <w:sz w:val="24"/>
        </w:rPr>
        <w:t>报告期末积极投资按行业分类的股票及存托凭证投资组合</w:t>
      </w:r>
    </w:p>
    <w:p w:rsidR="00C612DC" w:rsidRPr="00C612DC" w:rsidRDefault="00C612DC" w:rsidP="00C612DC">
      <w:pPr>
        <w:autoSpaceDE w:val="0"/>
        <w:autoSpaceDN w:val="0"/>
        <w:adjustRightInd w:val="0"/>
        <w:spacing w:before="29" w:line="288" w:lineRule="auto"/>
        <w:jc w:val="left"/>
        <w:rPr>
          <w:color w:val="000000"/>
          <w:sz w:val="24"/>
        </w:rPr>
      </w:pPr>
      <w:r w:rsidRPr="00C612DC">
        <w:rPr>
          <w:rFonts w:hint="eastAsia"/>
          <w:color w:val="000000"/>
          <w:sz w:val="24"/>
        </w:rPr>
        <w:lastRenderedPageBreak/>
        <w:t>本基金本报告期末未持有积极投资股票及存托凭证。</w:t>
      </w:r>
    </w:p>
    <w:p w:rsidR="000A521D" w:rsidRPr="00C612DC" w:rsidRDefault="000A521D" w:rsidP="005546C0">
      <w:pPr>
        <w:autoSpaceDE w:val="0"/>
        <w:autoSpaceDN w:val="0"/>
        <w:adjustRightInd w:val="0"/>
        <w:spacing w:before="29" w:line="288" w:lineRule="auto"/>
        <w:jc w:val="left"/>
        <w:rPr>
          <w:sz w:val="24"/>
        </w:rPr>
      </w:pPr>
    </w:p>
    <w:p w:rsidR="0076518F"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p w:rsidR="006A77B5" w:rsidRDefault="006A77B5" w:rsidP="006A77B5">
      <w:pPr>
        <w:autoSpaceDE w:val="0"/>
        <w:autoSpaceDN w:val="0"/>
        <w:adjustRightInd w:val="0"/>
        <w:spacing w:before="29" w:line="288" w:lineRule="auto"/>
        <w:jc w:val="left"/>
        <w:rPr>
          <w:b/>
          <w:color w:val="000000"/>
          <w:kern w:val="0"/>
          <w:sz w:val="24"/>
        </w:rPr>
      </w:pPr>
      <w:r w:rsidRPr="006A77B5">
        <w:rPr>
          <w:rFonts w:hint="eastAsia"/>
          <w:b/>
          <w:color w:val="000000"/>
          <w:kern w:val="0"/>
          <w:sz w:val="24"/>
        </w:rPr>
        <w:t>5.4.1</w:t>
      </w:r>
      <w:r w:rsidR="0043363E">
        <w:rPr>
          <w:rFonts w:hint="eastAsia"/>
          <w:b/>
          <w:color w:val="000000"/>
          <w:kern w:val="0"/>
          <w:sz w:val="24"/>
        </w:rPr>
        <w:t xml:space="preserve"> </w:t>
      </w:r>
      <w:r w:rsidR="0043363E">
        <w:rPr>
          <w:rFonts w:hint="eastAsia"/>
          <w:b/>
          <w:color w:val="000000"/>
          <w:kern w:val="0"/>
          <w:sz w:val="24"/>
        </w:rPr>
        <w:t>报告</w:t>
      </w:r>
      <w:r w:rsidRPr="006A77B5">
        <w:rPr>
          <w:rFonts w:hint="eastAsia"/>
          <w:b/>
          <w:color w:val="000000"/>
          <w:kern w:val="0"/>
          <w:sz w:val="24"/>
        </w:rPr>
        <w:t>期末指数投资按公允价值占基金资产净值比例大小排序的前十名股票及存托凭证投资明细</w:t>
      </w:r>
    </w:p>
    <w:tbl>
      <w:tblPr>
        <w:tblStyle w:val="af7"/>
        <w:tblW w:w="0" w:type="auto"/>
        <w:tblInd w:w="15" w:type="dxa"/>
        <w:tblLook w:val="04A0" w:firstRow="1" w:lastRow="0" w:firstColumn="1" w:lastColumn="0" w:noHBand="0" w:noVBand="1"/>
      </w:tblPr>
      <w:tblGrid>
        <w:gridCol w:w="511"/>
        <w:gridCol w:w="1616"/>
        <w:gridCol w:w="996"/>
        <w:gridCol w:w="980"/>
        <w:gridCol w:w="641"/>
        <w:gridCol w:w="741"/>
        <w:gridCol w:w="1176"/>
        <w:gridCol w:w="1596"/>
        <w:gridCol w:w="970"/>
      </w:tblGrid>
      <w:tr w:rsidR="006A77B5" w:rsidRPr="00DB2E09" w:rsidTr="004C1FC8">
        <w:tc>
          <w:tcPr>
            <w:tcW w:w="817"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序号</w:t>
            </w:r>
          </w:p>
        </w:tc>
        <w:tc>
          <w:tcPr>
            <w:tcW w:w="816"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公司名称（英文）</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公司名称（中文）</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证券代码</w:t>
            </w:r>
          </w:p>
        </w:tc>
        <w:tc>
          <w:tcPr>
            <w:tcW w:w="816"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所在证</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券市场</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所属国家</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（地区</w:t>
            </w:r>
            <w:r w:rsidRPr="00DB2E09">
              <w:rPr>
                <w:color w:val="000000"/>
                <w:kern w:val="0"/>
                <w:sz w:val="24"/>
              </w:rPr>
              <w:t>)</w:t>
            </w:r>
          </w:p>
        </w:tc>
        <w:tc>
          <w:tcPr>
            <w:tcW w:w="1108"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数量</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（股）</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公允价值（人民币元）</w:t>
            </w:r>
          </w:p>
        </w:tc>
        <w:tc>
          <w:tcPr>
            <w:tcW w:w="1108"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占基金资产净值比例（％）</w:t>
            </w:r>
          </w:p>
        </w:tc>
      </w:tr>
      <w:tr w:rsidR="004E2A05">
        <w:tc>
          <w:tcPr>
            <w:tcW w:w="0" w:type="auto"/>
            <w:vAlign w:val="center"/>
          </w:tcPr>
          <w:p w:rsidR="004E2A05" w:rsidRDefault="008C0C73">
            <w:pPr>
              <w:jc w:val="center"/>
            </w:pPr>
            <w:r>
              <w:rPr>
                <w:color w:val="000000"/>
                <w:sz w:val="24"/>
              </w:rPr>
              <w:t>1</w:t>
            </w:r>
          </w:p>
        </w:tc>
        <w:tc>
          <w:tcPr>
            <w:tcW w:w="0" w:type="auto"/>
            <w:vAlign w:val="center"/>
          </w:tcPr>
          <w:p w:rsidR="004E2A05" w:rsidRDefault="008C0C73">
            <w:pPr>
              <w:jc w:val="center"/>
            </w:pPr>
            <w:r>
              <w:rPr>
                <w:color w:val="000000"/>
                <w:sz w:val="24"/>
              </w:rPr>
              <w:t>Tencent Holdings Ltd</w:t>
            </w:r>
          </w:p>
        </w:tc>
        <w:tc>
          <w:tcPr>
            <w:tcW w:w="0" w:type="auto"/>
            <w:vAlign w:val="center"/>
          </w:tcPr>
          <w:p w:rsidR="004E2A05" w:rsidRDefault="008C0C73">
            <w:pPr>
              <w:jc w:val="center"/>
            </w:pPr>
            <w:r>
              <w:rPr>
                <w:color w:val="000000"/>
                <w:sz w:val="24"/>
              </w:rPr>
              <w:t>腾讯控股有限公司</w:t>
            </w:r>
          </w:p>
        </w:tc>
        <w:tc>
          <w:tcPr>
            <w:tcW w:w="0" w:type="auto"/>
            <w:vAlign w:val="center"/>
          </w:tcPr>
          <w:p w:rsidR="004E2A05" w:rsidRDefault="008C0C73">
            <w:pPr>
              <w:jc w:val="center"/>
            </w:pPr>
            <w:r>
              <w:rPr>
                <w:color w:val="000000"/>
                <w:sz w:val="24"/>
              </w:rPr>
              <w:t>700 HK</w:t>
            </w:r>
          </w:p>
        </w:tc>
        <w:tc>
          <w:tcPr>
            <w:tcW w:w="0" w:type="auto"/>
            <w:vAlign w:val="center"/>
          </w:tcPr>
          <w:p w:rsidR="004E2A05" w:rsidRDefault="008C0C73">
            <w:pPr>
              <w:jc w:val="center"/>
            </w:pPr>
            <w:r>
              <w:rPr>
                <w:color w:val="000000"/>
                <w:sz w:val="24"/>
              </w:rPr>
              <w:t>香港证券交易所</w:t>
            </w:r>
          </w:p>
        </w:tc>
        <w:tc>
          <w:tcPr>
            <w:tcW w:w="0" w:type="auto"/>
            <w:vAlign w:val="center"/>
          </w:tcPr>
          <w:p w:rsidR="004E2A05" w:rsidRDefault="008C0C73">
            <w:pPr>
              <w:jc w:val="center"/>
            </w:pPr>
            <w:r>
              <w:rPr>
                <w:color w:val="000000"/>
                <w:sz w:val="24"/>
              </w:rPr>
              <w:t>香港</w:t>
            </w:r>
          </w:p>
        </w:tc>
        <w:tc>
          <w:tcPr>
            <w:tcW w:w="0" w:type="auto"/>
            <w:vAlign w:val="center"/>
          </w:tcPr>
          <w:p w:rsidR="004E2A05" w:rsidRDefault="008C0C73">
            <w:pPr>
              <w:jc w:val="right"/>
            </w:pPr>
            <w:r>
              <w:rPr>
                <w:color w:val="000000"/>
                <w:sz w:val="24"/>
              </w:rPr>
              <w:t>239,600</w:t>
            </w:r>
          </w:p>
        </w:tc>
        <w:tc>
          <w:tcPr>
            <w:tcW w:w="0" w:type="auto"/>
            <w:vAlign w:val="center"/>
          </w:tcPr>
          <w:p w:rsidR="004E2A05" w:rsidRDefault="008C0C73">
            <w:pPr>
              <w:jc w:val="right"/>
            </w:pPr>
            <w:r>
              <w:rPr>
                <w:color w:val="000000"/>
                <w:sz w:val="24"/>
              </w:rPr>
              <w:t>40,664,415.94</w:t>
            </w:r>
          </w:p>
        </w:tc>
        <w:tc>
          <w:tcPr>
            <w:tcW w:w="0" w:type="auto"/>
            <w:vAlign w:val="center"/>
          </w:tcPr>
          <w:p w:rsidR="004E2A05" w:rsidRDefault="008C0C73">
            <w:pPr>
              <w:jc w:val="right"/>
            </w:pPr>
            <w:r>
              <w:rPr>
                <w:color w:val="000000"/>
                <w:sz w:val="24"/>
              </w:rPr>
              <w:t>9.86</w:t>
            </w:r>
          </w:p>
        </w:tc>
      </w:tr>
      <w:tr w:rsidR="004E2A05">
        <w:tc>
          <w:tcPr>
            <w:tcW w:w="0" w:type="auto"/>
            <w:vAlign w:val="center"/>
          </w:tcPr>
          <w:p w:rsidR="004E2A05" w:rsidRDefault="008C0C73">
            <w:pPr>
              <w:jc w:val="center"/>
            </w:pPr>
            <w:r>
              <w:rPr>
                <w:color w:val="000000"/>
                <w:sz w:val="24"/>
              </w:rPr>
              <w:t>2</w:t>
            </w:r>
          </w:p>
        </w:tc>
        <w:tc>
          <w:tcPr>
            <w:tcW w:w="0" w:type="auto"/>
            <w:vAlign w:val="center"/>
          </w:tcPr>
          <w:p w:rsidR="004E2A05" w:rsidRDefault="008C0C73">
            <w:pPr>
              <w:jc w:val="center"/>
            </w:pPr>
            <w:r>
              <w:rPr>
                <w:color w:val="000000"/>
                <w:sz w:val="24"/>
              </w:rPr>
              <w:t>Alibaba Group Holding Ltd</w:t>
            </w:r>
          </w:p>
        </w:tc>
        <w:tc>
          <w:tcPr>
            <w:tcW w:w="0" w:type="auto"/>
            <w:vAlign w:val="center"/>
          </w:tcPr>
          <w:p w:rsidR="004E2A05" w:rsidRDefault="008C0C73">
            <w:pPr>
              <w:jc w:val="center"/>
            </w:pPr>
            <w:r>
              <w:rPr>
                <w:color w:val="000000"/>
                <w:sz w:val="24"/>
              </w:rPr>
              <w:t>阿里巴巴集团控股有限公司</w:t>
            </w:r>
          </w:p>
        </w:tc>
        <w:tc>
          <w:tcPr>
            <w:tcW w:w="0" w:type="auto"/>
            <w:vAlign w:val="center"/>
          </w:tcPr>
          <w:p w:rsidR="004E2A05" w:rsidRDefault="008C0C73">
            <w:pPr>
              <w:jc w:val="center"/>
            </w:pPr>
            <w:r>
              <w:rPr>
                <w:color w:val="000000"/>
                <w:sz w:val="24"/>
              </w:rPr>
              <w:t>BABA US</w:t>
            </w:r>
          </w:p>
        </w:tc>
        <w:tc>
          <w:tcPr>
            <w:tcW w:w="0" w:type="auto"/>
            <w:vAlign w:val="center"/>
          </w:tcPr>
          <w:p w:rsidR="004E2A05" w:rsidRDefault="008C0C73">
            <w:pPr>
              <w:jc w:val="center"/>
            </w:pPr>
            <w:r>
              <w:rPr>
                <w:color w:val="000000"/>
                <w:sz w:val="24"/>
              </w:rPr>
              <w:t>美国证券交易所</w:t>
            </w:r>
          </w:p>
        </w:tc>
        <w:tc>
          <w:tcPr>
            <w:tcW w:w="0" w:type="auto"/>
            <w:vAlign w:val="center"/>
          </w:tcPr>
          <w:p w:rsidR="004E2A05" w:rsidRDefault="008C0C73">
            <w:pPr>
              <w:jc w:val="center"/>
            </w:pPr>
            <w:r>
              <w:rPr>
                <w:color w:val="000000"/>
                <w:sz w:val="24"/>
              </w:rPr>
              <w:t>美国</w:t>
            </w:r>
          </w:p>
        </w:tc>
        <w:tc>
          <w:tcPr>
            <w:tcW w:w="0" w:type="auto"/>
            <w:vAlign w:val="center"/>
          </w:tcPr>
          <w:p w:rsidR="004E2A05" w:rsidRDefault="008C0C73">
            <w:pPr>
              <w:jc w:val="right"/>
            </w:pPr>
            <w:r>
              <w:rPr>
                <w:color w:val="000000"/>
                <w:sz w:val="24"/>
              </w:rPr>
              <w:t>57,945</w:t>
            </w:r>
          </w:p>
        </w:tc>
        <w:tc>
          <w:tcPr>
            <w:tcW w:w="0" w:type="auto"/>
            <w:vAlign w:val="center"/>
          </w:tcPr>
          <w:p w:rsidR="004E2A05" w:rsidRDefault="008C0C73">
            <w:pPr>
              <w:jc w:val="right"/>
            </w:pPr>
            <w:r>
              <w:rPr>
                <w:color w:val="000000"/>
                <w:sz w:val="24"/>
              </w:rPr>
              <w:t>35,296,499.67</w:t>
            </w:r>
          </w:p>
        </w:tc>
        <w:tc>
          <w:tcPr>
            <w:tcW w:w="0" w:type="auto"/>
            <w:vAlign w:val="center"/>
          </w:tcPr>
          <w:p w:rsidR="004E2A05" w:rsidRDefault="008C0C73">
            <w:pPr>
              <w:jc w:val="right"/>
            </w:pPr>
            <w:r>
              <w:rPr>
                <w:color w:val="000000"/>
                <w:sz w:val="24"/>
              </w:rPr>
              <w:t>8.55</w:t>
            </w:r>
          </w:p>
        </w:tc>
      </w:tr>
      <w:tr w:rsidR="004E2A05">
        <w:tc>
          <w:tcPr>
            <w:tcW w:w="0" w:type="auto"/>
            <w:vAlign w:val="center"/>
          </w:tcPr>
          <w:p w:rsidR="004E2A05" w:rsidRDefault="008C0C73">
            <w:pPr>
              <w:jc w:val="center"/>
            </w:pPr>
            <w:r>
              <w:rPr>
                <w:color w:val="000000"/>
                <w:sz w:val="24"/>
              </w:rPr>
              <w:t>3</w:t>
            </w:r>
          </w:p>
        </w:tc>
        <w:tc>
          <w:tcPr>
            <w:tcW w:w="0" w:type="auto"/>
            <w:vAlign w:val="center"/>
          </w:tcPr>
          <w:p w:rsidR="004E2A05" w:rsidRDefault="008C0C73">
            <w:pPr>
              <w:jc w:val="center"/>
            </w:pPr>
            <w:r>
              <w:rPr>
                <w:color w:val="000000"/>
                <w:sz w:val="24"/>
              </w:rPr>
              <w:t>Baidu.com Inc.</w:t>
            </w:r>
          </w:p>
        </w:tc>
        <w:tc>
          <w:tcPr>
            <w:tcW w:w="0" w:type="auto"/>
            <w:vAlign w:val="center"/>
          </w:tcPr>
          <w:p w:rsidR="004E2A05" w:rsidRDefault="008C0C73">
            <w:pPr>
              <w:jc w:val="center"/>
            </w:pPr>
            <w:r>
              <w:rPr>
                <w:color w:val="000000"/>
                <w:sz w:val="24"/>
              </w:rPr>
              <w:t>百度股份有限公司</w:t>
            </w:r>
          </w:p>
        </w:tc>
        <w:tc>
          <w:tcPr>
            <w:tcW w:w="0" w:type="auto"/>
            <w:vAlign w:val="center"/>
          </w:tcPr>
          <w:p w:rsidR="004E2A05" w:rsidRDefault="008C0C73">
            <w:pPr>
              <w:jc w:val="center"/>
            </w:pPr>
            <w:r>
              <w:rPr>
                <w:color w:val="000000"/>
                <w:sz w:val="24"/>
              </w:rPr>
              <w:t>BIDU US</w:t>
            </w:r>
          </w:p>
        </w:tc>
        <w:tc>
          <w:tcPr>
            <w:tcW w:w="0" w:type="auto"/>
            <w:vAlign w:val="center"/>
          </w:tcPr>
          <w:p w:rsidR="004E2A05" w:rsidRDefault="008C0C73">
            <w:pPr>
              <w:jc w:val="center"/>
            </w:pPr>
            <w:r>
              <w:rPr>
                <w:color w:val="000000"/>
                <w:sz w:val="24"/>
              </w:rPr>
              <w:t>美国证券交易所</w:t>
            </w:r>
          </w:p>
        </w:tc>
        <w:tc>
          <w:tcPr>
            <w:tcW w:w="0" w:type="auto"/>
            <w:vAlign w:val="center"/>
          </w:tcPr>
          <w:p w:rsidR="004E2A05" w:rsidRDefault="008C0C73">
            <w:pPr>
              <w:jc w:val="center"/>
            </w:pPr>
            <w:r>
              <w:rPr>
                <w:color w:val="000000"/>
                <w:sz w:val="24"/>
              </w:rPr>
              <w:t>美国</w:t>
            </w:r>
          </w:p>
        </w:tc>
        <w:tc>
          <w:tcPr>
            <w:tcW w:w="0" w:type="auto"/>
            <w:vAlign w:val="center"/>
          </w:tcPr>
          <w:p w:rsidR="004E2A05" w:rsidRDefault="008C0C73">
            <w:pPr>
              <w:jc w:val="right"/>
            </w:pPr>
            <w:r>
              <w:rPr>
                <w:color w:val="000000"/>
                <w:sz w:val="24"/>
              </w:rPr>
              <w:t>28,190</w:t>
            </w:r>
          </w:p>
        </w:tc>
        <w:tc>
          <w:tcPr>
            <w:tcW w:w="0" w:type="auto"/>
            <w:vAlign w:val="center"/>
          </w:tcPr>
          <w:p w:rsidR="004E2A05" w:rsidRDefault="008C0C73">
            <w:pPr>
              <w:jc w:val="right"/>
            </w:pPr>
            <w:r>
              <w:rPr>
                <w:color w:val="000000"/>
                <w:sz w:val="24"/>
              </w:rPr>
              <w:t>32,151,038.07</w:t>
            </w:r>
          </w:p>
        </w:tc>
        <w:tc>
          <w:tcPr>
            <w:tcW w:w="0" w:type="auto"/>
            <w:vAlign w:val="center"/>
          </w:tcPr>
          <w:p w:rsidR="004E2A05" w:rsidRDefault="008C0C73">
            <w:pPr>
              <w:jc w:val="right"/>
            </w:pPr>
            <w:r>
              <w:rPr>
                <w:color w:val="000000"/>
                <w:sz w:val="24"/>
              </w:rPr>
              <w:t>7.79</w:t>
            </w:r>
          </w:p>
        </w:tc>
      </w:tr>
      <w:tr w:rsidR="004E2A05">
        <w:tc>
          <w:tcPr>
            <w:tcW w:w="0" w:type="auto"/>
            <w:vAlign w:val="center"/>
          </w:tcPr>
          <w:p w:rsidR="004E2A05" w:rsidRDefault="008C0C73">
            <w:pPr>
              <w:jc w:val="center"/>
            </w:pPr>
            <w:r>
              <w:rPr>
                <w:color w:val="000000"/>
                <w:sz w:val="24"/>
              </w:rPr>
              <w:t>4</w:t>
            </w:r>
          </w:p>
        </w:tc>
        <w:tc>
          <w:tcPr>
            <w:tcW w:w="0" w:type="auto"/>
            <w:vAlign w:val="center"/>
          </w:tcPr>
          <w:p w:rsidR="004E2A05" w:rsidRDefault="008C0C73">
            <w:pPr>
              <w:jc w:val="center"/>
            </w:pPr>
            <w:r>
              <w:rPr>
                <w:color w:val="000000"/>
                <w:sz w:val="24"/>
              </w:rPr>
              <w:t>JD.com Inc.</w:t>
            </w:r>
          </w:p>
        </w:tc>
        <w:tc>
          <w:tcPr>
            <w:tcW w:w="0" w:type="auto"/>
            <w:vAlign w:val="center"/>
          </w:tcPr>
          <w:p w:rsidR="004E2A05" w:rsidRDefault="008C0C73">
            <w:pPr>
              <w:jc w:val="center"/>
            </w:pPr>
            <w:r>
              <w:rPr>
                <w:color w:val="000000"/>
                <w:sz w:val="24"/>
              </w:rPr>
              <w:t>京东集团</w:t>
            </w:r>
          </w:p>
        </w:tc>
        <w:tc>
          <w:tcPr>
            <w:tcW w:w="0" w:type="auto"/>
            <w:vAlign w:val="center"/>
          </w:tcPr>
          <w:p w:rsidR="004E2A05" w:rsidRDefault="008C0C73">
            <w:pPr>
              <w:jc w:val="center"/>
            </w:pPr>
            <w:r>
              <w:rPr>
                <w:color w:val="000000"/>
                <w:sz w:val="24"/>
              </w:rPr>
              <w:t>JD US</w:t>
            </w:r>
          </w:p>
        </w:tc>
        <w:tc>
          <w:tcPr>
            <w:tcW w:w="0" w:type="auto"/>
            <w:vAlign w:val="center"/>
          </w:tcPr>
          <w:p w:rsidR="004E2A05" w:rsidRDefault="008C0C73">
            <w:pPr>
              <w:jc w:val="center"/>
            </w:pPr>
            <w:r>
              <w:rPr>
                <w:color w:val="000000"/>
                <w:sz w:val="24"/>
              </w:rPr>
              <w:t>美国证券交易所</w:t>
            </w:r>
          </w:p>
        </w:tc>
        <w:tc>
          <w:tcPr>
            <w:tcW w:w="0" w:type="auto"/>
            <w:vAlign w:val="center"/>
          </w:tcPr>
          <w:p w:rsidR="004E2A05" w:rsidRDefault="008C0C73">
            <w:pPr>
              <w:jc w:val="center"/>
            </w:pPr>
            <w:r>
              <w:rPr>
                <w:color w:val="000000"/>
                <w:sz w:val="24"/>
              </w:rPr>
              <w:t>美国</w:t>
            </w:r>
          </w:p>
        </w:tc>
        <w:tc>
          <w:tcPr>
            <w:tcW w:w="0" w:type="auto"/>
            <w:vAlign w:val="center"/>
          </w:tcPr>
          <w:p w:rsidR="004E2A05" w:rsidRDefault="008C0C73">
            <w:pPr>
              <w:jc w:val="right"/>
            </w:pPr>
            <w:r>
              <w:rPr>
                <w:color w:val="000000"/>
                <w:sz w:val="24"/>
              </w:rPr>
              <w:t>160,260</w:t>
            </w:r>
          </w:p>
        </w:tc>
        <w:tc>
          <w:tcPr>
            <w:tcW w:w="0" w:type="auto"/>
            <w:vAlign w:val="center"/>
          </w:tcPr>
          <w:p w:rsidR="004E2A05" w:rsidRDefault="008C0C73">
            <w:pPr>
              <w:jc w:val="right"/>
            </w:pPr>
            <w:r>
              <w:rPr>
                <w:color w:val="000000"/>
                <w:sz w:val="24"/>
              </w:rPr>
              <w:t>28,282,248.89</w:t>
            </w:r>
          </w:p>
        </w:tc>
        <w:tc>
          <w:tcPr>
            <w:tcW w:w="0" w:type="auto"/>
            <w:vAlign w:val="center"/>
          </w:tcPr>
          <w:p w:rsidR="004E2A05" w:rsidRDefault="008C0C73">
            <w:pPr>
              <w:jc w:val="right"/>
            </w:pPr>
            <w:r>
              <w:rPr>
                <w:color w:val="000000"/>
                <w:sz w:val="24"/>
              </w:rPr>
              <w:t>6.85</w:t>
            </w:r>
          </w:p>
        </w:tc>
      </w:tr>
      <w:tr w:rsidR="004E2A05">
        <w:tc>
          <w:tcPr>
            <w:tcW w:w="0" w:type="auto"/>
            <w:vAlign w:val="center"/>
          </w:tcPr>
          <w:p w:rsidR="004E2A05" w:rsidRDefault="008C0C73">
            <w:pPr>
              <w:jc w:val="center"/>
            </w:pPr>
            <w:r>
              <w:rPr>
                <w:color w:val="000000"/>
                <w:sz w:val="24"/>
              </w:rPr>
              <w:t>5</w:t>
            </w:r>
          </w:p>
        </w:tc>
        <w:tc>
          <w:tcPr>
            <w:tcW w:w="0" w:type="auto"/>
            <w:vAlign w:val="center"/>
          </w:tcPr>
          <w:p w:rsidR="004E2A05" w:rsidRDefault="008C0C73">
            <w:pPr>
              <w:jc w:val="center"/>
            </w:pPr>
            <w:r>
              <w:rPr>
                <w:color w:val="000000"/>
                <w:sz w:val="24"/>
              </w:rPr>
              <w:t xml:space="preserve">Ctrip.com </w:t>
            </w:r>
            <w:r>
              <w:rPr>
                <w:color w:val="000000"/>
                <w:sz w:val="24"/>
              </w:rPr>
              <w:lastRenderedPageBreak/>
              <w:t>International Ltd</w:t>
            </w:r>
          </w:p>
        </w:tc>
        <w:tc>
          <w:tcPr>
            <w:tcW w:w="0" w:type="auto"/>
            <w:vAlign w:val="center"/>
          </w:tcPr>
          <w:p w:rsidR="004E2A05" w:rsidRDefault="008C0C73">
            <w:pPr>
              <w:jc w:val="center"/>
            </w:pPr>
            <w:r>
              <w:rPr>
                <w:color w:val="000000"/>
                <w:sz w:val="24"/>
              </w:rPr>
              <w:lastRenderedPageBreak/>
              <w:t>携程旅</w:t>
            </w:r>
            <w:r>
              <w:rPr>
                <w:color w:val="000000"/>
                <w:sz w:val="24"/>
              </w:rPr>
              <w:lastRenderedPageBreak/>
              <w:t>行网</w:t>
            </w:r>
          </w:p>
        </w:tc>
        <w:tc>
          <w:tcPr>
            <w:tcW w:w="0" w:type="auto"/>
            <w:vAlign w:val="center"/>
          </w:tcPr>
          <w:p w:rsidR="004E2A05" w:rsidRDefault="008C0C73">
            <w:pPr>
              <w:jc w:val="center"/>
            </w:pPr>
            <w:r>
              <w:rPr>
                <w:color w:val="000000"/>
                <w:sz w:val="24"/>
              </w:rPr>
              <w:lastRenderedPageBreak/>
              <w:t xml:space="preserve">CTRP </w:t>
            </w:r>
            <w:r>
              <w:rPr>
                <w:color w:val="000000"/>
                <w:sz w:val="24"/>
              </w:rPr>
              <w:lastRenderedPageBreak/>
              <w:t>US</w:t>
            </w:r>
          </w:p>
        </w:tc>
        <w:tc>
          <w:tcPr>
            <w:tcW w:w="0" w:type="auto"/>
            <w:vAlign w:val="center"/>
          </w:tcPr>
          <w:p w:rsidR="004E2A05" w:rsidRDefault="008C0C73">
            <w:pPr>
              <w:jc w:val="center"/>
            </w:pPr>
            <w:r>
              <w:rPr>
                <w:color w:val="000000"/>
                <w:sz w:val="24"/>
              </w:rPr>
              <w:lastRenderedPageBreak/>
              <w:t>美</w:t>
            </w:r>
            <w:r>
              <w:rPr>
                <w:color w:val="000000"/>
                <w:sz w:val="24"/>
              </w:rPr>
              <w:lastRenderedPageBreak/>
              <w:t>国证券交易所</w:t>
            </w:r>
          </w:p>
        </w:tc>
        <w:tc>
          <w:tcPr>
            <w:tcW w:w="0" w:type="auto"/>
            <w:vAlign w:val="center"/>
          </w:tcPr>
          <w:p w:rsidR="004E2A05" w:rsidRDefault="008C0C73">
            <w:pPr>
              <w:jc w:val="center"/>
            </w:pPr>
            <w:r>
              <w:rPr>
                <w:color w:val="000000"/>
                <w:sz w:val="24"/>
              </w:rPr>
              <w:lastRenderedPageBreak/>
              <w:t>美国</w:t>
            </w:r>
          </w:p>
        </w:tc>
        <w:tc>
          <w:tcPr>
            <w:tcW w:w="0" w:type="auto"/>
            <w:vAlign w:val="center"/>
          </w:tcPr>
          <w:p w:rsidR="004E2A05" w:rsidRDefault="008C0C73">
            <w:pPr>
              <w:jc w:val="right"/>
            </w:pPr>
            <w:r>
              <w:rPr>
                <w:color w:val="000000"/>
                <w:sz w:val="24"/>
              </w:rPr>
              <w:t>80,758</w:t>
            </w:r>
          </w:p>
        </w:tc>
        <w:tc>
          <w:tcPr>
            <w:tcW w:w="0" w:type="auto"/>
            <w:vAlign w:val="center"/>
          </w:tcPr>
          <w:p w:rsidR="004E2A05" w:rsidRDefault="008C0C73">
            <w:pPr>
              <w:jc w:val="right"/>
            </w:pPr>
            <w:r>
              <w:rPr>
                <w:color w:val="000000"/>
                <w:sz w:val="24"/>
              </w:rPr>
              <w:t>22,408,729.84</w:t>
            </w:r>
          </w:p>
        </w:tc>
        <w:tc>
          <w:tcPr>
            <w:tcW w:w="0" w:type="auto"/>
            <w:vAlign w:val="center"/>
          </w:tcPr>
          <w:p w:rsidR="004E2A05" w:rsidRDefault="008C0C73">
            <w:pPr>
              <w:jc w:val="right"/>
            </w:pPr>
            <w:r>
              <w:rPr>
                <w:color w:val="000000"/>
                <w:sz w:val="24"/>
              </w:rPr>
              <w:t>5.43</w:t>
            </w:r>
          </w:p>
        </w:tc>
      </w:tr>
      <w:tr w:rsidR="004E2A05">
        <w:tc>
          <w:tcPr>
            <w:tcW w:w="0" w:type="auto"/>
            <w:vAlign w:val="center"/>
          </w:tcPr>
          <w:p w:rsidR="004E2A05" w:rsidRDefault="008C0C73">
            <w:pPr>
              <w:jc w:val="center"/>
            </w:pPr>
            <w:r>
              <w:rPr>
                <w:color w:val="000000"/>
                <w:sz w:val="24"/>
              </w:rPr>
              <w:lastRenderedPageBreak/>
              <w:t>6</w:t>
            </w:r>
          </w:p>
        </w:tc>
        <w:tc>
          <w:tcPr>
            <w:tcW w:w="0" w:type="auto"/>
            <w:vAlign w:val="center"/>
          </w:tcPr>
          <w:p w:rsidR="004E2A05" w:rsidRDefault="008C0C73">
            <w:pPr>
              <w:jc w:val="center"/>
            </w:pPr>
            <w:r>
              <w:rPr>
                <w:color w:val="000000"/>
                <w:sz w:val="24"/>
              </w:rPr>
              <w:t>Vipshop Holdings Ltd</w:t>
            </w:r>
          </w:p>
        </w:tc>
        <w:tc>
          <w:tcPr>
            <w:tcW w:w="0" w:type="auto"/>
            <w:vAlign w:val="center"/>
          </w:tcPr>
          <w:p w:rsidR="004E2A05" w:rsidRDefault="008C0C73">
            <w:pPr>
              <w:jc w:val="center"/>
            </w:pPr>
            <w:r>
              <w:rPr>
                <w:color w:val="000000"/>
                <w:sz w:val="24"/>
              </w:rPr>
              <w:t>唯品会控股有限公司</w:t>
            </w:r>
          </w:p>
        </w:tc>
        <w:tc>
          <w:tcPr>
            <w:tcW w:w="0" w:type="auto"/>
            <w:vAlign w:val="center"/>
          </w:tcPr>
          <w:p w:rsidR="004E2A05" w:rsidRDefault="008C0C73">
            <w:pPr>
              <w:jc w:val="center"/>
            </w:pPr>
            <w:r>
              <w:rPr>
                <w:color w:val="000000"/>
                <w:sz w:val="24"/>
              </w:rPr>
              <w:t>VIPS US</w:t>
            </w:r>
          </w:p>
        </w:tc>
        <w:tc>
          <w:tcPr>
            <w:tcW w:w="0" w:type="auto"/>
            <w:vAlign w:val="center"/>
          </w:tcPr>
          <w:p w:rsidR="004E2A05" w:rsidRDefault="008C0C73">
            <w:pPr>
              <w:jc w:val="center"/>
            </w:pPr>
            <w:r>
              <w:rPr>
                <w:color w:val="000000"/>
                <w:sz w:val="24"/>
              </w:rPr>
              <w:t>美国证券交易所</w:t>
            </w:r>
          </w:p>
        </w:tc>
        <w:tc>
          <w:tcPr>
            <w:tcW w:w="0" w:type="auto"/>
            <w:vAlign w:val="center"/>
          </w:tcPr>
          <w:p w:rsidR="004E2A05" w:rsidRDefault="008C0C73">
            <w:pPr>
              <w:jc w:val="center"/>
            </w:pPr>
            <w:r>
              <w:rPr>
                <w:color w:val="000000"/>
                <w:sz w:val="24"/>
              </w:rPr>
              <w:t>美国</w:t>
            </w:r>
          </w:p>
        </w:tc>
        <w:tc>
          <w:tcPr>
            <w:tcW w:w="0" w:type="auto"/>
            <w:vAlign w:val="center"/>
          </w:tcPr>
          <w:p w:rsidR="004E2A05" w:rsidRDefault="008C0C73">
            <w:pPr>
              <w:jc w:val="right"/>
            </w:pPr>
            <w:r>
              <w:rPr>
                <w:color w:val="000000"/>
                <w:sz w:val="24"/>
              </w:rPr>
              <w:t>202,102</w:t>
            </w:r>
          </w:p>
        </w:tc>
        <w:tc>
          <w:tcPr>
            <w:tcW w:w="0" w:type="auto"/>
            <w:vAlign w:val="center"/>
          </w:tcPr>
          <w:p w:rsidR="004E2A05" w:rsidRDefault="008C0C73">
            <w:pPr>
              <w:jc w:val="right"/>
            </w:pPr>
            <w:r>
              <w:rPr>
                <w:color w:val="000000"/>
                <w:sz w:val="24"/>
              </w:rPr>
              <w:t>15,435,817.13</w:t>
            </w:r>
          </w:p>
        </w:tc>
        <w:tc>
          <w:tcPr>
            <w:tcW w:w="0" w:type="auto"/>
            <w:vAlign w:val="center"/>
          </w:tcPr>
          <w:p w:rsidR="004E2A05" w:rsidRDefault="008C0C73">
            <w:pPr>
              <w:jc w:val="right"/>
            </w:pPr>
            <w:r>
              <w:rPr>
                <w:color w:val="000000"/>
                <w:sz w:val="24"/>
              </w:rPr>
              <w:t>3.74</w:t>
            </w:r>
          </w:p>
        </w:tc>
      </w:tr>
      <w:tr w:rsidR="004E2A05">
        <w:tc>
          <w:tcPr>
            <w:tcW w:w="0" w:type="auto"/>
            <w:vAlign w:val="center"/>
          </w:tcPr>
          <w:p w:rsidR="004E2A05" w:rsidRDefault="008C0C73">
            <w:pPr>
              <w:jc w:val="center"/>
            </w:pPr>
            <w:r>
              <w:rPr>
                <w:color w:val="000000"/>
                <w:sz w:val="24"/>
              </w:rPr>
              <w:t>7</w:t>
            </w:r>
          </w:p>
        </w:tc>
        <w:tc>
          <w:tcPr>
            <w:tcW w:w="0" w:type="auto"/>
            <w:vAlign w:val="center"/>
          </w:tcPr>
          <w:p w:rsidR="004E2A05" w:rsidRDefault="008C0C73">
            <w:pPr>
              <w:jc w:val="center"/>
            </w:pPr>
            <w:r>
              <w:rPr>
                <w:color w:val="000000"/>
                <w:sz w:val="24"/>
              </w:rPr>
              <w:t>TAL Education Group</w:t>
            </w:r>
          </w:p>
        </w:tc>
        <w:tc>
          <w:tcPr>
            <w:tcW w:w="0" w:type="auto"/>
            <w:vAlign w:val="center"/>
          </w:tcPr>
          <w:p w:rsidR="004E2A05" w:rsidRDefault="008C0C73">
            <w:pPr>
              <w:jc w:val="center"/>
            </w:pPr>
            <w:r>
              <w:rPr>
                <w:color w:val="000000"/>
                <w:sz w:val="24"/>
              </w:rPr>
              <w:t>学而思教育集团</w:t>
            </w:r>
          </w:p>
        </w:tc>
        <w:tc>
          <w:tcPr>
            <w:tcW w:w="0" w:type="auto"/>
            <w:vAlign w:val="center"/>
          </w:tcPr>
          <w:p w:rsidR="004E2A05" w:rsidRDefault="008C0C73">
            <w:pPr>
              <w:jc w:val="center"/>
            </w:pPr>
            <w:r>
              <w:rPr>
                <w:color w:val="000000"/>
                <w:sz w:val="24"/>
              </w:rPr>
              <w:t>TAL US</w:t>
            </w:r>
          </w:p>
        </w:tc>
        <w:tc>
          <w:tcPr>
            <w:tcW w:w="0" w:type="auto"/>
            <w:vAlign w:val="center"/>
          </w:tcPr>
          <w:p w:rsidR="004E2A05" w:rsidRDefault="008C0C73">
            <w:pPr>
              <w:jc w:val="center"/>
            </w:pPr>
            <w:r>
              <w:rPr>
                <w:color w:val="000000"/>
                <w:sz w:val="24"/>
              </w:rPr>
              <w:t>美国证券交易所</w:t>
            </w:r>
          </w:p>
        </w:tc>
        <w:tc>
          <w:tcPr>
            <w:tcW w:w="0" w:type="auto"/>
            <w:vAlign w:val="center"/>
          </w:tcPr>
          <w:p w:rsidR="004E2A05" w:rsidRDefault="008C0C73">
            <w:pPr>
              <w:jc w:val="center"/>
            </w:pPr>
            <w:r>
              <w:rPr>
                <w:color w:val="000000"/>
                <w:sz w:val="24"/>
              </w:rPr>
              <w:t>美国</w:t>
            </w:r>
          </w:p>
        </w:tc>
        <w:tc>
          <w:tcPr>
            <w:tcW w:w="0" w:type="auto"/>
            <w:vAlign w:val="center"/>
          </w:tcPr>
          <w:p w:rsidR="004E2A05" w:rsidRDefault="008C0C73">
            <w:pPr>
              <w:jc w:val="right"/>
            </w:pPr>
            <w:r>
              <w:rPr>
                <w:color w:val="000000"/>
                <w:sz w:val="24"/>
              </w:rPr>
              <w:t>31,611</w:t>
            </w:r>
          </w:p>
        </w:tc>
        <w:tc>
          <w:tcPr>
            <w:tcW w:w="0" w:type="auto"/>
            <w:vAlign w:val="center"/>
          </w:tcPr>
          <w:p w:rsidR="004E2A05" w:rsidRDefault="008C0C73">
            <w:pPr>
              <w:jc w:val="right"/>
            </w:pPr>
            <w:r>
              <w:rPr>
                <w:color w:val="000000"/>
                <w:sz w:val="24"/>
              </w:rPr>
              <w:t>15,382,878.32</w:t>
            </w:r>
          </w:p>
        </w:tc>
        <w:tc>
          <w:tcPr>
            <w:tcW w:w="0" w:type="auto"/>
            <w:vAlign w:val="center"/>
          </w:tcPr>
          <w:p w:rsidR="004E2A05" w:rsidRDefault="008C0C73">
            <w:pPr>
              <w:jc w:val="right"/>
            </w:pPr>
            <w:r>
              <w:rPr>
                <w:color w:val="000000"/>
                <w:sz w:val="24"/>
              </w:rPr>
              <w:t>3.73</w:t>
            </w:r>
          </w:p>
        </w:tc>
      </w:tr>
      <w:tr w:rsidR="004E2A05">
        <w:tc>
          <w:tcPr>
            <w:tcW w:w="0" w:type="auto"/>
            <w:vAlign w:val="center"/>
          </w:tcPr>
          <w:p w:rsidR="004E2A05" w:rsidRDefault="008C0C73">
            <w:pPr>
              <w:jc w:val="center"/>
            </w:pPr>
            <w:r>
              <w:rPr>
                <w:color w:val="000000"/>
                <w:sz w:val="24"/>
              </w:rPr>
              <w:t>8</w:t>
            </w:r>
          </w:p>
        </w:tc>
        <w:tc>
          <w:tcPr>
            <w:tcW w:w="0" w:type="auto"/>
            <w:vAlign w:val="center"/>
          </w:tcPr>
          <w:p w:rsidR="004E2A05" w:rsidRDefault="008C0C73">
            <w:pPr>
              <w:jc w:val="center"/>
            </w:pPr>
            <w:r>
              <w:rPr>
                <w:color w:val="000000"/>
                <w:sz w:val="24"/>
              </w:rPr>
              <w:t>Kingsoft Corp Ltd</w:t>
            </w:r>
          </w:p>
        </w:tc>
        <w:tc>
          <w:tcPr>
            <w:tcW w:w="0" w:type="auto"/>
            <w:vAlign w:val="center"/>
          </w:tcPr>
          <w:p w:rsidR="004E2A05" w:rsidRDefault="008C0C73">
            <w:pPr>
              <w:jc w:val="center"/>
            </w:pPr>
            <w:r>
              <w:rPr>
                <w:color w:val="000000"/>
                <w:sz w:val="24"/>
              </w:rPr>
              <w:t>金山软件</w:t>
            </w:r>
          </w:p>
        </w:tc>
        <w:tc>
          <w:tcPr>
            <w:tcW w:w="0" w:type="auto"/>
            <w:vAlign w:val="center"/>
          </w:tcPr>
          <w:p w:rsidR="004E2A05" w:rsidRDefault="008C0C73">
            <w:pPr>
              <w:jc w:val="center"/>
            </w:pPr>
            <w:r>
              <w:rPr>
                <w:color w:val="000000"/>
                <w:sz w:val="24"/>
              </w:rPr>
              <w:t>3888 HK</w:t>
            </w:r>
          </w:p>
        </w:tc>
        <w:tc>
          <w:tcPr>
            <w:tcW w:w="0" w:type="auto"/>
            <w:vAlign w:val="center"/>
          </w:tcPr>
          <w:p w:rsidR="004E2A05" w:rsidRDefault="008C0C73">
            <w:pPr>
              <w:jc w:val="center"/>
            </w:pPr>
            <w:r>
              <w:rPr>
                <w:color w:val="000000"/>
                <w:sz w:val="24"/>
              </w:rPr>
              <w:t>香港证券交易所</w:t>
            </w:r>
          </w:p>
        </w:tc>
        <w:tc>
          <w:tcPr>
            <w:tcW w:w="0" w:type="auto"/>
            <w:vAlign w:val="center"/>
          </w:tcPr>
          <w:p w:rsidR="004E2A05" w:rsidRDefault="008C0C73">
            <w:pPr>
              <w:jc w:val="center"/>
            </w:pPr>
            <w:r>
              <w:rPr>
                <w:color w:val="000000"/>
                <w:sz w:val="24"/>
              </w:rPr>
              <w:t>香港</w:t>
            </w:r>
          </w:p>
        </w:tc>
        <w:tc>
          <w:tcPr>
            <w:tcW w:w="0" w:type="auto"/>
            <w:vAlign w:val="center"/>
          </w:tcPr>
          <w:p w:rsidR="004E2A05" w:rsidRDefault="008C0C73">
            <w:pPr>
              <w:jc w:val="right"/>
            </w:pPr>
            <w:r>
              <w:rPr>
                <w:color w:val="000000"/>
                <w:sz w:val="24"/>
              </w:rPr>
              <w:t>1,056,000</w:t>
            </w:r>
          </w:p>
        </w:tc>
        <w:tc>
          <w:tcPr>
            <w:tcW w:w="0" w:type="auto"/>
            <w:vAlign w:val="center"/>
          </w:tcPr>
          <w:p w:rsidR="004E2A05" w:rsidRDefault="008C0C73">
            <w:pPr>
              <w:jc w:val="right"/>
            </w:pPr>
            <w:r>
              <w:rPr>
                <w:color w:val="000000"/>
                <w:sz w:val="24"/>
              </w:rPr>
              <w:t>15,021,781.37</w:t>
            </w:r>
          </w:p>
        </w:tc>
        <w:tc>
          <w:tcPr>
            <w:tcW w:w="0" w:type="auto"/>
            <w:vAlign w:val="center"/>
          </w:tcPr>
          <w:p w:rsidR="004E2A05" w:rsidRDefault="008C0C73">
            <w:pPr>
              <w:jc w:val="right"/>
            </w:pPr>
            <w:r>
              <w:rPr>
                <w:color w:val="000000"/>
                <w:sz w:val="24"/>
              </w:rPr>
              <w:t>3.64</w:t>
            </w:r>
          </w:p>
        </w:tc>
      </w:tr>
      <w:tr w:rsidR="004E2A05">
        <w:tc>
          <w:tcPr>
            <w:tcW w:w="0" w:type="auto"/>
            <w:vAlign w:val="center"/>
          </w:tcPr>
          <w:p w:rsidR="004E2A05" w:rsidRDefault="008C0C73">
            <w:pPr>
              <w:jc w:val="center"/>
            </w:pPr>
            <w:r>
              <w:rPr>
                <w:color w:val="000000"/>
                <w:sz w:val="24"/>
              </w:rPr>
              <w:t>9</w:t>
            </w:r>
          </w:p>
        </w:tc>
        <w:tc>
          <w:tcPr>
            <w:tcW w:w="0" w:type="auto"/>
            <w:vAlign w:val="center"/>
          </w:tcPr>
          <w:p w:rsidR="004E2A05" w:rsidRDefault="008C0C73">
            <w:pPr>
              <w:jc w:val="center"/>
            </w:pPr>
            <w:r>
              <w:rPr>
                <w:color w:val="000000"/>
                <w:sz w:val="24"/>
              </w:rPr>
              <w:t>NetEase Inc.</w:t>
            </w:r>
          </w:p>
        </w:tc>
        <w:tc>
          <w:tcPr>
            <w:tcW w:w="0" w:type="auto"/>
            <w:vAlign w:val="center"/>
          </w:tcPr>
          <w:p w:rsidR="004E2A05" w:rsidRDefault="008C0C73">
            <w:pPr>
              <w:jc w:val="center"/>
            </w:pPr>
            <w:r>
              <w:rPr>
                <w:color w:val="000000"/>
                <w:sz w:val="24"/>
              </w:rPr>
              <w:t>网易公司</w:t>
            </w:r>
          </w:p>
        </w:tc>
        <w:tc>
          <w:tcPr>
            <w:tcW w:w="0" w:type="auto"/>
            <w:vAlign w:val="center"/>
          </w:tcPr>
          <w:p w:rsidR="004E2A05" w:rsidRDefault="008C0C73">
            <w:pPr>
              <w:jc w:val="center"/>
            </w:pPr>
            <w:r>
              <w:rPr>
                <w:color w:val="000000"/>
                <w:sz w:val="24"/>
              </w:rPr>
              <w:t>NTES US</w:t>
            </w:r>
          </w:p>
        </w:tc>
        <w:tc>
          <w:tcPr>
            <w:tcW w:w="0" w:type="auto"/>
            <w:vAlign w:val="center"/>
          </w:tcPr>
          <w:p w:rsidR="004E2A05" w:rsidRDefault="008C0C73">
            <w:pPr>
              <w:jc w:val="center"/>
            </w:pPr>
            <w:r>
              <w:rPr>
                <w:color w:val="000000"/>
                <w:sz w:val="24"/>
              </w:rPr>
              <w:t>美国证券交易所</w:t>
            </w:r>
          </w:p>
        </w:tc>
        <w:tc>
          <w:tcPr>
            <w:tcW w:w="0" w:type="auto"/>
            <w:vAlign w:val="center"/>
          </w:tcPr>
          <w:p w:rsidR="004E2A05" w:rsidRDefault="008C0C73">
            <w:pPr>
              <w:jc w:val="center"/>
            </w:pPr>
            <w:r>
              <w:rPr>
                <w:color w:val="000000"/>
                <w:sz w:val="24"/>
              </w:rPr>
              <w:t>美国</w:t>
            </w:r>
          </w:p>
        </w:tc>
        <w:tc>
          <w:tcPr>
            <w:tcW w:w="0" w:type="auto"/>
            <w:vAlign w:val="center"/>
          </w:tcPr>
          <w:p w:rsidR="004E2A05" w:rsidRDefault="008C0C73">
            <w:pPr>
              <w:jc w:val="right"/>
            </w:pPr>
            <w:r>
              <w:rPr>
                <w:color w:val="000000"/>
                <w:sz w:val="24"/>
              </w:rPr>
              <w:t>10,055</w:t>
            </w:r>
          </w:p>
        </w:tc>
        <w:tc>
          <w:tcPr>
            <w:tcW w:w="0" w:type="auto"/>
            <w:vAlign w:val="center"/>
          </w:tcPr>
          <w:p w:rsidR="004E2A05" w:rsidRDefault="008C0C73">
            <w:pPr>
              <w:jc w:val="right"/>
            </w:pPr>
            <w:r>
              <w:rPr>
                <w:color w:val="000000"/>
                <w:sz w:val="24"/>
              </w:rPr>
              <w:t>15,020,295.55</w:t>
            </w:r>
          </w:p>
        </w:tc>
        <w:tc>
          <w:tcPr>
            <w:tcW w:w="0" w:type="auto"/>
            <w:vAlign w:val="center"/>
          </w:tcPr>
          <w:p w:rsidR="004E2A05" w:rsidRDefault="008C0C73">
            <w:pPr>
              <w:jc w:val="right"/>
            </w:pPr>
            <w:r>
              <w:rPr>
                <w:color w:val="000000"/>
                <w:sz w:val="24"/>
              </w:rPr>
              <w:t>3.64</w:t>
            </w:r>
          </w:p>
        </w:tc>
      </w:tr>
      <w:tr w:rsidR="004E2A05">
        <w:tc>
          <w:tcPr>
            <w:tcW w:w="0" w:type="auto"/>
            <w:vAlign w:val="center"/>
          </w:tcPr>
          <w:p w:rsidR="004E2A05" w:rsidRDefault="008C0C73">
            <w:pPr>
              <w:jc w:val="center"/>
            </w:pPr>
            <w:r>
              <w:rPr>
                <w:color w:val="000000"/>
                <w:sz w:val="24"/>
              </w:rPr>
              <w:t>10</w:t>
            </w:r>
          </w:p>
        </w:tc>
        <w:tc>
          <w:tcPr>
            <w:tcW w:w="0" w:type="auto"/>
            <w:vAlign w:val="center"/>
          </w:tcPr>
          <w:p w:rsidR="004E2A05" w:rsidRDefault="008C0C73">
            <w:pPr>
              <w:jc w:val="center"/>
            </w:pPr>
            <w:r>
              <w:rPr>
                <w:color w:val="000000"/>
                <w:sz w:val="24"/>
              </w:rPr>
              <w:t>58.com Inc.</w:t>
            </w:r>
          </w:p>
        </w:tc>
        <w:tc>
          <w:tcPr>
            <w:tcW w:w="0" w:type="auto"/>
            <w:vAlign w:val="center"/>
          </w:tcPr>
          <w:p w:rsidR="004E2A05" w:rsidRDefault="008C0C73">
            <w:pPr>
              <w:jc w:val="center"/>
            </w:pPr>
            <w:r>
              <w:rPr>
                <w:color w:val="000000"/>
                <w:sz w:val="24"/>
              </w:rPr>
              <w:t>58</w:t>
            </w:r>
            <w:r>
              <w:rPr>
                <w:color w:val="000000"/>
                <w:sz w:val="24"/>
              </w:rPr>
              <w:t>同城网</w:t>
            </w:r>
          </w:p>
        </w:tc>
        <w:tc>
          <w:tcPr>
            <w:tcW w:w="0" w:type="auto"/>
            <w:vAlign w:val="center"/>
          </w:tcPr>
          <w:p w:rsidR="004E2A05" w:rsidRDefault="008C0C73">
            <w:pPr>
              <w:jc w:val="center"/>
            </w:pPr>
            <w:r>
              <w:rPr>
                <w:color w:val="000000"/>
                <w:sz w:val="24"/>
              </w:rPr>
              <w:t>WUBA US</w:t>
            </w:r>
          </w:p>
        </w:tc>
        <w:tc>
          <w:tcPr>
            <w:tcW w:w="0" w:type="auto"/>
            <w:vAlign w:val="center"/>
          </w:tcPr>
          <w:p w:rsidR="004E2A05" w:rsidRDefault="008C0C73">
            <w:pPr>
              <w:jc w:val="center"/>
            </w:pPr>
            <w:r>
              <w:rPr>
                <w:color w:val="000000"/>
                <w:sz w:val="24"/>
              </w:rPr>
              <w:t>美国证券交易所</w:t>
            </w:r>
          </w:p>
        </w:tc>
        <w:tc>
          <w:tcPr>
            <w:tcW w:w="0" w:type="auto"/>
            <w:vAlign w:val="center"/>
          </w:tcPr>
          <w:p w:rsidR="004E2A05" w:rsidRDefault="008C0C73">
            <w:pPr>
              <w:jc w:val="center"/>
            </w:pPr>
            <w:r>
              <w:rPr>
                <w:color w:val="000000"/>
                <w:sz w:val="24"/>
              </w:rPr>
              <w:t>美国</w:t>
            </w:r>
          </w:p>
        </w:tc>
        <w:tc>
          <w:tcPr>
            <w:tcW w:w="0" w:type="auto"/>
            <w:vAlign w:val="center"/>
          </w:tcPr>
          <w:p w:rsidR="004E2A05" w:rsidRDefault="008C0C73">
            <w:pPr>
              <w:jc w:val="right"/>
            </w:pPr>
            <w:r>
              <w:rPr>
                <w:color w:val="000000"/>
                <w:sz w:val="24"/>
              </w:rPr>
              <w:t>74,695</w:t>
            </w:r>
          </w:p>
        </w:tc>
        <w:tc>
          <w:tcPr>
            <w:tcW w:w="0" w:type="auto"/>
            <w:vAlign w:val="center"/>
          </w:tcPr>
          <w:p w:rsidR="004E2A05" w:rsidRDefault="008C0C73">
            <w:pPr>
              <w:jc w:val="right"/>
            </w:pPr>
            <w:r>
              <w:rPr>
                <w:color w:val="000000"/>
                <w:sz w:val="24"/>
              </w:rPr>
              <w:t>14,508,458.02</w:t>
            </w:r>
          </w:p>
        </w:tc>
        <w:tc>
          <w:tcPr>
            <w:tcW w:w="0" w:type="auto"/>
            <w:vAlign w:val="center"/>
          </w:tcPr>
          <w:p w:rsidR="004E2A05" w:rsidRDefault="008C0C73">
            <w:pPr>
              <w:jc w:val="right"/>
            </w:pPr>
            <w:r>
              <w:rPr>
                <w:color w:val="000000"/>
                <w:sz w:val="24"/>
              </w:rPr>
              <w:t>3.52</w:t>
            </w:r>
          </w:p>
        </w:tc>
      </w:tr>
    </w:tbl>
    <w:p w:rsidR="00521EDE" w:rsidRDefault="00521EDE" w:rsidP="005546C0">
      <w:pPr>
        <w:autoSpaceDE w:val="0"/>
        <w:autoSpaceDN w:val="0"/>
        <w:adjustRightInd w:val="0"/>
        <w:spacing w:before="29" w:line="288" w:lineRule="auto"/>
        <w:ind w:left="15"/>
        <w:jc w:val="left"/>
        <w:rPr>
          <w:color w:val="000000"/>
          <w:sz w:val="24"/>
        </w:rPr>
      </w:pPr>
    </w:p>
    <w:p w:rsidR="006A77B5" w:rsidRPr="00DB2E09" w:rsidRDefault="006A77B5" w:rsidP="00DB2E09">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DB2E09">
          <w:rPr>
            <w:rFonts w:hint="eastAsia"/>
            <w:b/>
            <w:color w:val="000000"/>
            <w:kern w:val="0"/>
            <w:sz w:val="24"/>
          </w:rPr>
          <w:t>5.4.2</w:t>
        </w:r>
        <w:r w:rsidR="0043363E">
          <w:rPr>
            <w:rFonts w:hint="eastAsia"/>
            <w:b/>
            <w:color w:val="000000"/>
            <w:kern w:val="0"/>
            <w:sz w:val="24"/>
          </w:rPr>
          <w:t xml:space="preserve"> </w:t>
        </w:r>
        <w:r w:rsidR="0043363E">
          <w:rPr>
            <w:rFonts w:hint="eastAsia"/>
            <w:b/>
            <w:color w:val="000000"/>
            <w:kern w:val="0"/>
            <w:sz w:val="24"/>
          </w:rPr>
          <w:t>报告</w:t>
        </w:r>
      </w:smartTag>
      <w:r w:rsidRPr="00DB2E09">
        <w:rPr>
          <w:rFonts w:hint="eastAsia"/>
          <w:b/>
          <w:color w:val="000000"/>
          <w:kern w:val="0"/>
          <w:sz w:val="24"/>
        </w:rPr>
        <w:t>期末积极投资按公允价值占基金资产净值比例大小排序的前五名股票及存</w:t>
      </w:r>
      <w:r w:rsidRPr="00DB2E09">
        <w:rPr>
          <w:rFonts w:hint="eastAsia"/>
          <w:b/>
          <w:color w:val="000000"/>
          <w:kern w:val="0"/>
          <w:sz w:val="24"/>
        </w:rPr>
        <w:lastRenderedPageBreak/>
        <w:t>托凭证投资明细</w:t>
      </w:r>
    </w:p>
    <w:p w:rsidR="006A77B5" w:rsidRPr="00DB2E09" w:rsidRDefault="006A77B5" w:rsidP="00DB2E09">
      <w:pPr>
        <w:autoSpaceDE w:val="0"/>
        <w:autoSpaceDN w:val="0"/>
        <w:adjustRightInd w:val="0"/>
        <w:spacing w:before="29" w:line="288" w:lineRule="auto"/>
        <w:jc w:val="left"/>
        <w:rPr>
          <w:color w:val="000000"/>
          <w:sz w:val="24"/>
        </w:rPr>
      </w:pPr>
      <w:r w:rsidRPr="00DB2E09">
        <w:rPr>
          <w:rFonts w:hint="eastAsia"/>
          <w:color w:val="000000"/>
          <w:sz w:val="24"/>
        </w:rPr>
        <w:t>本基金本报告期末未持有积极投资股票及存托凭证。</w:t>
      </w:r>
    </w:p>
    <w:p w:rsidR="006A77B5" w:rsidRPr="006A77B5" w:rsidRDefault="006A77B5"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0D4219" w:rsidRPr="008640AE">
        <w:rPr>
          <w:b/>
          <w:color w:val="000000"/>
          <w:kern w:val="0"/>
          <w:sz w:val="24"/>
        </w:rPr>
        <w:t xml:space="preserve"> </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000D4219" w:rsidRPr="008640AE">
        <w:rPr>
          <w:b/>
          <w:color w:val="000000"/>
          <w:kern w:val="0"/>
          <w:sz w:val="24"/>
        </w:rPr>
        <w:t xml:space="preserve">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0D4219" w:rsidRPr="008640AE">
        <w:rPr>
          <w:b/>
          <w:color w:val="000000"/>
          <w:kern w:val="0"/>
          <w:sz w:val="24"/>
        </w:rPr>
        <w:t xml:space="preserve"> </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Pr>
          <w:rFonts w:hint="eastAsia"/>
          <w:b/>
          <w:color w:val="000000"/>
          <w:kern w:val="0"/>
          <w:sz w:val="24"/>
        </w:rPr>
        <w:t xml:space="preserve"> </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报告期内本基金投资的前十名证券的发行主体除京东（证券代码：</w:t>
      </w:r>
      <w:r w:rsidR="00521EDE" w:rsidRPr="008640AE">
        <w:rPr>
          <w:color w:val="000000"/>
          <w:sz w:val="24"/>
        </w:rPr>
        <w:t>JD US</w:t>
      </w:r>
      <w:r w:rsidR="00521EDE" w:rsidRPr="008640AE">
        <w:rPr>
          <w:color w:val="000000"/>
          <w:sz w:val="24"/>
        </w:rPr>
        <w:t>）外，未出现被监管部门立案调查，或在报告编制日前一年内受到公开谴责、处罚的情形。</w:t>
      </w:r>
    </w:p>
    <w:p w:rsidR="004E2A05" w:rsidRDefault="008C0C73">
      <w:pPr>
        <w:spacing w:before="29" w:line="288" w:lineRule="auto"/>
        <w:rPr>
          <w:color w:val="000000"/>
          <w:sz w:val="24"/>
        </w:rPr>
      </w:pPr>
      <w:r>
        <w:rPr>
          <w:color w:val="000000"/>
          <w:sz w:val="24"/>
        </w:rPr>
        <w:t>报告期内本基金投资的前十名证券之一京东（证券代码：</w:t>
      </w:r>
      <w:r>
        <w:rPr>
          <w:color w:val="000000"/>
          <w:sz w:val="24"/>
        </w:rPr>
        <w:t>JD US</w:t>
      </w:r>
      <w:r>
        <w:rPr>
          <w:color w:val="000000"/>
          <w:sz w:val="24"/>
        </w:rPr>
        <w:t>）的孙公司北京京东世纪信息技术有限公司在</w:t>
      </w:r>
      <w:r>
        <w:rPr>
          <w:color w:val="000000"/>
          <w:sz w:val="24"/>
        </w:rPr>
        <w:t>2015</w:t>
      </w:r>
      <w:r>
        <w:rPr>
          <w:color w:val="000000"/>
          <w:sz w:val="24"/>
        </w:rPr>
        <w:t>年</w:t>
      </w:r>
      <w:r>
        <w:rPr>
          <w:color w:val="000000"/>
          <w:sz w:val="24"/>
        </w:rPr>
        <w:t>7</w:t>
      </w:r>
      <w:r>
        <w:rPr>
          <w:color w:val="000000"/>
          <w:sz w:val="24"/>
        </w:rPr>
        <w:t>月</w:t>
      </w:r>
      <w:r>
        <w:rPr>
          <w:color w:val="000000"/>
          <w:sz w:val="24"/>
        </w:rPr>
        <w:t>28</w:t>
      </w:r>
      <w:r>
        <w:rPr>
          <w:color w:val="000000"/>
          <w:sz w:val="24"/>
        </w:rPr>
        <w:t>日至</w:t>
      </w:r>
      <w:r>
        <w:rPr>
          <w:color w:val="000000"/>
          <w:sz w:val="24"/>
        </w:rPr>
        <w:t>2016</w:t>
      </w:r>
      <w:r>
        <w:rPr>
          <w:color w:val="000000"/>
          <w:sz w:val="24"/>
        </w:rPr>
        <w:t>年</w:t>
      </w:r>
      <w:r>
        <w:rPr>
          <w:color w:val="000000"/>
          <w:sz w:val="24"/>
        </w:rPr>
        <w:t>4</w:t>
      </w:r>
      <w:r>
        <w:rPr>
          <w:color w:val="000000"/>
          <w:sz w:val="24"/>
        </w:rPr>
        <w:t>月</w:t>
      </w:r>
      <w:r>
        <w:rPr>
          <w:color w:val="000000"/>
          <w:sz w:val="24"/>
        </w:rPr>
        <w:t>8</w:t>
      </w:r>
      <w:r>
        <w:rPr>
          <w:color w:val="000000"/>
          <w:sz w:val="24"/>
        </w:rPr>
        <w:t>日期间，发生</w:t>
      </w:r>
      <w:r>
        <w:rPr>
          <w:color w:val="000000"/>
          <w:sz w:val="24"/>
        </w:rPr>
        <w:t>89</w:t>
      </w:r>
      <w:r>
        <w:rPr>
          <w:color w:val="000000"/>
          <w:sz w:val="24"/>
        </w:rPr>
        <w:t>次存在利用虚假的或者使人误解的价格手段，诱骗消费者或者其他经营者与其进行交易的价格违法行为。鉴于上述行为违反了《中华人民共和国价格法》，</w:t>
      </w:r>
      <w:r>
        <w:rPr>
          <w:color w:val="000000"/>
          <w:sz w:val="24"/>
        </w:rPr>
        <w:t>2016</w:t>
      </w:r>
      <w:r>
        <w:rPr>
          <w:color w:val="000000"/>
          <w:sz w:val="24"/>
        </w:rPr>
        <w:t>年</w:t>
      </w:r>
      <w:r>
        <w:rPr>
          <w:color w:val="000000"/>
          <w:sz w:val="24"/>
        </w:rPr>
        <w:t>5</w:t>
      </w:r>
      <w:r>
        <w:rPr>
          <w:color w:val="000000"/>
          <w:sz w:val="24"/>
        </w:rPr>
        <w:t>月</w:t>
      </w:r>
      <w:r>
        <w:rPr>
          <w:color w:val="000000"/>
          <w:sz w:val="24"/>
        </w:rPr>
        <w:t>25</w:t>
      </w:r>
      <w:r>
        <w:rPr>
          <w:color w:val="000000"/>
          <w:sz w:val="24"/>
        </w:rPr>
        <w:t>日北京发改委以京发改价格处罚</w:t>
      </w:r>
      <w:r>
        <w:rPr>
          <w:color w:val="000000"/>
          <w:sz w:val="24"/>
        </w:rPr>
        <w:t>[2016]19</w:t>
      </w:r>
      <w:r>
        <w:rPr>
          <w:color w:val="000000"/>
          <w:sz w:val="24"/>
        </w:rPr>
        <w:t>号《行政处罚决定书》对北京京东世纪信息技术有限公司作出警告和罚款</w:t>
      </w:r>
      <w:r>
        <w:rPr>
          <w:color w:val="000000"/>
          <w:sz w:val="24"/>
        </w:rPr>
        <w:t>500,000</w:t>
      </w:r>
      <w:r>
        <w:rPr>
          <w:color w:val="000000"/>
          <w:sz w:val="24"/>
        </w:rPr>
        <w:t>元的行政处罚。</w:t>
      </w:r>
    </w:p>
    <w:p w:rsidR="004E2A05" w:rsidRDefault="008C0C73">
      <w:pPr>
        <w:spacing w:before="29" w:line="288" w:lineRule="auto"/>
        <w:rPr>
          <w:color w:val="000000"/>
          <w:sz w:val="24"/>
        </w:rPr>
      </w:pPr>
      <w:r>
        <w:rPr>
          <w:color w:val="00000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5.10.3</w:t>
        </w:r>
      </w:smartTag>
      <w:r w:rsidR="000D4219" w:rsidRPr="008640AE">
        <w:rPr>
          <w:color w:val="000000"/>
          <w:kern w:val="0"/>
          <w:sz w:val="24"/>
        </w:rPr>
        <w:t xml:space="preserve"> </w:t>
      </w:r>
      <w:r w:rsidRPr="00CA431C">
        <w:rPr>
          <w:b/>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lastRenderedPageBreak/>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1,929.83</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221,423.59</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223,353.42</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000D4219" w:rsidRPr="008640AE">
        <w:rPr>
          <w:color w:val="000000"/>
          <w:kern w:val="0"/>
          <w:sz w:val="24"/>
        </w:rPr>
        <w:t xml:space="preserve"> </w:t>
      </w:r>
      <w:r w:rsidRPr="00CA431C">
        <w:rPr>
          <w:b/>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5.10.5</w:t>
        </w:r>
      </w:smartTag>
      <w:r w:rsidR="000D4219" w:rsidRPr="008640AE">
        <w:rPr>
          <w:color w:val="000000"/>
          <w:kern w:val="0"/>
          <w:sz w:val="24"/>
        </w:rPr>
        <w:t xml:space="preserve"> </w:t>
      </w:r>
      <w:r w:rsidRPr="00CA431C">
        <w:rPr>
          <w:b/>
          <w:color w:val="000000"/>
          <w:kern w:val="0"/>
          <w:sz w:val="24"/>
        </w:rPr>
        <w:t>报告期末</w:t>
      </w:r>
      <w:r w:rsidR="005F690D" w:rsidRPr="00CA431C">
        <w:rPr>
          <w:rFonts w:hint="eastAsia"/>
          <w:b/>
          <w:color w:val="000000"/>
          <w:kern w:val="0"/>
          <w:sz w:val="24"/>
        </w:rPr>
        <w:t>投资的</w:t>
      </w:r>
      <w:r w:rsidR="003E4E68" w:rsidRPr="00CA431C">
        <w:rPr>
          <w:b/>
          <w:color w:val="000000"/>
          <w:kern w:val="0"/>
          <w:sz w:val="24"/>
        </w:rPr>
        <w:t>股票</w:t>
      </w:r>
      <w:r w:rsidRPr="00CA431C">
        <w:rPr>
          <w:b/>
          <w:color w:val="000000"/>
          <w:kern w:val="0"/>
          <w:sz w:val="24"/>
        </w:rPr>
        <w:t>存在流通受限情况的说明</w:t>
      </w:r>
    </w:p>
    <w:p w:rsidR="006A77B5" w:rsidRPr="004C1FC8" w:rsidRDefault="006A77B5" w:rsidP="004C1FC8">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4C1FC8">
          <w:rPr>
            <w:color w:val="000000"/>
            <w:kern w:val="0"/>
            <w:sz w:val="24"/>
          </w:rPr>
          <w:t>5.</w:t>
        </w:r>
        <w:r w:rsidRPr="004C1FC8">
          <w:rPr>
            <w:rFonts w:hint="eastAsia"/>
            <w:color w:val="000000"/>
            <w:kern w:val="0"/>
            <w:sz w:val="24"/>
          </w:rPr>
          <w:t>10</w:t>
        </w:r>
        <w:r w:rsidRPr="004C1FC8">
          <w:rPr>
            <w:color w:val="000000"/>
            <w:kern w:val="0"/>
            <w:sz w:val="24"/>
          </w:rPr>
          <w:t>.5</w:t>
        </w:r>
      </w:smartTag>
      <w:r w:rsidRPr="004C1FC8">
        <w:rPr>
          <w:color w:val="000000"/>
          <w:kern w:val="0"/>
          <w:sz w:val="24"/>
        </w:rPr>
        <w:t>.</w:t>
      </w:r>
      <w:r w:rsidRPr="004C1FC8">
        <w:rPr>
          <w:rFonts w:hint="eastAsia"/>
          <w:color w:val="000000"/>
          <w:kern w:val="0"/>
          <w:sz w:val="24"/>
        </w:rPr>
        <w:t xml:space="preserve">1 </w:t>
      </w:r>
      <w:r w:rsidRPr="00CA431C">
        <w:rPr>
          <w:rFonts w:hint="eastAsia"/>
          <w:b/>
          <w:color w:val="000000"/>
          <w:kern w:val="0"/>
          <w:sz w:val="24"/>
        </w:rPr>
        <w:t>报告期末指数投资前十名股票中存在流通受限情况的说明</w:t>
      </w:r>
    </w:p>
    <w:p w:rsidR="006A77B5" w:rsidRPr="001C4C02" w:rsidRDefault="006A77B5" w:rsidP="001C4C02">
      <w:pPr>
        <w:autoSpaceDE w:val="0"/>
        <w:autoSpaceDN w:val="0"/>
        <w:adjustRightInd w:val="0"/>
        <w:spacing w:before="29" w:line="288" w:lineRule="auto"/>
        <w:jc w:val="left"/>
        <w:rPr>
          <w:color w:val="000000"/>
          <w:sz w:val="24"/>
        </w:rPr>
      </w:pPr>
      <w:r w:rsidRPr="001C4C02">
        <w:rPr>
          <w:color w:val="000000"/>
          <w:sz w:val="24"/>
        </w:rPr>
        <w:t>本基金本报告期末前十名股票中不存在流通受限的情况。</w:t>
      </w:r>
    </w:p>
    <w:p w:rsidR="006A77B5" w:rsidRDefault="006A77B5" w:rsidP="005546C0">
      <w:pPr>
        <w:autoSpaceDE w:val="0"/>
        <w:autoSpaceDN w:val="0"/>
        <w:adjustRightInd w:val="0"/>
        <w:spacing w:before="29" w:line="288" w:lineRule="auto"/>
        <w:jc w:val="left"/>
        <w:rPr>
          <w:color w:val="000000"/>
          <w:kern w:val="0"/>
          <w:sz w:val="24"/>
        </w:rPr>
      </w:pPr>
    </w:p>
    <w:p w:rsidR="006A77B5" w:rsidRPr="004C1FC8" w:rsidRDefault="006A77B5" w:rsidP="004C1FC8">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4C1FC8">
          <w:rPr>
            <w:color w:val="000000"/>
            <w:kern w:val="0"/>
            <w:sz w:val="24"/>
          </w:rPr>
          <w:t>5.</w:t>
        </w:r>
        <w:r w:rsidRPr="004C1FC8">
          <w:rPr>
            <w:rFonts w:hint="eastAsia"/>
            <w:color w:val="000000"/>
            <w:kern w:val="0"/>
            <w:sz w:val="24"/>
          </w:rPr>
          <w:t>10</w:t>
        </w:r>
        <w:r w:rsidRPr="004C1FC8">
          <w:rPr>
            <w:color w:val="000000"/>
            <w:kern w:val="0"/>
            <w:sz w:val="24"/>
          </w:rPr>
          <w:t>.5</w:t>
        </w:r>
      </w:smartTag>
      <w:r w:rsidRPr="004C1FC8">
        <w:rPr>
          <w:color w:val="000000"/>
          <w:kern w:val="0"/>
          <w:sz w:val="24"/>
        </w:rPr>
        <w:t>.</w:t>
      </w:r>
      <w:r w:rsidRPr="004C1FC8">
        <w:rPr>
          <w:rFonts w:hint="eastAsia"/>
          <w:color w:val="000000"/>
          <w:kern w:val="0"/>
          <w:sz w:val="24"/>
        </w:rPr>
        <w:t>2</w:t>
      </w:r>
      <w:r w:rsidRPr="00CA431C">
        <w:rPr>
          <w:rFonts w:hint="eastAsia"/>
          <w:b/>
          <w:color w:val="000000"/>
          <w:kern w:val="0"/>
          <w:sz w:val="24"/>
        </w:rPr>
        <w:t>报告</w:t>
      </w:r>
      <w:r w:rsidRPr="00CA431C">
        <w:rPr>
          <w:b/>
          <w:color w:val="000000"/>
          <w:kern w:val="0"/>
          <w:sz w:val="24"/>
        </w:rPr>
        <w:t>期末</w:t>
      </w:r>
      <w:r w:rsidRPr="00CA431C">
        <w:rPr>
          <w:rFonts w:hint="eastAsia"/>
          <w:b/>
          <w:color w:val="000000"/>
          <w:kern w:val="0"/>
          <w:sz w:val="24"/>
        </w:rPr>
        <w:t>积极投资</w:t>
      </w:r>
      <w:r w:rsidRPr="00CA431C">
        <w:rPr>
          <w:b/>
          <w:color w:val="000000"/>
          <w:kern w:val="0"/>
          <w:sz w:val="24"/>
        </w:rPr>
        <w:t>前五名股票中存在流通受限情况的说明</w:t>
      </w:r>
    </w:p>
    <w:p w:rsidR="006A77B5" w:rsidRDefault="006A77B5" w:rsidP="001C4C02">
      <w:pPr>
        <w:autoSpaceDE w:val="0"/>
        <w:autoSpaceDN w:val="0"/>
        <w:adjustRightInd w:val="0"/>
        <w:spacing w:before="29" w:line="288" w:lineRule="auto"/>
        <w:jc w:val="left"/>
        <w:rPr>
          <w:color w:val="000000"/>
          <w:sz w:val="24"/>
        </w:rPr>
      </w:pPr>
      <w:r w:rsidRPr="001C4C02">
        <w:rPr>
          <w:color w:val="000000"/>
          <w:sz w:val="24"/>
        </w:rPr>
        <w:t>本基金本报告期末未持有积极投资的股票。</w:t>
      </w:r>
    </w:p>
    <w:p w:rsidR="009F321E" w:rsidRPr="00820253" w:rsidRDefault="009F321E" w:rsidP="001C4C02">
      <w:pPr>
        <w:autoSpaceDE w:val="0"/>
        <w:autoSpaceDN w:val="0"/>
        <w:adjustRightInd w:val="0"/>
        <w:spacing w:before="29" w:line="288" w:lineRule="auto"/>
        <w:jc w:val="left"/>
        <w:rPr>
          <w:rFonts w:asciiTheme="minorEastAsia" w:eastAsiaTheme="minorEastAsia" w:hAnsiTheme="minorEastAsia"/>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0D4219" w:rsidRPr="008640AE">
        <w:rPr>
          <w:color w:val="000000"/>
          <w:kern w:val="0"/>
          <w:sz w:val="24"/>
        </w:rPr>
        <w:t xml:space="preserve"> </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43363E">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498,293,275.45</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53,509,715.83</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109,900,450.54</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441,902,540.74</w:t>
            </w:r>
          </w:p>
        </w:tc>
      </w:tr>
    </w:tbl>
    <w:p w:rsidR="004E2A05" w:rsidRDefault="008C0C7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8C0C73">
      <w:pPr>
        <w:autoSpaceDE w:val="0"/>
        <w:autoSpaceDN w:val="0"/>
        <w:adjustRightInd w:val="0"/>
        <w:spacing w:before="29" w:line="288" w:lineRule="auto"/>
        <w:ind w:firstLineChars="200" w:firstLine="480"/>
        <w:jc w:val="left"/>
        <w:rPr>
          <w:color w:val="000000"/>
          <w:sz w:val="24"/>
        </w:rPr>
      </w:pPr>
      <w:r w:rsidRPr="008640AE">
        <w:rPr>
          <w:color w:val="000000"/>
          <w:sz w:val="24"/>
        </w:rPr>
        <w:t>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43363E">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本基金管理人本报告期内未进行本基金的申购、赎回、红利再投等；本基金管理人本报告期末持有本基金份额</w:t>
      </w:r>
      <w:r w:rsidRPr="008640AE">
        <w:rPr>
          <w:color w:val="000000"/>
          <w:sz w:val="24"/>
        </w:rPr>
        <w:t>0.00</w:t>
      </w:r>
      <w:r w:rsidRPr="008640AE">
        <w:rPr>
          <w:color w:val="000000"/>
          <w:sz w:val="24"/>
        </w:rPr>
        <w:t>份，占本基金期末总份额的</w:t>
      </w:r>
      <w:r w:rsidRPr="008640AE">
        <w:rPr>
          <w:color w:val="000000"/>
          <w:sz w:val="24"/>
        </w:rPr>
        <w:t>0.00%</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76518F" w:rsidRPr="008640AE" w:rsidRDefault="0076518F" w:rsidP="0043363E">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8</w:t>
      </w:r>
      <w:r w:rsidR="00B11BC8" w:rsidRPr="008640AE">
        <w:rPr>
          <w:color w:val="000000"/>
          <w:kern w:val="0"/>
          <w:sz w:val="24"/>
          <w:szCs w:val="24"/>
        </w:rPr>
        <w:t xml:space="preserve"> </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1</w:t>
      </w:r>
      <w:r w:rsidR="00B11BC8" w:rsidRPr="008640AE">
        <w:rPr>
          <w:b/>
          <w:bCs/>
          <w:color w:val="000000"/>
          <w:kern w:val="0"/>
          <w:sz w:val="24"/>
        </w:rPr>
        <w:t xml:space="preserve"> </w:t>
      </w:r>
      <w:r w:rsidR="008975BC" w:rsidRPr="008640AE">
        <w:rPr>
          <w:b/>
          <w:bCs/>
          <w:color w:val="000000"/>
          <w:kern w:val="0"/>
          <w:sz w:val="24"/>
        </w:rPr>
        <w:t>备查文件目录</w:t>
      </w:r>
    </w:p>
    <w:p w:rsidR="004E2A05" w:rsidRDefault="008C0C73">
      <w:pPr>
        <w:spacing w:before="29" w:line="288" w:lineRule="auto"/>
        <w:ind w:firstLineChars="200" w:firstLine="480"/>
        <w:rPr>
          <w:color w:val="000000"/>
          <w:sz w:val="24"/>
        </w:rPr>
      </w:pPr>
      <w:r>
        <w:rPr>
          <w:color w:val="000000"/>
          <w:sz w:val="24"/>
        </w:rPr>
        <w:t>1</w:t>
      </w:r>
      <w:r>
        <w:rPr>
          <w:color w:val="000000"/>
          <w:sz w:val="24"/>
        </w:rPr>
        <w:t>、中国证监会准予交银施罗德中证海外中国互联网指数型证券投资基金</w:t>
      </w:r>
      <w:r>
        <w:rPr>
          <w:color w:val="000000"/>
          <w:sz w:val="24"/>
        </w:rPr>
        <w:t>(LOF)</w:t>
      </w:r>
      <w:r>
        <w:rPr>
          <w:color w:val="000000"/>
          <w:sz w:val="24"/>
        </w:rPr>
        <w:t>募集注册的文件；</w:t>
      </w:r>
      <w:r>
        <w:rPr>
          <w:color w:val="000000"/>
          <w:sz w:val="24"/>
        </w:rPr>
        <w:t xml:space="preserve"> </w:t>
      </w:r>
    </w:p>
    <w:p w:rsidR="004E2A05" w:rsidRDefault="008C0C73">
      <w:pPr>
        <w:spacing w:before="29" w:line="288" w:lineRule="auto"/>
        <w:ind w:firstLineChars="200" w:firstLine="480"/>
        <w:rPr>
          <w:color w:val="000000"/>
          <w:sz w:val="24"/>
        </w:rPr>
      </w:pPr>
      <w:r>
        <w:rPr>
          <w:color w:val="000000"/>
          <w:sz w:val="24"/>
        </w:rPr>
        <w:t>2</w:t>
      </w:r>
      <w:r>
        <w:rPr>
          <w:color w:val="000000"/>
          <w:sz w:val="24"/>
        </w:rPr>
        <w:t>、《交银施罗德中证海外中国互联网指数型证券投资基金</w:t>
      </w:r>
      <w:r>
        <w:rPr>
          <w:color w:val="000000"/>
          <w:sz w:val="24"/>
        </w:rPr>
        <w:t>(LOF)</w:t>
      </w:r>
      <w:r>
        <w:rPr>
          <w:color w:val="000000"/>
          <w:sz w:val="24"/>
        </w:rPr>
        <w:t>基金合同》；</w:t>
      </w:r>
    </w:p>
    <w:p w:rsidR="004E2A05" w:rsidRDefault="008C0C73">
      <w:pPr>
        <w:spacing w:before="29" w:line="288" w:lineRule="auto"/>
        <w:ind w:firstLineChars="200" w:firstLine="480"/>
        <w:rPr>
          <w:color w:val="000000"/>
          <w:sz w:val="24"/>
        </w:rPr>
      </w:pPr>
      <w:r>
        <w:rPr>
          <w:color w:val="000000"/>
          <w:sz w:val="24"/>
        </w:rPr>
        <w:t>3</w:t>
      </w:r>
      <w:r>
        <w:rPr>
          <w:color w:val="000000"/>
          <w:sz w:val="24"/>
        </w:rPr>
        <w:t>、《交银施罗德中证海外中国互联网指数型证券投资基金</w:t>
      </w:r>
      <w:r>
        <w:rPr>
          <w:color w:val="000000"/>
          <w:sz w:val="24"/>
        </w:rPr>
        <w:t>(LOF)</w:t>
      </w:r>
      <w:r>
        <w:rPr>
          <w:color w:val="000000"/>
          <w:sz w:val="24"/>
        </w:rPr>
        <w:t>招募说明书》；</w:t>
      </w:r>
      <w:r>
        <w:rPr>
          <w:color w:val="000000"/>
          <w:sz w:val="24"/>
        </w:rPr>
        <w:t xml:space="preserve"> </w:t>
      </w:r>
    </w:p>
    <w:p w:rsidR="004E2A05" w:rsidRDefault="008C0C73">
      <w:pPr>
        <w:spacing w:before="29" w:line="288" w:lineRule="auto"/>
        <w:ind w:firstLineChars="200" w:firstLine="480"/>
        <w:rPr>
          <w:color w:val="000000"/>
          <w:sz w:val="24"/>
        </w:rPr>
      </w:pPr>
      <w:r>
        <w:rPr>
          <w:color w:val="000000"/>
          <w:sz w:val="24"/>
        </w:rPr>
        <w:t>4</w:t>
      </w:r>
      <w:r>
        <w:rPr>
          <w:color w:val="000000"/>
          <w:sz w:val="24"/>
        </w:rPr>
        <w:t>、《交银施罗德中证海外中国互联网指数型证券投资基金</w:t>
      </w:r>
      <w:r>
        <w:rPr>
          <w:color w:val="000000"/>
          <w:sz w:val="24"/>
        </w:rPr>
        <w:t>(LOF)</w:t>
      </w:r>
      <w:r>
        <w:rPr>
          <w:color w:val="000000"/>
          <w:sz w:val="24"/>
        </w:rPr>
        <w:t>托管协议》；</w:t>
      </w:r>
      <w:r>
        <w:rPr>
          <w:color w:val="000000"/>
          <w:sz w:val="24"/>
        </w:rPr>
        <w:t xml:space="preserve"> </w:t>
      </w:r>
    </w:p>
    <w:p w:rsidR="004E2A05" w:rsidRDefault="008C0C73">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4E2A05" w:rsidRDefault="008C0C73">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4E2A05" w:rsidRDefault="008C0C73">
      <w:pPr>
        <w:spacing w:before="29" w:line="288" w:lineRule="auto"/>
        <w:ind w:firstLineChars="200" w:firstLine="480"/>
        <w:rPr>
          <w:color w:val="000000"/>
          <w:sz w:val="24"/>
        </w:rPr>
      </w:pPr>
      <w:r>
        <w:rPr>
          <w:color w:val="000000"/>
          <w:sz w:val="24"/>
        </w:rPr>
        <w:t>7</w:t>
      </w:r>
      <w:r>
        <w:rPr>
          <w:color w:val="000000"/>
          <w:sz w:val="24"/>
        </w:rPr>
        <w:t>、关于申请募集注册交银施罗德中证海外中国互联网指数型证券投资基金</w:t>
      </w:r>
      <w:r>
        <w:rPr>
          <w:color w:val="000000"/>
          <w:sz w:val="24"/>
        </w:rPr>
        <w:t>(LOF)</w:t>
      </w:r>
      <w:r>
        <w:rPr>
          <w:color w:val="000000"/>
          <w:sz w:val="24"/>
        </w:rPr>
        <w:t>的法律意见书；</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、报告期内交银施罗德中证海外中国互联网指数型证券投资基金</w:t>
      </w:r>
      <w:r w:rsidRPr="008640AE">
        <w:rPr>
          <w:color w:val="000000"/>
          <w:sz w:val="24"/>
        </w:rPr>
        <w:t>(LOF)</w:t>
      </w:r>
      <w:r w:rsidRPr="008640AE">
        <w:rPr>
          <w:color w:val="000000"/>
          <w:sz w:val="24"/>
        </w:rPr>
        <w:t>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2</w:t>
      </w:r>
      <w:r w:rsidR="00B11BC8" w:rsidRPr="008640AE">
        <w:rPr>
          <w:b/>
          <w:bCs/>
          <w:color w:val="000000"/>
          <w:kern w:val="0"/>
          <w:sz w:val="24"/>
        </w:rPr>
        <w:t xml:space="preserve"> </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3</w:t>
      </w:r>
      <w:r w:rsidR="00B11BC8" w:rsidRPr="008640AE">
        <w:rPr>
          <w:b/>
          <w:bCs/>
          <w:color w:val="000000"/>
          <w:kern w:val="0"/>
          <w:sz w:val="24"/>
        </w:rPr>
        <w:t xml:space="preserve"> </w:t>
      </w:r>
      <w:r w:rsidR="008975BC" w:rsidRPr="008640AE">
        <w:rPr>
          <w:b/>
          <w:bCs/>
          <w:color w:val="000000"/>
          <w:kern w:val="0"/>
          <w:sz w:val="24"/>
        </w:rPr>
        <w:t>查阅方式</w:t>
      </w:r>
    </w:p>
    <w:p w:rsidR="004E2A05" w:rsidRDefault="008C0C73">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0"/>
      <w:footerReference w:type="even" r:id="rId11"/>
      <w:headerReference w:type="first" r:id="rId12"/>
      <w:footerReference w:type="first" r:id="rId13"/>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9E8" w:rsidRDefault="005719E8">
      <w:r>
        <w:separator/>
      </w:r>
    </w:p>
  </w:endnote>
  <w:endnote w:type="continuationSeparator" w:id="0">
    <w:p w:rsidR="005719E8" w:rsidRDefault="0057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Pr="001D0DB0" w:rsidRDefault="004C1FC8" w:rsidP="00B918B8">
    <w:pPr>
      <w:pStyle w:val="a6"/>
      <w:jc w:val="center"/>
    </w:pPr>
    <w:r>
      <w:rPr>
        <w:rFonts w:hint="eastAsia"/>
        <w:kern w:val="0"/>
        <w:szCs w:val="21"/>
      </w:rPr>
      <w:t>第</w:t>
    </w:r>
    <w:r>
      <w:rPr>
        <w:rFonts w:hint="eastAsia"/>
        <w:kern w:val="0"/>
        <w:szCs w:val="21"/>
      </w:rPr>
      <w:t xml:space="preserve"> </w:t>
    </w:r>
    <w:r w:rsidR="004816EB">
      <w:rPr>
        <w:kern w:val="0"/>
        <w:szCs w:val="21"/>
      </w:rPr>
      <w:fldChar w:fldCharType="begin"/>
    </w:r>
    <w:r>
      <w:rPr>
        <w:kern w:val="0"/>
        <w:szCs w:val="21"/>
      </w:rPr>
      <w:instrText xml:space="preserve"> PAGE </w:instrText>
    </w:r>
    <w:r w:rsidR="004816EB">
      <w:rPr>
        <w:kern w:val="0"/>
        <w:szCs w:val="21"/>
      </w:rPr>
      <w:fldChar w:fldCharType="separate"/>
    </w:r>
    <w:r w:rsidR="00863A15">
      <w:rPr>
        <w:noProof/>
        <w:kern w:val="0"/>
        <w:szCs w:val="21"/>
      </w:rPr>
      <w:t>2</w:t>
    </w:r>
    <w:r w:rsidR="004816EB">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4816EB">
      <w:rPr>
        <w:kern w:val="0"/>
        <w:szCs w:val="21"/>
      </w:rPr>
      <w:fldChar w:fldCharType="begin"/>
    </w:r>
    <w:r>
      <w:rPr>
        <w:kern w:val="0"/>
        <w:szCs w:val="21"/>
      </w:rPr>
      <w:instrText xml:space="preserve"> NUMPAGES </w:instrText>
    </w:r>
    <w:r w:rsidR="004816EB">
      <w:rPr>
        <w:kern w:val="0"/>
        <w:szCs w:val="21"/>
      </w:rPr>
      <w:fldChar w:fldCharType="separate"/>
    </w:r>
    <w:r w:rsidR="00863A15">
      <w:rPr>
        <w:noProof/>
        <w:kern w:val="0"/>
        <w:szCs w:val="21"/>
      </w:rPr>
      <w:t>13</w:t>
    </w:r>
    <w:r w:rsidR="004816EB">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816EB">
    <w:pPr>
      <w:pStyle w:val="a6"/>
      <w:framePr w:wrap="around" w:vAnchor="text" w:hAnchor="margin" w:xAlign="center" w:y="1"/>
      <w:rPr>
        <w:rStyle w:val="a7"/>
      </w:rPr>
    </w:pPr>
    <w:r>
      <w:rPr>
        <w:rStyle w:val="a7"/>
      </w:rPr>
      <w:fldChar w:fldCharType="begin"/>
    </w:r>
    <w:r w:rsidR="004C1FC8">
      <w:rPr>
        <w:rStyle w:val="a7"/>
      </w:rPr>
      <w:instrText xml:space="preserve">PAGE  </w:instrText>
    </w:r>
    <w:r>
      <w:rPr>
        <w:rStyle w:val="a7"/>
      </w:rPr>
      <w:fldChar w:fldCharType="end"/>
    </w:r>
  </w:p>
  <w:p w:rsidR="004C1FC8" w:rsidRDefault="004C1FC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9E8" w:rsidRDefault="005719E8">
      <w:r>
        <w:separator/>
      </w:r>
    </w:p>
  </w:footnote>
  <w:footnote w:type="continuationSeparator" w:id="0">
    <w:p w:rsidR="005719E8" w:rsidRDefault="00571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Pr="00207EBF" w:rsidRDefault="004C1FC8" w:rsidP="001D1356">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-43180</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27CA3"/>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65D38"/>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4C02"/>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54E"/>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4E68"/>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63E"/>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16EB"/>
    <w:rsid w:val="00482956"/>
    <w:rsid w:val="0048587E"/>
    <w:rsid w:val="00486C29"/>
    <w:rsid w:val="00487C2B"/>
    <w:rsid w:val="00490B1F"/>
    <w:rsid w:val="0049153C"/>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1FC8"/>
    <w:rsid w:val="004C2C46"/>
    <w:rsid w:val="004C52A1"/>
    <w:rsid w:val="004C7235"/>
    <w:rsid w:val="004C7955"/>
    <w:rsid w:val="004D047F"/>
    <w:rsid w:val="004D3971"/>
    <w:rsid w:val="004D3D96"/>
    <w:rsid w:val="004D650F"/>
    <w:rsid w:val="004E2133"/>
    <w:rsid w:val="004E2A05"/>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9E8"/>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690D"/>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A77B5"/>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D87"/>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3A15"/>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0C73"/>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041"/>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321E"/>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12DC"/>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169D"/>
    <w:rsid w:val="00C9394F"/>
    <w:rsid w:val="00C93B1A"/>
    <w:rsid w:val="00C9504A"/>
    <w:rsid w:val="00C96275"/>
    <w:rsid w:val="00C968F4"/>
    <w:rsid w:val="00C96F5F"/>
    <w:rsid w:val="00CA3977"/>
    <w:rsid w:val="00CA431C"/>
    <w:rsid w:val="00CA5927"/>
    <w:rsid w:val="00CA79EC"/>
    <w:rsid w:val="00CB39C2"/>
    <w:rsid w:val="00CB44DE"/>
    <w:rsid w:val="00CB4C8C"/>
    <w:rsid w:val="00CB6782"/>
    <w:rsid w:val="00CB7629"/>
    <w:rsid w:val="00CB7735"/>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2E09"/>
    <w:rsid w:val="00DB37EE"/>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42D0"/>
    <w:rsid w:val="00EC4BA3"/>
    <w:rsid w:val="00EC5CE6"/>
    <w:rsid w:val="00EC638F"/>
    <w:rsid w:val="00ED6B0D"/>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5C41"/>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0448"/>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8F56E5DD-5B06-4DAF-B8AB-90FED28C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123</TotalTime>
  <Pages>13</Pages>
  <Words>1098</Words>
  <Characters>6262</Characters>
  <Application>Microsoft Office Word</Application>
  <DocSecurity>0</DocSecurity>
  <Lines>52</Lines>
  <Paragraphs>14</Paragraphs>
  <ScaleCrop>false</ScaleCrop>
  <Company>TRT. Ltd. Co.</Company>
  <LinksUpToDate>false</LinksUpToDate>
  <CharactersWithSpaces>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302</cp:revision>
  <cp:lastPrinted>2007-07-19T00:46:00Z</cp:lastPrinted>
  <dcterms:created xsi:type="dcterms:W3CDTF">2013-08-01T05:26:00Z</dcterms:created>
  <dcterms:modified xsi:type="dcterms:W3CDTF">2017-01-17T10:27:00Z</dcterms:modified>
</cp:coreProperties>
</file>