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15E1A" w14:textId="77777777" w:rsidR="00B92624" w:rsidRPr="00474B23" w:rsidRDefault="000D5098" w:rsidP="00B92624">
      <w:pPr>
        <w:pStyle w:val="a7"/>
        <w:rPr>
          <w:rFonts w:eastAsia="黑体"/>
          <w:color w:val="000000"/>
          <w:kern w:val="0"/>
          <w:sz w:val="30"/>
        </w:rPr>
      </w:pPr>
      <w:bookmarkStart w:id="0" w:name="_Toc355966666"/>
      <w:bookmarkStart w:id="1" w:name="_GoBack"/>
      <w:bookmarkEnd w:id="1"/>
      <w:r w:rsidRPr="00474B23">
        <w:rPr>
          <w:rFonts w:eastAsia="黑体"/>
          <w:color w:val="000000"/>
          <w:kern w:val="0"/>
          <w:sz w:val="30"/>
        </w:rPr>
        <w:t>交银施罗德基金管理有限公司旗下</w:t>
      </w:r>
      <w:r w:rsidR="00B92624" w:rsidRPr="00474B23">
        <w:rPr>
          <w:rFonts w:eastAsia="黑体"/>
          <w:color w:val="000000"/>
          <w:kern w:val="0"/>
          <w:sz w:val="30"/>
        </w:rPr>
        <w:t>基金转换</w:t>
      </w:r>
      <w:bookmarkEnd w:id="0"/>
      <w:r w:rsidR="00B92624" w:rsidRPr="00474B23">
        <w:rPr>
          <w:rFonts w:eastAsia="黑体"/>
          <w:color w:val="000000"/>
          <w:kern w:val="0"/>
          <w:sz w:val="30"/>
        </w:rPr>
        <w:t>业务</w:t>
      </w:r>
      <w:r w:rsidRPr="00474B23">
        <w:rPr>
          <w:rFonts w:eastAsia="黑体"/>
          <w:color w:val="000000"/>
          <w:kern w:val="0"/>
          <w:sz w:val="30"/>
        </w:rPr>
        <w:t>规则</w:t>
      </w:r>
    </w:p>
    <w:p w14:paraId="6C93D1E0" w14:textId="77777777" w:rsidR="00B92624" w:rsidRPr="00474B23" w:rsidRDefault="00B92624" w:rsidP="00B92624">
      <w:pPr>
        <w:spacing w:line="360" w:lineRule="auto"/>
        <w:ind w:firstLineChars="200" w:firstLine="482"/>
        <w:rPr>
          <w:b/>
          <w:bCs/>
          <w:color w:val="000000"/>
          <w:sz w:val="24"/>
          <w:szCs w:val="21"/>
        </w:rPr>
      </w:pPr>
      <w:r w:rsidRPr="00474B23">
        <w:rPr>
          <w:b/>
          <w:bCs/>
          <w:color w:val="000000"/>
          <w:sz w:val="24"/>
          <w:szCs w:val="21"/>
        </w:rPr>
        <w:t>（一）基金转换</w:t>
      </w:r>
    </w:p>
    <w:p w14:paraId="7DE774AF" w14:textId="77777777" w:rsidR="00B92624" w:rsidRPr="00474B23" w:rsidRDefault="00B92624" w:rsidP="00B92624">
      <w:pPr>
        <w:pStyle w:val="a6"/>
        <w:spacing w:after="0" w:line="360" w:lineRule="auto"/>
        <w:ind w:rightChars="-85" w:right="-178" w:firstLineChars="200" w:firstLine="480"/>
        <w:rPr>
          <w:sz w:val="24"/>
          <w:szCs w:val="24"/>
        </w:rPr>
      </w:pPr>
      <w:r w:rsidRPr="00474B23">
        <w:rPr>
          <w:rFonts w:hAnsi="宋体"/>
          <w:sz w:val="24"/>
          <w:szCs w:val="24"/>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14:paraId="33745696" w14:textId="77777777" w:rsidR="00B92624" w:rsidRPr="00474B23" w:rsidRDefault="00B92624" w:rsidP="00B92624">
      <w:pPr>
        <w:spacing w:line="360" w:lineRule="auto"/>
        <w:ind w:firstLineChars="200" w:firstLine="482"/>
        <w:rPr>
          <w:b/>
          <w:bCs/>
          <w:color w:val="000000"/>
          <w:sz w:val="24"/>
          <w:szCs w:val="21"/>
        </w:rPr>
      </w:pPr>
      <w:r w:rsidRPr="00474B23">
        <w:rPr>
          <w:b/>
          <w:bCs/>
          <w:color w:val="000000"/>
          <w:sz w:val="24"/>
          <w:szCs w:val="21"/>
        </w:rPr>
        <w:t>（二）转换业务办理时间</w:t>
      </w:r>
    </w:p>
    <w:p w14:paraId="112A7975" w14:textId="77777777" w:rsidR="00B92624" w:rsidRPr="00474B23" w:rsidRDefault="00B92624" w:rsidP="00B92624">
      <w:pPr>
        <w:pStyle w:val="a6"/>
        <w:spacing w:line="360" w:lineRule="auto"/>
        <w:ind w:rightChars="-85" w:right="-178" w:firstLineChars="200" w:firstLine="480"/>
        <w:rPr>
          <w:sz w:val="24"/>
          <w:szCs w:val="24"/>
        </w:rPr>
      </w:pPr>
      <w:r w:rsidRPr="00474B23">
        <w:rPr>
          <w:rFonts w:hAnsi="宋体"/>
          <w:sz w:val="24"/>
          <w:szCs w:val="24"/>
        </w:rPr>
        <w:t>办理基金间转换的时间为上海证券交易所、深圳证券交易所交易日。若出现新的证券交易市场或交易所交易时间更改或其它原因，基金管理人将视情况进行相应的调整并公告。</w:t>
      </w:r>
    </w:p>
    <w:p w14:paraId="2582437D" w14:textId="77777777" w:rsidR="00B92624" w:rsidRPr="00474B23" w:rsidRDefault="00B92624" w:rsidP="00B92624">
      <w:pPr>
        <w:pStyle w:val="a6"/>
        <w:spacing w:line="360" w:lineRule="auto"/>
        <w:ind w:rightChars="-85" w:right="-178" w:firstLineChars="200" w:firstLine="480"/>
        <w:rPr>
          <w:sz w:val="24"/>
          <w:szCs w:val="24"/>
        </w:rPr>
      </w:pPr>
      <w:r w:rsidRPr="00474B23">
        <w:rPr>
          <w:rFonts w:hAnsi="宋体"/>
          <w:sz w:val="24"/>
          <w:szCs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14:paraId="1163DEEA" w14:textId="77777777" w:rsidR="00B92624" w:rsidRPr="00474B23" w:rsidRDefault="00B92624" w:rsidP="00B92624">
      <w:pPr>
        <w:spacing w:line="360" w:lineRule="auto"/>
        <w:ind w:firstLineChars="200" w:firstLine="482"/>
        <w:rPr>
          <w:b/>
          <w:bCs/>
          <w:color w:val="000000"/>
          <w:sz w:val="24"/>
          <w:szCs w:val="21"/>
        </w:rPr>
      </w:pPr>
      <w:r w:rsidRPr="00474B23">
        <w:rPr>
          <w:b/>
          <w:bCs/>
          <w:color w:val="000000"/>
          <w:sz w:val="24"/>
          <w:szCs w:val="21"/>
        </w:rPr>
        <w:t>（三）转换业务适用的基金范围</w:t>
      </w:r>
    </w:p>
    <w:p w14:paraId="3F6B7BF1" w14:textId="77777777" w:rsidR="00195B99" w:rsidRPr="006A2C97" w:rsidRDefault="00B92624" w:rsidP="00195B99">
      <w:pPr>
        <w:spacing w:line="360" w:lineRule="auto"/>
        <w:ind w:firstLineChars="200" w:firstLine="480"/>
        <w:rPr>
          <w:rFonts w:asciiTheme="minorEastAsia" w:eastAsiaTheme="minorEastAsia" w:hAnsiTheme="minorEastAsia"/>
          <w:sz w:val="24"/>
        </w:rPr>
      </w:pPr>
      <w:r w:rsidRPr="006A2C97">
        <w:rPr>
          <w:rFonts w:asciiTheme="minorEastAsia" w:eastAsiaTheme="minorEastAsia" w:hAnsiTheme="minorEastAsia"/>
          <w:sz w:val="24"/>
        </w:rPr>
        <w:t>目前本基金管理人旗下管理的基金</w:t>
      </w:r>
      <w:r w:rsidR="006A2C97" w:rsidRPr="006A2C97">
        <w:rPr>
          <w:rFonts w:asciiTheme="minorEastAsia" w:eastAsiaTheme="minorEastAsia" w:hAnsiTheme="minorEastAsia"/>
          <w:sz w:val="24"/>
        </w:rPr>
        <w:t>如下：</w:t>
      </w:r>
    </w:p>
    <w:tbl>
      <w:tblPr>
        <w:tblW w:w="524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4362"/>
        <w:gridCol w:w="1700"/>
        <w:gridCol w:w="2127"/>
      </w:tblGrid>
      <w:tr w:rsidR="00195B99" w:rsidRPr="006A2C97" w14:paraId="375B7F01" w14:textId="77777777" w:rsidTr="00195B99">
        <w:trPr>
          <w:trHeight w:val="285"/>
        </w:trPr>
        <w:tc>
          <w:tcPr>
            <w:tcW w:w="415" w:type="pct"/>
            <w:shd w:val="clear" w:color="auto" w:fill="auto"/>
            <w:noWrap/>
            <w:vAlign w:val="center"/>
            <w:hideMark/>
          </w:tcPr>
          <w:p w14:paraId="197EAA97"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序号</w:t>
            </w:r>
          </w:p>
        </w:tc>
        <w:tc>
          <w:tcPr>
            <w:tcW w:w="2442" w:type="pct"/>
            <w:shd w:val="clear" w:color="auto" w:fill="auto"/>
            <w:noWrap/>
            <w:vAlign w:val="center"/>
            <w:hideMark/>
          </w:tcPr>
          <w:p w14:paraId="2B6314C2"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基金名称</w:t>
            </w:r>
          </w:p>
        </w:tc>
        <w:tc>
          <w:tcPr>
            <w:tcW w:w="952" w:type="pct"/>
            <w:shd w:val="clear" w:color="auto" w:fill="auto"/>
            <w:vAlign w:val="center"/>
            <w:hideMark/>
          </w:tcPr>
          <w:p w14:paraId="13202F45"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简称</w:t>
            </w:r>
          </w:p>
        </w:tc>
        <w:tc>
          <w:tcPr>
            <w:tcW w:w="1191" w:type="pct"/>
            <w:shd w:val="clear" w:color="auto" w:fill="auto"/>
            <w:noWrap/>
            <w:vAlign w:val="center"/>
            <w:hideMark/>
          </w:tcPr>
          <w:p w14:paraId="54C226E8"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适用基金代码</w:t>
            </w:r>
          </w:p>
        </w:tc>
      </w:tr>
      <w:tr w:rsidR="00195B99" w:rsidRPr="006A2C97" w14:paraId="6421EE32" w14:textId="77777777" w:rsidTr="00195B99">
        <w:trPr>
          <w:trHeight w:val="640"/>
        </w:trPr>
        <w:tc>
          <w:tcPr>
            <w:tcW w:w="415" w:type="pct"/>
            <w:shd w:val="clear" w:color="auto" w:fill="auto"/>
            <w:noWrap/>
            <w:vAlign w:val="center"/>
            <w:hideMark/>
          </w:tcPr>
          <w:p w14:paraId="4C241258"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1</w:t>
            </w:r>
          </w:p>
        </w:tc>
        <w:tc>
          <w:tcPr>
            <w:tcW w:w="2442" w:type="pct"/>
            <w:shd w:val="clear" w:color="auto" w:fill="auto"/>
            <w:vAlign w:val="center"/>
            <w:hideMark/>
          </w:tcPr>
          <w:p w14:paraId="1EE090AA"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交银施罗德精选混合型证券投资基金</w:t>
            </w:r>
          </w:p>
        </w:tc>
        <w:tc>
          <w:tcPr>
            <w:tcW w:w="952" w:type="pct"/>
            <w:shd w:val="clear" w:color="auto" w:fill="auto"/>
            <w:vAlign w:val="center"/>
            <w:hideMark/>
          </w:tcPr>
          <w:p w14:paraId="281A834E"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交银精选</w:t>
            </w:r>
          </w:p>
        </w:tc>
        <w:tc>
          <w:tcPr>
            <w:tcW w:w="1191" w:type="pct"/>
            <w:shd w:val="clear" w:color="auto" w:fill="auto"/>
            <w:vAlign w:val="center"/>
            <w:hideMark/>
          </w:tcPr>
          <w:p w14:paraId="1C2C0DFF"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 xml:space="preserve">前端519688 </w:t>
            </w:r>
          </w:p>
          <w:p w14:paraId="6121AE20"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后端 519689</w:t>
            </w:r>
          </w:p>
        </w:tc>
      </w:tr>
      <w:tr w:rsidR="00195B99" w:rsidRPr="006A2C97" w14:paraId="008BAD5B" w14:textId="77777777" w:rsidTr="00195B99">
        <w:trPr>
          <w:trHeight w:val="630"/>
        </w:trPr>
        <w:tc>
          <w:tcPr>
            <w:tcW w:w="415" w:type="pct"/>
            <w:shd w:val="clear" w:color="auto" w:fill="auto"/>
            <w:noWrap/>
            <w:vAlign w:val="center"/>
            <w:hideMark/>
          </w:tcPr>
          <w:p w14:paraId="04BBD593"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2</w:t>
            </w:r>
          </w:p>
        </w:tc>
        <w:tc>
          <w:tcPr>
            <w:tcW w:w="2442" w:type="pct"/>
            <w:shd w:val="clear" w:color="auto" w:fill="auto"/>
            <w:vAlign w:val="center"/>
            <w:hideMark/>
          </w:tcPr>
          <w:p w14:paraId="34FD20F9"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交银施罗德货币市场证券投资基金</w:t>
            </w:r>
          </w:p>
        </w:tc>
        <w:tc>
          <w:tcPr>
            <w:tcW w:w="952" w:type="pct"/>
            <w:shd w:val="clear" w:color="auto" w:fill="auto"/>
            <w:vAlign w:val="center"/>
            <w:hideMark/>
          </w:tcPr>
          <w:p w14:paraId="6DE6CF9D"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交银货币</w:t>
            </w:r>
          </w:p>
        </w:tc>
        <w:tc>
          <w:tcPr>
            <w:tcW w:w="1191" w:type="pct"/>
            <w:shd w:val="clear" w:color="auto" w:fill="auto"/>
            <w:vAlign w:val="center"/>
            <w:hideMark/>
          </w:tcPr>
          <w:p w14:paraId="4AB7AE19"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A级519588</w:t>
            </w:r>
          </w:p>
          <w:p w14:paraId="039EDCDD"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B级519589</w:t>
            </w:r>
          </w:p>
        </w:tc>
      </w:tr>
      <w:tr w:rsidR="00195B99" w:rsidRPr="006A2C97" w14:paraId="52E1546C" w14:textId="77777777" w:rsidTr="00195B99">
        <w:trPr>
          <w:trHeight w:val="624"/>
        </w:trPr>
        <w:tc>
          <w:tcPr>
            <w:tcW w:w="415" w:type="pct"/>
            <w:shd w:val="clear" w:color="auto" w:fill="auto"/>
            <w:noWrap/>
            <w:vAlign w:val="center"/>
            <w:hideMark/>
          </w:tcPr>
          <w:p w14:paraId="09862FD6"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3</w:t>
            </w:r>
          </w:p>
        </w:tc>
        <w:tc>
          <w:tcPr>
            <w:tcW w:w="2442" w:type="pct"/>
            <w:shd w:val="clear" w:color="auto" w:fill="auto"/>
            <w:vAlign w:val="center"/>
            <w:hideMark/>
          </w:tcPr>
          <w:p w14:paraId="7BE5EBEC"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交银施罗德稳健配置混合型证券投资基金</w:t>
            </w:r>
          </w:p>
        </w:tc>
        <w:tc>
          <w:tcPr>
            <w:tcW w:w="952" w:type="pct"/>
            <w:shd w:val="clear" w:color="auto" w:fill="auto"/>
            <w:vAlign w:val="center"/>
            <w:hideMark/>
          </w:tcPr>
          <w:p w14:paraId="3E98B781"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交银稳健</w:t>
            </w:r>
          </w:p>
        </w:tc>
        <w:tc>
          <w:tcPr>
            <w:tcW w:w="1191" w:type="pct"/>
            <w:shd w:val="clear" w:color="auto" w:fill="auto"/>
            <w:vAlign w:val="center"/>
            <w:hideMark/>
          </w:tcPr>
          <w:p w14:paraId="03C4AE5A"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前端519690</w:t>
            </w:r>
          </w:p>
          <w:p w14:paraId="2B61680C"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后端519691</w:t>
            </w:r>
          </w:p>
        </w:tc>
      </w:tr>
      <w:tr w:rsidR="00195B99" w:rsidRPr="006A2C97" w14:paraId="6DFD0617" w14:textId="77777777" w:rsidTr="00195B99">
        <w:trPr>
          <w:trHeight w:val="624"/>
        </w:trPr>
        <w:tc>
          <w:tcPr>
            <w:tcW w:w="415" w:type="pct"/>
            <w:shd w:val="clear" w:color="auto" w:fill="auto"/>
            <w:noWrap/>
            <w:vAlign w:val="center"/>
            <w:hideMark/>
          </w:tcPr>
          <w:p w14:paraId="297098B0"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4</w:t>
            </w:r>
          </w:p>
        </w:tc>
        <w:tc>
          <w:tcPr>
            <w:tcW w:w="2442" w:type="pct"/>
            <w:shd w:val="clear" w:color="auto" w:fill="auto"/>
            <w:vAlign w:val="center"/>
            <w:hideMark/>
          </w:tcPr>
          <w:p w14:paraId="5F9E6F87"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交银施罗德成长混合型证券投资基金</w:t>
            </w:r>
          </w:p>
        </w:tc>
        <w:tc>
          <w:tcPr>
            <w:tcW w:w="952" w:type="pct"/>
            <w:shd w:val="clear" w:color="auto" w:fill="auto"/>
            <w:vAlign w:val="center"/>
            <w:hideMark/>
          </w:tcPr>
          <w:p w14:paraId="5C2974D8"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交银成长</w:t>
            </w:r>
          </w:p>
        </w:tc>
        <w:tc>
          <w:tcPr>
            <w:tcW w:w="1191" w:type="pct"/>
            <w:shd w:val="clear" w:color="auto" w:fill="auto"/>
            <w:vAlign w:val="center"/>
            <w:hideMark/>
          </w:tcPr>
          <w:p w14:paraId="3D746467"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前端519692</w:t>
            </w:r>
          </w:p>
          <w:p w14:paraId="353C8668"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后端519693</w:t>
            </w:r>
          </w:p>
        </w:tc>
      </w:tr>
      <w:tr w:rsidR="00195B99" w:rsidRPr="006A2C97" w14:paraId="3535E492" w14:textId="77777777" w:rsidTr="00195B99">
        <w:trPr>
          <w:trHeight w:val="624"/>
        </w:trPr>
        <w:tc>
          <w:tcPr>
            <w:tcW w:w="415" w:type="pct"/>
            <w:shd w:val="clear" w:color="auto" w:fill="auto"/>
            <w:noWrap/>
            <w:vAlign w:val="center"/>
            <w:hideMark/>
          </w:tcPr>
          <w:p w14:paraId="1EDF970B"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w:t>
            </w:r>
          </w:p>
        </w:tc>
        <w:tc>
          <w:tcPr>
            <w:tcW w:w="2442" w:type="pct"/>
            <w:shd w:val="clear" w:color="auto" w:fill="auto"/>
            <w:vAlign w:val="center"/>
            <w:hideMark/>
          </w:tcPr>
          <w:p w14:paraId="02B2500D"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交银施罗德蓝筹混合型证券投资基金</w:t>
            </w:r>
          </w:p>
        </w:tc>
        <w:tc>
          <w:tcPr>
            <w:tcW w:w="952" w:type="pct"/>
            <w:shd w:val="clear" w:color="auto" w:fill="auto"/>
            <w:vAlign w:val="center"/>
            <w:hideMark/>
          </w:tcPr>
          <w:p w14:paraId="0DB5A80A"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交银蓝筹</w:t>
            </w:r>
          </w:p>
        </w:tc>
        <w:tc>
          <w:tcPr>
            <w:tcW w:w="1191" w:type="pct"/>
            <w:shd w:val="clear" w:color="auto" w:fill="auto"/>
            <w:vAlign w:val="center"/>
            <w:hideMark/>
          </w:tcPr>
          <w:p w14:paraId="0CFC4CA6"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前端519694</w:t>
            </w:r>
          </w:p>
          <w:p w14:paraId="46152B96"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后端519695</w:t>
            </w:r>
          </w:p>
        </w:tc>
      </w:tr>
      <w:tr w:rsidR="00195B99" w:rsidRPr="006A2C97" w14:paraId="61E44C87" w14:textId="77777777" w:rsidTr="00195B99">
        <w:trPr>
          <w:trHeight w:val="962"/>
        </w:trPr>
        <w:tc>
          <w:tcPr>
            <w:tcW w:w="415" w:type="pct"/>
            <w:shd w:val="clear" w:color="auto" w:fill="auto"/>
            <w:noWrap/>
            <w:vAlign w:val="center"/>
            <w:hideMark/>
          </w:tcPr>
          <w:p w14:paraId="6F8E8F06"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6</w:t>
            </w:r>
          </w:p>
        </w:tc>
        <w:tc>
          <w:tcPr>
            <w:tcW w:w="2442" w:type="pct"/>
            <w:shd w:val="clear" w:color="auto" w:fill="auto"/>
            <w:vAlign w:val="center"/>
            <w:hideMark/>
          </w:tcPr>
          <w:p w14:paraId="4B11DF27"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交银施罗德增利债券证券投资基金</w:t>
            </w:r>
          </w:p>
        </w:tc>
        <w:tc>
          <w:tcPr>
            <w:tcW w:w="952" w:type="pct"/>
            <w:shd w:val="clear" w:color="auto" w:fill="auto"/>
            <w:vAlign w:val="center"/>
            <w:hideMark/>
          </w:tcPr>
          <w:p w14:paraId="07AAAC52"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交银增利</w:t>
            </w:r>
          </w:p>
        </w:tc>
        <w:tc>
          <w:tcPr>
            <w:tcW w:w="1191" w:type="pct"/>
            <w:shd w:val="clear" w:color="auto" w:fill="auto"/>
            <w:vAlign w:val="center"/>
            <w:hideMark/>
          </w:tcPr>
          <w:p w14:paraId="39A16E67"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A类519680</w:t>
            </w:r>
          </w:p>
          <w:p w14:paraId="01152A22"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B类519681</w:t>
            </w:r>
          </w:p>
          <w:p w14:paraId="23FDFD1F"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C类519682</w:t>
            </w:r>
          </w:p>
        </w:tc>
      </w:tr>
      <w:tr w:rsidR="00195B99" w:rsidRPr="006A2C97" w14:paraId="3ABD1A6A" w14:textId="77777777" w:rsidTr="00195B99">
        <w:trPr>
          <w:trHeight w:val="285"/>
        </w:trPr>
        <w:tc>
          <w:tcPr>
            <w:tcW w:w="415" w:type="pct"/>
            <w:shd w:val="clear" w:color="auto" w:fill="auto"/>
            <w:noWrap/>
            <w:vAlign w:val="center"/>
            <w:hideMark/>
          </w:tcPr>
          <w:p w14:paraId="0E58BA37"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7</w:t>
            </w:r>
          </w:p>
        </w:tc>
        <w:tc>
          <w:tcPr>
            <w:tcW w:w="2442" w:type="pct"/>
            <w:shd w:val="clear" w:color="auto" w:fill="auto"/>
            <w:vAlign w:val="center"/>
            <w:hideMark/>
          </w:tcPr>
          <w:p w14:paraId="7CEC7FA2"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交银施罗德环球精选价值证券投资基金</w:t>
            </w:r>
          </w:p>
        </w:tc>
        <w:tc>
          <w:tcPr>
            <w:tcW w:w="952" w:type="pct"/>
            <w:shd w:val="clear" w:color="auto" w:fill="auto"/>
            <w:vAlign w:val="center"/>
            <w:hideMark/>
          </w:tcPr>
          <w:p w14:paraId="17E957C6"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交银环球</w:t>
            </w:r>
          </w:p>
        </w:tc>
        <w:tc>
          <w:tcPr>
            <w:tcW w:w="1191" w:type="pct"/>
            <w:shd w:val="clear" w:color="auto" w:fill="auto"/>
            <w:vAlign w:val="center"/>
            <w:hideMark/>
          </w:tcPr>
          <w:p w14:paraId="6DD90C63"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519696</w:t>
            </w:r>
          </w:p>
        </w:tc>
      </w:tr>
      <w:tr w:rsidR="00195B99" w:rsidRPr="006A2C97" w14:paraId="1A35D036" w14:textId="77777777" w:rsidTr="00195B99">
        <w:trPr>
          <w:trHeight w:val="570"/>
        </w:trPr>
        <w:tc>
          <w:tcPr>
            <w:tcW w:w="415" w:type="pct"/>
            <w:shd w:val="clear" w:color="auto" w:fill="auto"/>
            <w:noWrap/>
            <w:vAlign w:val="center"/>
            <w:hideMark/>
          </w:tcPr>
          <w:p w14:paraId="03AB3671"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8</w:t>
            </w:r>
          </w:p>
        </w:tc>
        <w:tc>
          <w:tcPr>
            <w:tcW w:w="2442" w:type="pct"/>
            <w:shd w:val="clear" w:color="auto" w:fill="auto"/>
            <w:vAlign w:val="center"/>
            <w:hideMark/>
          </w:tcPr>
          <w:p w14:paraId="5A545009"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交银施罗德优势行业灵活配置混合型证券投资基金</w:t>
            </w:r>
          </w:p>
        </w:tc>
        <w:tc>
          <w:tcPr>
            <w:tcW w:w="952" w:type="pct"/>
            <w:shd w:val="clear" w:color="auto" w:fill="auto"/>
            <w:vAlign w:val="center"/>
            <w:hideMark/>
          </w:tcPr>
          <w:p w14:paraId="6F8F51F1"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交银行业</w:t>
            </w:r>
          </w:p>
        </w:tc>
        <w:tc>
          <w:tcPr>
            <w:tcW w:w="1191" w:type="pct"/>
            <w:shd w:val="clear" w:color="auto" w:fill="auto"/>
            <w:vAlign w:val="center"/>
            <w:hideMark/>
          </w:tcPr>
          <w:p w14:paraId="6847813C"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519697</w:t>
            </w:r>
          </w:p>
        </w:tc>
      </w:tr>
      <w:tr w:rsidR="00195B99" w:rsidRPr="006A2C97" w14:paraId="08595502" w14:textId="77777777" w:rsidTr="00195B99">
        <w:trPr>
          <w:trHeight w:val="624"/>
        </w:trPr>
        <w:tc>
          <w:tcPr>
            <w:tcW w:w="415" w:type="pct"/>
            <w:shd w:val="clear" w:color="auto" w:fill="auto"/>
            <w:noWrap/>
            <w:vAlign w:val="center"/>
            <w:hideMark/>
          </w:tcPr>
          <w:p w14:paraId="1D81734C"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9</w:t>
            </w:r>
          </w:p>
        </w:tc>
        <w:tc>
          <w:tcPr>
            <w:tcW w:w="2442" w:type="pct"/>
            <w:shd w:val="clear" w:color="auto" w:fill="auto"/>
            <w:vAlign w:val="center"/>
            <w:hideMark/>
          </w:tcPr>
          <w:p w14:paraId="0A30EF9F"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交银施罗德先锋混合型证券投资基金</w:t>
            </w:r>
          </w:p>
        </w:tc>
        <w:tc>
          <w:tcPr>
            <w:tcW w:w="952" w:type="pct"/>
            <w:shd w:val="clear" w:color="auto" w:fill="auto"/>
            <w:vAlign w:val="center"/>
            <w:hideMark/>
          </w:tcPr>
          <w:p w14:paraId="12656568"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交银先锋</w:t>
            </w:r>
          </w:p>
        </w:tc>
        <w:tc>
          <w:tcPr>
            <w:tcW w:w="1191" w:type="pct"/>
            <w:shd w:val="clear" w:color="auto" w:fill="auto"/>
            <w:vAlign w:val="center"/>
            <w:hideMark/>
          </w:tcPr>
          <w:p w14:paraId="56EFF490"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前端519698</w:t>
            </w:r>
          </w:p>
          <w:p w14:paraId="4E86117A"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后端519699</w:t>
            </w:r>
          </w:p>
        </w:tc>
      </w:tr>
      <w:tr w:rsidR="00195B99" w:rsidRPr="006A2C97" w14:paraId="7432BCBC" w14:textId="77777777" w:rsidTr="00195B99">
        <w:trPr>
          <w:trHeight w:val="570"/>
        </w:trPr>
        <w:tc>
          <w:tcPr>
            <w:tcW w:w="415" w:type="pct"/>
            <w:shd w:val="clear" w:color="auto" w:fill="auto"/>
            <w:noWrap/>
            <w:vAlign w:val="center"/>
            <w:hideMark/>
          </w:tcPr>
          <w:p w14:paraId="661EDF7A"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lastRenderedPageBreak/>
              <w:t>10</w:t>
            </w:r>
          </w:p>
        </w:tc>
        <w:tc>
          <w:tcPr>
            <w:tcW w:w="2442" w:type="pct"/>
            <w:shd w:val="clear" w:color="auto" w:fill="auto"/>
            <w:vAlign w:val="center"/>
            <w:hideMark/>
          </w:tcPr>
          <w:p w14:paraId="49703C89"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上证180公司治理交易型开放式指数证券投资基金</w:t>
            </w:r>
          </w:p>
        </w:tc>
        <w:tc>
          <w:tcPr>
            <w:tcW w:w="952" w:type="pct"/>
            <w:shd w:val="clear" w:color="auto" w:fill="auto"/>
            <w:vAlign w:val="center"/>
            <w:hideMark/>
          </w:tcPr>
          <w:p w14:paraId="71CF3F37"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治理ETF</w:t>
            </w:r>
          </w:p>
        </w:tc>
        <w:tc>
          <w:tcPr>
            <w:tcW w:w="1191" w:type="pct"/>
            <w:shd w:val="clear" w:color="auto" w:fill="auto"/>
            <w:vAlign w:val="center"/>
            <w:hideMark/>
          </w:tcPr>
          <w:p w14:paraId="36B90CF4"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510010</w:t>
            </w:r>
          </w:p>
        </w:tc>
      </w:tr>
      <w:tr w:rsidR="00195B99" w:rsidRPr="006A2C97" w14:paraId="676CA60C" w14:textId="77777777" w:rsidTr="00195B99">
        <w:trPr>
          <w:trHeight w:val="926"/>
        </w:trPr>
        <w:tc>
          <w:tcPr>
            <w:tcW w:w="415" w:type="pct"/>
            <w:shd w:val="clear" w:color="auto" w:fill="auto"/>
            <w:noWrap/>
            <w:vAlign w:val="center"/>
            <w:hideMark/>
          </w:tcPr>
          <w:p w14:paraId="597F7F2B"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11</w:t>
            </w:r>
          </w:p>
        </w:tc>
        <w:tc>
          <w:tcPr>
            <w:tcW w:w="2442" w:type="pct"/>
            <w:shd w:val="clear" w:color="auto" w:fill="auto"/>
            <w:vAlign w:val="center"/>
            <w:hideMark/>
          </w:tcPr>
          <w:p w14:paraId="0B3E6CAA"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交银施罗德上证180公司治理交易型开放式指数证券投资基金联接基金</w:t>
            </w:r>
          </w:p>
        </w:tc>
        <w:tc>
          <w:tcPr>
            <w:tcW w:w="952" w:type="pct"/>
            <w:shd w:val="clear" w:color="auto" w:fill="auto"/>
            <w:vAlign w:val="center"/>
            <w:hideMark/>
          </w:tcPr>
          <w:p w14:paraId="74DB79A4"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交银治理</w:t>
            </w:r>
          </w:p>
        </w:tc>
        <w:tc>
          <w:tcPr>
            <w:tcW w:w="1191" w:type="pct"/>
            <w:shd w:val="clear" w:color="auto" w:fill="auto"/>
            <w:vAlign w:val="center"/>
            <w:hideMark/>
          </w:tcPr>
          <w:p w14:paraId="22D67826"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前端519686</w:t>
            </w:r>
          </w:p>
          <w:p w14:paraId="18CC0F1E"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后端519687</w:t>
            </w:r>
          </w:p>
        </w:tc>
      </w:tr>
      <w:tr w:rsidR="00195B99" w:rsidRPr="006A2C97" w14:paraId="4A67F003" w14:textId="77777777" w:rsidTr="00195B99">
        <w:trPr>
          <w:trHeight w:val="634"/>
        </w:trPr>
        <w:tc>
          <w:tcPr>
            <w:tcW w:w="415" w:type="pct"/>
            <w:shd w:val="clear" w:color="auto" w:fill="auto"/>
            <w:noWrap/>
            <w:vAlign w:val="center"/>
            <w:hideMark/>
          </w:tcPr>
          <w:p w14:paraId="4E2B0462"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12</w:t>
            </w:r>
          </w:p>
        </w:tc>
        <w:tc>
          <w:tcPr>
            <w:tcW w:w="2442" w:type="pct"/>
            <w:shd w:val="clear" w:color="auto" w:fill="auto"/>
            <w:vAlign w:val="center"/>
            <w:hideMark/>
          </w:tcPr>
          <w:p w14:paraId="6353FE43"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交银施罗德主题优选灵活配置混合型证券投资基金</w:t>
            </w:r>
          </w:p>
        </w:tc>
        <w:tc>
          <w:tcPr>
            <w:tcW w:w="952" w:type="pct"/>
            <w:shd w:val="clear" w:color="auto" w:fill="auto"/>
            <w:vAlign w:val="center"/>
            <w:hideMark/>
          </w:tcPr>
          <w:p w14:paraId="284E484D"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交银主题</w:t>
            </w:r>
          </w:p>
        </w:tc>
        <w:tc>
          <w:tcPr>
            <w:tcW w:w="1191" w:type="pct"/>
            <w:shd w:val="clear" w:color="auto" w:fill="auto"/>
            <w:vAlign w:val="center"/>
            <w:hideMark/>
          </w:tcPr>
          <w:p w14:paraId="5E388464"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前端519700</w:t>
            </w:r>
          </w:p>
          <w:p w14:paraId="393BE90A"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后端519701</w:t>
            </w:r>
          </w:p>
        </w:tc>
      </w:tr>
      <w:tr w:rsidR="00195B99" w:rsidRPr="006A2C97" w14:paraId="44FB13FE" w14:textId="77777777" w:rsidTr="00195B99">
        <w:trPr>
          <w:trHeight w:val="634"/>
        </w:trPr>
        <w:tc>
          <w:tcPr>
            <w:tcW w:w="415" w:type="pct"/>
            <w:shd w:val="clear" w:color="auto" w:fill="auto"/>
            <w:noWrap/>
            <w:vAlign w:val="center"/>
            <w:hideMark/>
          </w:tcPr>
          <w:p w14:paraId="106F7298"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13</w:t>
            </w:r>
          </w:p>
        </w:tc>
        <w:tc>
          <w:tcPr>
            <w:tcW w:w="2442" w:type="pct"/>
            <w:shd w:val="clear" w:color="auto" w:fill="auto"/>
            <w:vAlign w:val="center"/>
            <w:hideMark/>
          </w:tcPr>
          <w:p w14:paraId="1E8BD9FB"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交银施罗德趋势优先混合型证券投资基金</w:t>
            </w:r>
          </w:p>
        </w:tc>
        <w:tc>
          <w:tcPr>
            <w:tcW w:w="952" w:type="pct"/>
            <w:shd w:val="clear" w:color="auto" w:fill="auto"/>
            <w:vAlign w:val="center"/>
            <w:hideMark/>
          </w:tcPr>
          <w:p w14:paraId="763644D4"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交银趋势</w:t>
            </w:r>
          </w:p>
        </w:tc>
        <w:tc>
          <w:tcPr>
            <w:tcW w:w="1191" w:type="pct"/>
            <w:shd w:val="clear" w:color="auto" w:fill="auto"/>
            <w:vAlign w:val="center"/>
            <w:hideMark/>
          </w:tcPr>
          <w:p w14:paraId="1AFB6045"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前端519702</w:t>
            </w:r>
          </w:p>
          <w:p w14:paraId="38A8F63B"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后端519703</w:t>
            </w:r>
          </w:p>
        </w:tc>
      </w:tr>
      <w:tr w:rsidR="00195B99" w:rsidRPr="006A2C97" w14:paraId="6639BB50" w14:textId="77777777" w:rsidTr="00195B99">
        <w:trPr>
          <w:trHeight w:val="634"/>
        </w:trPr>
        <w:tc>
          <w:tcPr>
            <w:tcW w:w="415" w:type="pct"/>
            <w:shd w:val="clear" w:color="auto" w:fill="auto"/>
            <w:noWrap/>
            <w:vAlign w:val="center"/>
            <w:hideMark/>
          </w:tcPr>
          <w:p w14:paraId="6F3AD9F4"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14</w:t>
            </w:r>
          </w:p>
        </w:tc>
        <w:tc>
          <w:tcPr>
            <w:tcW w:w="2442" w:type="pct"/>
            <w:shd w:val="clear" w:color="auto" w:fill="auto"/>
            <w:vAlign w:val="center"/>
            <w:hideMark/>
          </w:tcPr>
          <w:p w14:paraId="3FC847F2"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交银施罗德信用添利债券证券投资基金(LOF)</w:t>
            </w:r>
          </w:p>
        </w:tc>
        <w:tc>
          <w:tcPr>
            <w:tcW w:w="952" w:type="pct"/>
            <w:shd w:val="clear" w:color="auto" w:fill="auto"/>
            <w:vAlign w:val="center"/>
            <w:hideMark/>
          </w:tcPr>
          <w:p w14:paraId="017CF4BF"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交银添利</w:t>
            </w:r>
          </w:p>
        </w:tc>
        <w:tc>
          <w:tcPr>
            <w:tcW w:w="1191" w:type="pct"/>
            <w:shd w:val="clear" w:color="auto" w:fill="auto"/>
            <w:vAlign w:val="center"/>
            <w:hideMark/>
          </w:tcPr>
          <w:p w14:paraId="31C5F118"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前端164902</w:t>
            </w:r>
          </w:p>
          <w:p w14:paraId="11BEF7EB"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后端164903</w:t>
            </w:r>
          </w:p>
        </w:tc>
      </w:tr>
      <w:tr w:rsidR="00195B99" w:rsidRPr="006A2C97" w14:paraId="55FB025F" w14:textId="77777777" w:rsidTr="00195B99">
        <w:trPr>
          <w:trHeight w:val="634"/>
        </w:trPr>
        <w:tc>
          <w:tcPr>
            <w:tcW w:w="415" w:type="pct"/>
            <w:shd w:val="clear" w:color="auto" w:fill="auto"/>
            <w:noWrap/>
            <w:vAlign w:val="center"/>
            <w:hideMark/>
          </w:tcPr>
          <w:p w14:paraId="4FD3D274"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15</w:t>
            </w:r>
          </w:p>
        </w:tc>
        <w:tc>
          <w:tcPr>
            <w:tcW w:w="2442" w:type="pct"/>
            <w:shd w:val="clear" w:color="auto" w:fill="auto"/>
            <w:vAlign w:val="center"/>
            <w:hideMark/>
          </w:tcPr>
          <w:p w14:paraId="0C3D7AF8"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交银施罗德先进制造混合型证券投资基金</w:t>
            </w:r>
          </w:p>
        </w:tc>
        <w:tc>
          <w:tcPr>
            <w:tcW w:w="952" w:type="pct"/>
            <w:shd w:val="clear" w:color="auto" w:fill="auto"/>
            <w:vAlign w:val="center"/>
            <w:hideMark/>
          </w:tcPr>
          <w:p w14:paraId="2DA332DE"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交银制造</w:t>
            </w:r>
          </w:p>
        </w:tc>
        <w:tc>
          <w:tcPr>
            <w:tcW w:w="1191" w:type="pct"/>
            <w:shd w:val="clear" w:color="auto" w:fill="auto"/>
            <w:vAlign w:val="center"/>
            <w:hideMark/>
          </w:tcPr>
          <w:p w14:paraId="68E34005"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前端519704</w:t>
            </w:r>
          </w:p>
          <w:p w14:paraId="711BE3B1"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后端519705</w:t>
            </w:r>
          </w:p>
        </w:tc>
      </w:tr>
      <w:tr w:rsidR="00195B99" w:rsidRPr="006A2C97" w14:paraId="39885E5A" w14:textId="77777777" w:rsidTr="00195B99">
        <w:trPr>
          <w:trHeight w:val="570"/>
        </w:trPr>
        <w:tc>
          <w:tcPr>
            <w:tcW w:w="415" w:type="pct"/>
            <w:shd w:val="clear" w:color="auto" w:fill="auto"/>
            <w:noWrap/>
            <w:vAlign w:val="center"/>
            <w:hideMark/>
          </w:tcPr>
          <w:p w14:paraId="1996E722"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16</w:t>
            </w:r>
          </w:p>
        </w:tc>
        <w:tc>
          <w:tcPr>
            <w:tcW w:w="2442" w:type="pct"/>
            <w:shd w:val="clear" w:color="auto" w:fill="auto"/>
            <w:vAlign w:val="center"/>
            <w:hideMark/>
          </w:tcPr>
          <w:p w14:paraId="4D2DB70D"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深证300价值交易型开放式指数证券投资基金</w:t>
            </w:r>
          </w:p>
        </w:tc>
        <w:tc>
          <w:tcPr>
            <w:tcW w:w="952" w:type="pct"/>
            <w:shd w:val="clear" w:color="auto" w:fill="auto"/>
            <w:vAlign w:val="center"/>
            <w:hideMark/>
          </w:tcPr>
          <w:p w14:paraId="6DD4544C"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交银深证300价值ETF</w:t>
            </w:r>
          </w:p>
        </w:tc>
        <w:tc>
          <w:tcPr>
            <w:tcW w:w="1191" w:type="pct"/>
            <w:shd w:val="clear" w:color="auto" w:fill="auto"/>
            <w:vAlign w:val="center"/>
            <w:hideMark/>
          </w:tcPr>
          <w:p w14:paraId="05B2DB01"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159913</w:t>
            </w:r>
          </w:p>
        </w:tc>
      </w:tr>
      <w:tr w:rsidR="00195B99" w:rsidRPr="006A2C97" w14:paraId="78688ECE" w14:textId="77777777" w:rsidTr="00195B99">
        <w:trPr>
          <w:trHeight w:val="955"/>
        </w:trPr>
        <w:tc>
          <w:tcPr>
            <w:tcW w:w="415" w:type="pct"/>
            <w:shd w:val="clear" w:color="auto" w:fill="auto"/>
            <w:noWrap/>
            <w:vAlign w:val="center"/>
            <w:hideMark/>
          </w:tcPr>
          <w:p w14:paraId="3F9863E2"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17</w:t>
            </w:r>
          </w:p>
        </w:tc>
        <w:tc>
          <w:tcPr>
            <w:tcW w:w="2442" w:type="pct"/>
            <w:shd w:val="clear" w:color="auto" w:fill="auto"/>
            <w:vAlign w:val="center"/>
            <w:hideMark/>
          </w:tcPr>
          <w:p w14:paraId="543CAFFD"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交银施罗德双利债券证券投资基金</w:t>
            </w:r>
          </w:p>
        </w:tc>
        <w:tc>
          <w:tcPr>
            <w:tcW w:w="952" w:type="pct"/>
            <w:shd w:val="clear" w:color="auto" w:fill="auto"/>
            <w:vAlign w:val="center"/>
            <w:hideMark/>
          </w:tcPr>
          <w:p w14:paraId="3738636A"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交银双利</w:t>
            </w:r>
          </w:p>
        </w:tc>
        <w:tc>
          <w:tcPr>
            <w:tcW w:w="1191" w:type="pct"/>
            <w:shd w:val="clear" w:color="auto" w:fill="auto"/>
            <w:vAlign w:val="center"/>
            <w:hideMark/>
          </w:tcPr>
          <w:p w14:paraId="094A9F92"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A类519683</w:t>
            </w:r>
          </w:p>
          <w:p w14:paraId="0ED85126"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B类519684</w:t>
            </w:r>
          </w:p>
          <w:p w14:paraId="1BADDF9F"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C类519685</w:t>
            </w:r>
          </w:p>
        </w:tc>
      </w:tr>
      <w:tr w:rsidR="00195B99" w:rsidRPr="006A2C97" w14:paraId="26A098DE" w14:textId="77777777" w:rsidTr="00195B99">
        <w:trPr>
          <w:trHeight w:val="640"/>
        </w:trPr>
        <w:tc>
          <w:tcPr>
            <w:tcW w:w="415" w:type="pct"/>
            <w:shd w:val="clear" w:color="auto" w:fill="auto"/>
            <w:noWrap/>
            <w:vAlign w:val="center"/>
            <w:hideMark/>
          </w:tcPr>
          <w:p w14:paraId="5E3B6FF1"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18</w:t>
            </w:r>
          </w:p>
        </w:tc>
        <w:tc>
          <w:tcPr>
            <w:tcW w:w="2442" w:type="pct"/>
            <w:shd w:val="clear" w:color="auto" w:fill="auto"/>
            <w:vAlign w:val="center"/>
            <w:hideMark/>
          </w:tcPr>
          <w:p w14:paraId="29425B2D"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交银施罗德深证300价值交易型开放式指数证券投资基金联接基金</w:t>
            </w:r>
          </w:p>
        </w:tc>
        <w:tc>
          <w:tcPr>
            <w:tcW w:w="952" w:type="pct"/>
            <w:shd w:val="clear" w:color="auto" w:fill="auto"/>
            <w:vAlign w:val="center"/>
            <w:hideMark/>
          </w:tcPr>
          <w:p w14:paraId="71B09307"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交银价值</w:t>
            </w:r>
          </w:p>
        </w:tc>
        <w:tc>
          <w:tcPr>
            <w:tcW w:w="1191" w:type="pct"/>
            <w:shd w:val="clear" w:color="auto" w:fill="auto"/>
            <w:vAlign w:val="center"/>
            <w:hideMark/>
          </w:tcPr>
          <w:p w14:paraId="1E0570E7"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前端519706</w:t>
            </w:r>
          </w:p>
          <w:p w14:paraId="51C8FD0C"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后端519707</w:t>
            </w:r>
          </w:p>
        </w:tc>
      </w:tr>
      <w:tr w:rsidR="00195B99" w:rsidRPr="006A2C97" w14:paraId="28E885EF" w14:textId="77777777" w:rsidTr="00195B99">
        <w:trPr>
          <w:trHeight w:val="315"/>
        </w:trPr>
        <w:tc>
          <w:tcPr>
            <w:tcW w:w="415" w:type="pct"/>
            <w:shd w:val="clear" w:color="auto" w:fill="auto"/>
            <w:noWrap/>
            <w:vAlign w:val="center"/>
            <w:hideMark/>
          </w:tcPr>
          <w:p w14:paraId="7A153883"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19</w:t>
            </w:r>
          </w:p>
        </w:tc>
        <w:tc>
          <w:tcPr>
            <w:tcW w:w="2442" w:type="pct"/>
            <w:shd w:val="clear" w:color="auto" w:fill="auto"/>
            <w:vAlign w:val="center"/>
            <w:hideMark/>
          </w:tcPr>
          <w:p w14:paraId="1B25FED1"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交银施罗德全球自然资源证券投资基金</w:t>
            </w:r>
          </w:p>
        </w:tc>
        <w:tc>
          <w:tcPr>
            <w:tcW w:w="952" w:type="pct"/>
            <w:shd w:val="clear" w:color="auto" w:fill="auto"/>
            <w:vAlign w:val="center"/>
            <w:hideMark/>
          </w:tcPr>
          <w:p w14:paraId="1BAD49E8"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交银资源</w:t>
            </w:r>
          </w:p>
        </w:tc>
        <w:tc>
          <w:tcPr>
            <w:tcW w:w="1191" w:type="pct"/>
            <w:shd w:val="clear" w:color="auto" w:fill="auto"/>
            <w:vAlign w:val="center"/>
            <w:hideMark/>
          </w:tcPr>
          <w:p w14:paraId="61F902AD"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519709</w:t>
            </w:r>
          </w:p>
        </w:tc>
      </w:tr>
      <w:tr w:rsidR="00195B99" w:rsidRPr="006A2C97" w14:paraId="5CF90D6F" w14:textId="77777777" w:rsidTr="00195B99">
        <w:trPr>
          <w:trHeight w:val="570"/>
        </w:trPr>
        <w:tc>
          <w:tcPr>
            <w:tcW w:w="415" w:type="pct"/>
            <w:shd w:val="clear" w:color="auto" w:fill="auto"/>
            <w:noWrap/>
            <w:vAlign w:val="center"/>
            <w:hideMark/>
          </w:tcPr>
          <w:p w14:paraId="7B66E88E"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20</w:t>
            </w:r>
          </w:p>
        </w:tc>
        <w:tc>
          <w:tcPr>
            <w:tcW w:w="2442" w:type="pct"/>
            <w:shd w:val="clear" w:color="auto" w:fill="auto"/>
            <w:vAlign w:val="center"/>
            <w:hideMark/>
          </w:tcPr>
          <w:p w14:paraId="35F47B69"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交银施罗德策略回报灵活配置混合型证券投资基金</w:t>
            </w:r>
          </w:p>
        </w:tc>
        <w:tc>
          <w:tcPr>
            <w:tcW w:w="952" w:type="pct"/>
            <w:shd w:val="clear" w:color="auto" w:fill="auto"/>
            <w:vAlign w:val="center"/>
            <w:hideMark/>
          </w:tcPr>
          <w:p w14:paraId="7F2F2D4D"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交银策略回报</w:t>
            </w:r>
          </w:p>
        </w:tc>
        <w:tc>
          <w:tcPr>
            <w:tcW w:w="1191" w:type="pct"/>
            <w:shd w:val="clear" w:color="auto" w:fill="auto"/>
            <w:vAlign w:val="center"/>
            <w:hideMark/>
          </w:tcPr>
          <w:p w14:paraId="4FE9F216"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519710</w:t>
            </w:r>
          </w:p>
        </w:tc>
      </w:tr>
      <w:tr w:rsidR="00195B99" w:rsidRPr="006A2C97" w14:paraId="30139F1B" w14:textId="77777777" w:rsidTr="00195B99">
        <w:trPr>
          <w:trHeight w:val="630"/>
        </w:trPr>
        <w:tc>
          <w:tcPr>
            <w:tcW w:w="415" w:type="pct"/>
            <w:shd w:val="clear" w:color="auto" w:fill="auto"/>
            <w:noWrap/>
            <w:vAlign w:val="center"/>
            <w:hideMark/>
          </w:tcPr>
          <w:p w14:paraId="59853430"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21</w:t>
            </w:r>
          </w:p>
        </w:tc>
        <w:tc>
          <w:tcPr>
            <w:tcW w:w="2442" w:type="pct"/>
            <w:shd w:val="clear" w:color="auto" w:fill="auto"/>
            <w:vAlign w:val="center"/>
            <w:hideMark/>
          </w:tcPr>
          <w:p w14:paraId="662FFF9C"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交银施罗德阿尔法核心混合型证券投资基金</w:t>
            </w:r>
          </w:p>
        </w:tc>
        <w:tc>
          <w:tcPr>
            <w:tcW w:w="952" w:type="pct"/>
            <w:shd w:val="clear" w:color="auto" w:fill="auto"/>
            <w:vAlign w:val="center"/>
            <w:hideMark/>
          </w:tcPr>
          <w:p w14:paraId="5A6DEC45"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交银核心</w:t>
            </w:r>
          </w:p>
        </w:tc>
        <w:tc>
          <w:tcPr>
            <w:tcW w:w="1191" w:type="pct"/>
            <w:shd w:val="clear" w:color="auto" w:fill="auto"/>
            <w:vAlign w:val="center"/>
            <w:hideMark/>
          </w:tcPr>
          <w:p w14:paraId="460E02C9"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前端519712</w:t>
            </w:r>
          </w:p>
          <w:p w14:paraId="228DAC31"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后端519713</w:t>
            </w:r>
          </w:p>
        </w:tc>
      </w:tr>
      <w:tr w:rsidR="00195B99" w:rsidRPr="006A2C97" w14:paraId="7EA0AF3D" w14:textId="77777777" w:rsidTr="00195B99">
        <w:trPr>
          <w:trHeight w:val="640"/>
        </w:trPr>
        <w:tc>
          <w:tcPr>
            <w:tcW w:w="415" w:type="pct"/>
            <w:shd w:val="clear" w:color="auto" w:fill="auto"/>
            <w:noWrap/>
            <w:vAlign w:val="center"/>
            <w:hideMark/>
          </w:tcPr>
          <w:p w14:paraId="7BCB9756"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22</w:t>
            </w:r>
          </w:p>
        </w:tc>
        <w:tc>
          <w:tcPr>
            <w:tcW w:w="2442" w:type="pct"/>
            <w:shd w:val="clear" w:color="auto" w:fill="auto"/>
            <w:vAlign w:val="center"/>
            <w:hideMark/>
          </w:tcPr>
          <w:p w14:paraId="4C79B7DA"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交银施罗德理财21天债券型证券投资基金</w:t>
            </w:r>
          </w:p>
        </w:tc>
        <w:tc>
          <w:tcPr>
            <w:tcW w:w="952" w:type="pct"/>
            <w:shd w:val="clear" w:color="auto" w:fill="auto"/>
            <w:vAlign w:val="center"/>
            <w:hideMark/>
          </w:tcPr>
          <w:p w14:paraId="748EF88A"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交银21天</w:t>
            </w:r>
          </w:p>
        </w:tc>
        <w:tc>
          <w:tcPr>
            <w:tcW w:w="1191" w:type="pct"/>
            <w:shd w:val="clear" w:color="auto" w:fill="auto"/>
            <w:vAlign w:val="center"/>
            <w:hideMark/>
          </w:tcPr>
          <w:p w14:paraId="2BE1B7E0"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A类519716</w:t>
            </w:r>
          </w:p>
          <w:p w14:paraId="0D57DC07"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B类519717</w:t>
            </w:r>
          </w:p>
        </w:tc>
      </w:tr>
      <w:tr w:rsidR="00195B99" w:rsidRPr="006A2C97" w14:paraId="264A52F3" w14:textId="77777777" w:rsidTr="00195B99">
        <w:trPr>
          <w:trHeight w:val="640"/>
        </w:trPr>
        <w:tc>
          <w:tcPr>
            <w:tcW w:w="415" w:type="pct"/>
            <w:shd w:val="clear" w:color="auto" w:fill="auto"/>
            <w:noWrap/>
            <w:vAlign w:val="center"/>
            <w:hideMark/>
          </w:tcPr>
          <w:p w14:paraId="756FA7ED"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23</w:t>
            </w:r>
          </w:p>
        </w:tc>
        <w:tc>
          <w:tcPr>
            <w:tcW w:w="2442" w:type="pct"/>
            <w:shd w:val="clear" w:color="auto" w:fill="auto"/>
            <w:vAlign w:val="center"/>
            <w:hideMark/>
          </w:tcPr>
          <w:p w14:paraId="578A172C"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交银施罗德消费新驱动股票型证券投资基金</w:t>
            </w:r>
          </w:p>
        </w:tc>
        <w:tc>
          <w:tcPr>
            <w:tcW w:w="952" w:type="pct"/>
            <w:shd w:val="clear" w:color="auto" w:fill="auto"/>
            <w:vAlign w:val="center"/>
            <w:hideMark/>
          </w:tcPr>
          <w:p w14:paraId="67A7D85C"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交银消费新驱动</w:t>
            </w:r>
          </w:p>
        </w:tc>
        <w:tc>
          <w:tcPr>
            <w:tcW w:w="1191" w:type="pct"/>
            <w:shd w:val="clear" w:color="auto" w:fill="auto"/>
            <w:vAlign w:val="center"/>
            <w:hideMark/>
          </w:tcPr>
          <w:p w14:paraId="2D243869"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前端519714</w:t>
            </w:r>
          </w:p>
          <w:p w14:paraId="6194D8B4"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后端519715</w:t>
            </w:r>
          </w:p>
        </w:tc>
      </w:tr>
      <w:tr w:rsidR="00195B99" w:rsidRPr="006A2C97" w14:paraId="2F110133" w14:textId="77777777" w:rsidTr="00195B99">
        <w:trPr>
          <w:trHeight w:val="965"/>
        </w:trPr>
        <w:tc>
          <w:tcPr>
            <w:tcW w:w="415" w:type="pct"/>
            <w:shd w:val="clear" w:color="auto" w:fill="auto"/>
            <w:noWrap/>
            <w:vAlign w:val="center"/>
            <w:hideMark/>
          </w:tcPr>
          <w:p w14:paraId="0C5CFACA"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24</w:t>
            </w:r>
          </w:p>
        </w:tc>
        <w:tc>
          <w:tcPr>
            <w:tcW w:w="2442" w:type="pct"/>
            <w:shd w:val="clear" w:color="auto" w:fill="auto"/>
            <w:vAlign w:val="center"/>
            <w:hideMark/>
          </w:tcPr>
          <w:p w14:paraId="660DC7EF"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交银施罗德纯债债券型发起式证券投资基金</w:t>
            </w:r>
          </w:p>
        </w:tc>
        <w:tc>
          <w:tcPr>
            <w:tcW w:w="952" w:type="pct"/>
            <w:shd w:val="clear" w:color="auto" w:fill="auto"/>
            <w:vAlign w:val="center"/>
            <w:hideMark/>
          </w:tcPr>
          <w:p w14:paraId="39BC10A3"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交银纯债</w:t>
            </w:r>
          </w:p>
        </w:tc>
        <w:tc>
          <w:tcPr>
            <w:tcW w:w="1191" w:type="pct"/>
            <w:shd w:val="clear" w:color="auto" w:fill="auto"/>
            <w:vAlign w:val="center"/>
            <w:hideMark/>
          </w:tcPr>
          <w:p w14:paraId="7ED71DDE"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A类519718</w:t>
            </w:r>
          </w:p>
          <w:p w14:paraId="1DA1D9FE"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B类519719</w:t>
            </w:r>
          </w:p>
          <w:p w14:paraId="6534A0FD"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C类519720</w:t>
            </w:r>
          </w:p>
        </w:tc>
      </w:tr>
      <w:tr w:rsidR="00195B99" w:rsidRPr="006A2C97" w14:paraId="432042B3" w14:textId="77777777" w:rsidTr="00195B99">
        <w:trPr>
          <w:trHeight w:val="640"/>
        </w:trPr>
        <w:tc>
          <w:tcPr>
            <w:tcW w:w="415" w:type="pct"/>
            <w:shd w:val="clear" w:color="auto" w:fill="auto"/>
            <w:noWrap/>
            <w:vAlign w:val="center"/>
            <w:hideMark/>
          </w:tcPr>
          <w:p w14:paraId="3A67BB99"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25</w:t>
            </w:r>
          </w:p>
        </w:tc>
        <w:tc>
          <w:tcPr>
            <w:tcW w:w="2442" w:type="pct"/>
            <w:shd w:val="clear" w:color="auto" w:fill="auto"/>
            <w:vAlign w:val="center"/>
            <w:hideMark/>
          </w:tcPr>
          <w:p w14:paraId="3894ADA8"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交银施罗德理财60天债券型证券投资基金</w:t>
            </w:r>
          </w:p>
        </w:tc>
        <w:tc>
          <w:tcPr>
            <w:tcW w:w="952" w:type="pct"/>
            <w:shd w:val="clear" w:color="auto" w:fill="auto"/>
            <w:vAlign w:val="center"/>
            <w:hideMark/>
          </w:tcPr>
          <w:p w14:paraId="3AD6CE0A"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交银60天</w:t>
            </w:r>
          </w:p>
        </w:tc>
        <w:tc>
          <w:tcPr>
            <w:tcW w:w="1191" w:type="pct"/>
            <w:shd w:val="clear" w:color="auto" w:fill="auto"/>
            <w:vAlign w:val="center"/>
            <w:hideMark/>
          </w:tcPr>
          <w:p w14:paraId="5DAB1E76"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A类519721</w:t>
            </w:r>
          </w:p>
          <w:p w14:paraId="08BC83FD"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B类519722</w:t>
            </w:r>
          </w:p>
        </w:tc>
      </w:tr>
      <w:tr w:rsidR="00195B99" w:rsidRPr="006A2C97" w14:paraId="58F10AD7" w14:textId="77777777" w:rsidTr="00195B99">
        <w:trPr>
          <w:trHeight w:val="965"/>
        </w:trPr>
        <w:tc>
          <w:tcPr>
            <w:tcW w:w="415" w:type="pct"/>
            <w:shd w:val="clear" w:color="auto" w:fill="auto"/>
            <w:noWrap/>
            <w:vAlign w:val="center"/>
            <w:hideMark/>
          </w:tcPr>
          <w:p w14:paraId="47AB92EF"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26</w:t>
            </w:r>
          </w:p>
        </w:tc>
        <w:tc>
          <w:tcPr>
            <w:tcW w:w="2442" w:type="pct"/>
            <w:shd w:val="clear" w:color="auto" w:fill="auto"/>
            <w:vAlign w:val="center"/>
            <w:hideMark/>
          </w:tcPr>
          <w:p w14:paraId="1C30C6B9"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交银施罗德双轮动债券型证券投资基金</w:t>
            </w:r>
          </w:p>
        </w:tc>
        <w:tc>
          <w:tcPr>
            <w:tcW w:w="952" w:type="pct"/>
            <w:shd w:val="clear" w:color="auto" w:fill="auto"/>
            <w:vAlign w:val="center"/>
            <w:hideMark/>
          </w:tcPr>
          <w:p w14:paraId="16447044"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交银双轮动</w:t>
            </w:r>
          </w:p>
        </w:tc>
        <w:tc>
          <w:tcPr>
            <w:tcW w:w="1191" w:type="pct"/>
            <w:shd w:val="clear" w:color="auto" w:fill="auto"/>
            <w:vAlign w:val="center"/>
            <w:hideMark/>
          </w:tcPr>
          <w:p w14:paraId="5A939800"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A类519723</w:t>
            </w:r>
          </w:p>
          <w:p w14:paraId="6B3B13C9"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B类519724</w:t>
            </w:r>
          </w:p>
          <w:p w14:paraId="5472F36A"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C类519725</w:t>
            </w:r>
          </w:p>
        </w:tc>
      </w:tr>
      <w:tr w:rsidR="00195B99" w:rsidRPr="006A2C97" w14:paraId="5A618D0B" w14:textId="77777777" w:rsidTr="00195B99">
        <w:trPr>
          <w:trHeight w:val="570"/>
        </w:trPr>
        <w:tc>
          <w:tcPr>
            <w:tcW w:w="415" w:type="pct"/>
            <w:shd w:val="clear" w:color="auto" w:fill="auto"/>
            <w:noWrap/>
            <w:vAlign w:val="center"/>
            <w:hideMark/>
          </w:tcPr>
          <w:p w14:paraId="3239B213"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27</w:t>
            </w:r>
          </w:p>
        </w:tc>
        <w:tc>
          <w:tcPr>
            <w:tcW w:w="2442" w:type="pct"/>
            <w:shd w:val="clear" w:color="auto" w:fill="auto"/>
            <w:vAlign w:val="center"/>
            <w:hideMark/>
          </w:tcPr>
          <w:p w14:paraId="6A713FD1"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交银施罗德荣祥保本混合型证券投资基金</w:t>
            </w:r>
          </w:p>
        </w:tc>
        <w:tc>
          <w:tcPr>
            <w:tcW w:w="952" w:type="pct"/>
            <w:shd w:val="clear" w:color="auto" w:fill="auto"/>
            <w:vAlign w:val="center"/>
            <w:hideMark/>
          </w:tcPr>
          <w:p w14:paraId="15AA289E"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交银荣祥保本</w:t>
            </w:r>
          </w:p>
        </w:tc>
        <w:tc>
          <w:tcPr>
            <w:tcW w:w="1191" w:type="pct"/>
            <w:shd w:val="clear" w:color="auto" w:fill="auto"/>
            <w:vAlign w:val="center"/>
            <w:hideMark/>
          </w:tcPr>
          <w:p w14:paraId="3BE4FA42"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519726</w:t>
            </w:r>
          </w:p>
        </w:tc>
      </w:tr>
      <w:tr w:rsidR="00195B99" w:rsidRPr="006A2C97" w14:paraId="3DC91DF1" w14:textId="77777777" w:rsidTr="00195B99">
        <w:trPr>
          <w:trHeight w:val="630"/>
        </w:trPr>
        <w:tc>
          <w:tcPr>
            <w:tcW w:w="415" w:type="pct"/>
            <w:shd w:val="clear" w:color="auto" w:fill="auto"/>
            <w:noWrap/>
            <w:vAlign w:val="center"/>
            <w:hideMark/>
          </w:tcPr>
          <w:p w14:paraId="6B6CBB61"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28</w:t>
            </w:r>
          </w:p>
        </w:tc>
        <w:tc>
          <w:tcPr>
            <w:tcW w:w="2442" w:type="pct"/>
            <w:shd w:val="clear" w:color="auto" w:fill="auto"/>
            <w:vAlign w:val="center"/>
            <w:hideMark/>
          </w:tcPr>
          <w:p w14:paraId="455D7704"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交银施罗德成长30混合型证券投资基金</w:t>
            </w:r>
          </w:p>
        </w:tc>
        <w:tc>
          <w:tcPr>
            <w:tcW w:w="952" w:type="pct"/>
            <w:shd w:val="clear" w:color="auto" w:fill="auto"/>
            <w:vAlign w:val="center"/>
            <w:hideMark/>
          </w:tcPr>
          <w:p w14:paraId="2DABBB2E"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交银成长30</w:t>
            </w:r>
          </w:p>
        </w:tc>
        <w:tc>
          <w:tcPr>
            <w:tcW w:w="1191" w:type="pct"/>
            <w:shd w:val="clear" w:color="auto" w:fill="auto"/>
            <w:vAlign w:val="center"/>
            <w:hideMark/>
          </w:tcPr>
          <w:p w14:paraId="3038AEAD"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前端519727</w:t>
            </w:r>
          </w:p>
          <w:p w14:paraId="0991E9F5"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后端519728</w:t>
            </w:r>
          </w:p>
        </w:tc>
      </w:tr>
      <w:tr w:rsidR="00195B99" w:rsidRPr="006A2C97" w14:paraId="6A955911" w14:textId="77777777" w:rsidTr="00195B99">
        <w:trPr>
          <w:trHeight w:val="637"/>
        </w:trPr>
        <w:tc>
          <w:tcPr>
            <w:tcW w:w="415" w:type="pct"/>
            <w:shd w:val="clear" w:color="auto" w:fill="auto"/>
            <w:noWrap/>
            <w:vAlign w:val="center"/>
            <w:hideMark/>
          </w:tcPr>
          <w:p w14:paraId="678E7A65"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29</w:t>
            </w:r>
          </w:p>
        </w:tc>
        <w:tc>
          <w:tcPr>
            <w:tcW w:w="2442" w:type="pct"/>
            <w:shd w:val="clear" w:color="auto" w:fill="auto"/>
            <w:vAlign w:val="center"/>
            <w:hideMark/>
          </w:tcPr>
          <w:p w14:paraId="5FFA5858"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交银施罗德定期支付月月丰债券型证券投资基金</w:t>
            </w:r>
          </w:p>
        </w:tc>
        <w:tc>
          <w:tcPr>
            <w:tcW w:w="952" w:type="pct"/>
            <w:shd w:val="clear" w:color="auto" w:fill="auto"/>
            <w:vAlign w:val="center"/>
            <w:hideMark/>
          </w:tcPr>
          <w:p w14:paraId="221C1823"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交银月月丰</w:t>
            </w:r>
          </w:p>
        </w:tc>
        <w:tc>
          <w:tcPr>
            <w:tcW w:w="1191" w:type="pct"/>
            <w:shd w:val="clear" w:color="auto" w:fill="auto"/>
            <w:vAlign w:val="center"/>
            <w:hideMark/>
          </w:tcPr>
          <w:p w14:paraId="2AD6CD55"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A类519730</w:t>
            </w:r>
          </w:p>
          <w:p w14:paraId="0D900ED2"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C类519731</w:t>
            </w:r>
          </w:p>
        </w:tc>
      </w:tr>
      <w:tr w:rsidR="00195B99" w:rsidRPr="006A2C97" w14:paraId="11490F84" w14:textId="77777777" w:rsidTr="00195B99">
        <w:trPr>
          <w:trHeight w:val="570"/>
        </w:trPr>
        <w:tc>
          <w:tcPr>
            <w:tcW w:w="415" w:type="pct"/>
            <w:shd w:val="clear" w:color="auto" w:fill="auto"/>
            <w:noWrap/>
            <w:vAlign w:val="center"/>
            <w:hideMark/>
          </w:tcPr>
          <w:p w14:paraId="7E86C5A7"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lastRenderedPageBreak/>
              <w:t>30</w:t>
            </w:r>
          </w:p>
        </w:tc>
        <w:tc>
          <w:tcPr>
            <w:tcW w:w="2442" w:type="pct"/>
            <w:shd w:val="clear" w:color="auto" w:fill="auto"/>
            <w:vAlign w:val="center"/>
            <w:hideMark/>
          </w:tcPr>
          <w:p w14:paraId="135987C4"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交银施罗德定期支付双息平衡混合型证券投资基金</w:t>
            </w:r>
          </w:p>
        </w:tc>
        <w:tc>
          <w:tcPr>
            <w:tcW w:w="952" w:type="pct"/>
            <w:shd w:val="clear" w:color="auto" w:fill="auto"/>
            <w:vAlign w:val="center"/>
            <w:hideMark/>
          </w:tcPr>
          <w:p w14:paraId="6CBA137C"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交银双息平衡</w:t>
            </w:r>
          </w:p>
        </w:tc>
        <w:tc>
          <w:tcPr>
            <w:tcW w:w="1191" w:type="pct"/>
            <w:shd w:val="clear" w:color="auto" w:fill="auto"/>
            <w:vAlign w:val="center"/>
            <w:hideMark/>
          </w:tcPr>
          <w:p w14:paraId="398A7F79"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519732</w:t>
            </w:r>
          </w:p>
        </w:tc>
      </w:tr>
      <w:tr w:rsidR="00195B99" w:rsidRPr="006A2C97" w14:paraId="19D5F6F4" w14:textId="77777777" w:rsidTr="00195B99">
        <w:trPr>
          <w:trHeight w:val="570"/>
        </w:trPr>
        <w:tc>
          <w:tcPr>
            <w:tcW w:w="415" w:type="pct"/>
            <w:shd w:val="clear" w:color="auto" w:fill="auto"/>
            <w:noWrap/>
            <w:vAlign w:val="center"/>
            <w:hideMark/>
          </w:tcPr>
          <w:p w14:paraId="3AE4E42A"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31</w:t>
            </w:r>
          </w:p>
        </w:tc>
        <w:tc>
          <w:tcPr>
            <w:tcW w:w="2442" w:type="pct"/>
            <w:shd w:val="clear" w:color="auto" w:fill="auto"/>
            <w:vAlign w:val="center"/>
            <w:hideMark/>
          </w:tcPr>
          <w:p w14:paraId="7A11F559"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交银施罗德增强收益债券型证券投资基金</w:t>
            </w:r>
          </w:p>
        </w:tc>
        <w:tc>
          <w:tcPr>
            <w:tcW w:w="952" w:type="pct"/>
            <w:shd w:val="clear" w:color="auto" w:fill="auto"/>
            <w:vAlign w:val="center"/>
            <w:hideMark/>
          </w:tcPr>
          <w:p w14:paraId="1DFE4C39"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交银增强收益</w:t>
            </w:r>
          </w:p>
        </w:tc>
        <w:tc>
          <w:tcPr>
            <w:tcW w:w="1191" w:type="pct"/>
            <w:shd w:val="clear" w:color="auto" w:fill="auto"/>
            <w:vAlign w:val="center"/>
            <w:hideMark/>
          </w:tcPr>
          <w:p w14:paraId="3FBEE7F8"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519729</w:t>
            </w:r>
          </w:p>
        </w:tc>
      </w:tr>
      <w:tr w:rsidR="00195B99" w:rsidRPr="006A2C97" w14:paraId="77D2A290" w14:textId="77777777" w:rsidTr="00195B99">
        <w:trPr>
          <w:trHeight w:val="955"/>
        </w:trPr>
        <w:tc>
          <w:tcPr>
            <w:tcW w:w="415" w:type="pct"/>
            <w:shd w:val="clear" w:color="auto" w:fill="auto"/>
            <w:noWrap/>
            <w:vAlign w:val="center"/>
            <w:hideMark/>
          </w:tcPr>
          <w:p w14:paraId="406FAAA9"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32</w:t>
            </w:r>
          </w:p>
        </w:tc>
        <w:tc>
          <w:tcPr>
            <w:tcW w:w="2442" w:type="pct"/>
            <w:shd w:val="clear" w:color="auto" w:fill="auto"/>
            <w:vAlign w:val="center"/>
            <w:hideMark/>
          </w:tcPr>
          <w:p w14:paraId="16F2DBD4"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交银施罗德强化回报债券型证券投资基金</w:t>
            </w:r>
          </w:p>
        </w:tc>
        <w:tc>
          <w:tcPr>
            <w:tcW w:w="952" w:type="pct"/>
            <w:shd w:val="clear" w:color="auto" w:fill="auto"/>
            <w:vAlign w:val="center"/>
            <w:hideMark/>
          </w:tcPr>
          <w:p w14:paraId="7DE823F6"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交银强化回报</w:t>
            </w:r>
          </w:p>
        </w:tc>
        <w:tc>
          <w:tcPr>
            <w:tcW w:w="1191" w:type="pct"/>
            <w:shd w:val="clear" w:color="auto" w:fill="auto"/>
            <w:vAlign w:val="center"/>
            <w:hideMark/>
          </w:tcPr>
          <w:p w14:paraId="4DB88D4D"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A类519733</w:t>
            </w:r>
          </w:p>
          <w:p w14:paraId="3C11A368"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B类519734</w:t>
            </w:r>
          </w:p>
          <w:p w14:paraId="0BB69DDB"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C类519735</w:t>
            </w:r>
          </w:p>
        </w:tc>
      </w:tr>
      <w:tr w:rsidR="00195B99" w:rsidRPr="006A2C97" w14:paraId="25ACE173" w14:textId="77777777" w:rsidTr="00195B99">
        <w:trPr>
          <w:trHeight w:val="640"/>
        </w:trPr>
        <w:tc>
          <w:tcPr>
            <w:tcW w:w="415" w:type="pct"/>
            <w:shd w:val="clear" w:color="auto" w:fill="auto"/>
            <w:noWrap/>
            <w:vAlign w:val="center"/>
            <w:hideMark/>
          </w:tcPr>
          <w:p w14:paraId="66B35D81"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33</w:t>
            </w:r>
          </w:p>
        </w:tc>
        <w:tc>
          <w:tcPr>
            <w:tcW w:w="2442" w:type="pct"/>
            <w:shd w:val="clear" w:color="auto" w:fill="auto"/>
            <w:vAlign w:val="center"/>
            <w:hideMark/>
          </w:tcPr>
          <w:p w14:paraId="0A170CFC"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交银施罗德新成长混合型证券投资基金</w:t>
            </w:r>
          </w:p>
        </w:tc>
        <w:tc>
          <w:tcPr>
            <w:tcW w:w="952" w:type="pct"/>
            <w:shd w:val="clear" w:color="auto" w:fill="auto"/>
            <w:vAlign w:val="center"/>
            <w:hideMark/>
          </w:tcPr>
          <w:p w14:paraId="3159E156"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交银新成长</w:t>
            </w:r>
          </w:p>
        </w:tc>
        <w:tc>
          <w:tcPr>
            <w:tcW w:w="1191" w:type="pct"/>
            <w:shd w:val="clear" w:color="auto" w:fill="auto"/>
            <w:vAlign w:val="center"/>
            <w:hideMark/>
          </w:tcPr>
          <w:p w14:paraId="60266626"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前端519736</w:t>
            </w:r>
          </w:p>
          <w:p w14:paraId="3C29ABB4"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后端519737</w:t>
            </w:r>
          </w:p>
        </w:tc>
      </w:tr>
      <w:tr w:rsidR="00195B99" w:rsidRPr="006A2C97" w14:paraId="3C961A1E" w14:textId="77777777" w:rsidTr="00195B99">
        <w:trPr>
          <w:trHeight w:val="1250"/>
        </w:trPr>
        <w:tc>
          <w:tcPr>
            <w:tcW w:w="415" w:type="pct"/>
            <w:shd w:val="clear" w:color="auto" w:fill="auto"/>
            <w:noWrap/>
            <w:vAlign w:val="center"/>
            <w:hideMark/>
          </w:tcPr>
          <w:p w14:paraId="7451B012"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34</w:t>
            </w:r>
          </w:p>
        </w:tc>
        <w:tc>
          <w:tcPr>
            <w:tcW w:w="2442" w:type="pct"/>
            <w:shd w:val="clear" w:color="auto" w:fill="auto"/>
            <w:vAlign w:val="center"/>
            <w:hideMark/>
          </w:tcPr>
          <w:p w14:paraId="7CDCA4B0"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交银施罗德周期回报灵活配置混合型证券投资基金</w:t>
            </w:r>
          </w:p>
        </w:tc>
        <w:tc>
          <w:tcPr>
            <w:tcW w:w="952" w:type="pct"/>
            <w:shd w:val="clear" w:color="auto" w:fill="auto"/>
            <w:vAlign w:val="center"/>
            <w:hideMark/>
          </w:tcPr>
          <w:p w14:paraId="37A6E169"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交银周期回报</w:t>
            </w:r>
          </w:p>
        </w:tc>
        <w:tc>
          <w:tcPr>
            <w:tcW w:w="1191" w:type="pct"/>
            <w:shd w:val="clear" w:color="auto" w:fill="auto"/>
            <w:vAlign w:val="center"/>
            <w:hideMark/>
          </w:tcPr>
          <w:p w14:paraId="18223B29"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A类前端519738</w:t>
            </w:r>
          </w:p>
          <w:p w14:paraId="74444857"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A类后端519739</w:t>
            </w:r>
          </w:p>
          <w:p w14:paraId="7A983780"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C类519759</w:t>
            </w:r>
          </w:p>
        </w:tc>
      </w:tr>
      <w:tr w:rsidR="00195B99" w:rsidRPr="006A2C97" w14:paraId="7AE33B79" w14:textId="77777777" w:rsidTr="00195B99">
        <w:trPr>
          <w:trHeight w:val="570"/>
        </w:trPr>
        <w:tc>
          <w:tcPr>
            <w:tcW w:w="415" w:type="pct"/>
            <w:shd w:val="clear" w:color="auto" w:fill="auto"/>
            <w:noWrap/>
            <w:vAlign w:val="center"/>
            <w:hideMark/>
          </w:tcPr>
          <w:p w14:paraId="6574CB09"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35</w:t>
            </w:r>
          </w:p>
        </w:tc>
        <w:tc>
          <w:tcPr>
            <w:tcW w:w="2442" w:type="pct"/>
            <w:shd w:val="clear" w:color="auto" w:fill="auto"/>
            <w:vAlign w:val="center"/>
            <w:hideMark/>
          </w:tcPr>
          <w:p w14:paraId="4C9E05D0"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交银施罗德丰盈收益债券型证券投资基金</w:t>
            </w:r>
          </w:p>
        </w:tc>
        <w:tc>
          <w:tcPr>
            <w:tcW w:w="952" w:type="pct"/>
            <w:shd w:val="clear" w:color="auto" w:fill="auto"/>
            <w:vAlign w:val="center"/>
            <w:hideMark/>
          </w:tcPr>
          <w:p w14:paraId="6551EBD4"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交银丰盈</w:t>
            </w:r>
          </w:p>
        </w:tc>
        <w:tc>
          <w:tcPr>
            <w:tcW w:w="1191" w:type="pct"/>
            <w:shd w:val="clear" w:color="auto" w:fill="auto"/>
            <w:vAlign w:val="center"/>
            <w:hideMark/>
          </w:tcPr>
          <w:p w14:paraId="12D11A1B"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A类519740</w:t>
            </w:r>
          </w:p>
        </w:tc>
      </w:tr>
      <w:tr w:rsidR="00195B99" w:rsidRPr="006A2C97" w14:paraId="7E8F3C51" w14:textId="77777777" w:rsidTr="00195B99">
        <w:trPr>
          <w:trHeight w:val="630"/>
        </w:trPr>
        <w:tc>
          <w:tcPr>
            <w:tcW w:w="415" w:type="pct"/>
            <w:shd w:val="clear" w:color="auto" w:fill="auto"/>
            <w:noWrap/>
            <w:vAlign w:val="center"/>
            <w:hideMark/>
          </w:tcPr>
          <w:p w14:paraId="7A6D7D9A"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36</w:t>
            </w:r>
          </w:p>
        </w:tc>
        <w:tc>
          <w:tcPr>
            <w:tcW w:w="2442" w:type="pct"/>
            <w:shd w:val="clear" w:color="auto" w:fill="auto"/>
            <w:vAlign w:val="center"/>
            <w:hideMark/>
          </w:tcPr>
          <w:p w14:paraId="55786578"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交银施罗德现金宝货币市场基金</w:t>
            </w:r>
          </w:p>
        </w:tc>
        <w:tc>
          <w:tcPr>
            <w:tcW w:w="952" w:type="pct"/>
            <w:shd w:val="clear" w:color="auto" w:fill="auto"/>
            <w:vAlign w:val="center"/>
            <w:hideMark/>
          </w:tcPr>
          <w:p w14:paraId="06D9956C"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交银现金宝</w:t>
            </w:r>
          </w:p>
        </w:tc>
        <w:tc>
          <w:tcPr>
            <w:tcW w:w="1191" w:type="pct"/>
            <w:shd w:val="clear" w:color="auto" w:fill="auto"/>
            <w:vAlign w:val="center"/>
            <w:hideMark/>
          </w:tcPr>
          <w:p w14:paraId="64460821"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A类000710</w:t>
            </w:r>
          </w:p>
          <w:p w14:paraId="6DB2C728"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E类002918</w:t>
            </w:r>
          </w:p>
        </w:tc>
      </w:tr>
      <w:tr w:rsidR="00195B99" w:rsidRPr="006A2C97" w14:paraId="09847754" w14:textId="77777777" w:rsidTr="00195B99">
        <w:trPr>
          <w:trHeight w:val="640"/>
        </w:trPr>
        <w:tc>
          <w:tcPr>
            <w:tcW w:w="415" w:type="pct"/>
            <w:shd w:val="clear" w:color="auto" w:fill="auto"/>
            <w:noWrap/>
            <w:vAlign w:val="center"/>
            <w:hideMark/>
          </w:tcPr>
          <w:p w14:paraId="5809FA1E"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37</w:t>
            </w:r>
          </w:p>
        </w:tc>
        <w:tc>
          <w:tcPr>
            <w:tcW w:w="2442" w:type="pct"/>
            <w:shd w:val="clear" w:color="auto" w:fill="auto"/>
            <w:vAlign w:val="center"/>
            <w:hideMark/>
          </w:tcPr>
          <w:p w14:paraId="11CD3322"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交银施罗德丰润收益债券型证券投资基金</w:t>
            </w:r>
          </w:p>
        </w:tc>
        <w:tc>
          <w:tcPr>
            <w:tcW w:w="952" w:type="pct"/>
            <w:shd w:val="clear" w:color="auto" w:fill="auto"/>
            <w:vAlign w:val="center"/>
            <w:hideMark/>
          </w:tcPr>
          <w:p w14:paraId="082F57DA"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交银丰润</w:t>
            </w:r>
          </w:p>
        </w:tc>
        <w:tc>
          <w:tcPr>
            <w:tcW w:w="1191" w:type="pct"/>
            <w:shd w:val="clear" w:color="auto" w:fill="auto"/>
            <w:vAlign w:val="center"/>
            <w:hideMark/>
          </w:tcPr>
          <w:p w14:paraId="1B49F806"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A类519743</w:t>
            </w:r>
          </w:p>
          <w:p w14:paraId="7FBCCFFF"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C类519745</w:t>
            </w:r>
          </w:p>
        </w:tc>
      </w:tr>
      <w:tr w:rsidR="00195B99" w:rsidRPr="006A2C97" w14:paraId="6055B793" w14:textId="77777777" w:rsidTr="00195B99">
        <w:trPr>
          <w:trHeight w:val="570"/>
        </w:trPr>
        <w:tc>
          <w:tcPr>
            <w:tcW w:w="415" w:type="pct"/>
            <w:shd w:val="clear" w:color="auto" w:fill="auto"/>
            <w:noWrap/>
            <w:vAlign w:val="center"/>
            <w:hideMark/>
          </w:tcPr>
          <w:p w14:paraId="39E29793"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38</w:t>
            </w:r>
          </w:p>
        </w:tc>
        <w:tc>
          <w:tcPr>
            <w:tcW w:w="2442" w:type="pct"/>
            <w:shd w:val="clear" w:color="auto" w:fill="auto"/>
            <w:vAlign w:val="center"/>
            <w:hideMark/>
          </w:tcPr>
          <w:p w14:paraId="44DDB5DF"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交银施罗德丰享收益债券型证券投资基金</w:t>
            </w:r>
          </w:p>
        </w:tc>
        <w:tc>
          <w:tcPr>
            <w:tcW w:w="952" w:type="pct"/>
            <w:shd w:val="clear" w:color="auto" w:fill="auto"/>
            <w:vAlign w:val="center"/>
            <w:hideMark/>
          </w:tcPr>
          <w:p w14:paraId="08971331"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交银丰享</w:t>
            </w:r>
          </w:p>
        </w:tc>
        <w:tc>
          <w:tcPr>
            <w:tcW w:w="1191" w:type="pct"/>
            <w:shd w:val="clear" w:color="auto" w:fill="auto"/>
            <w:vAlign w:val="center"/>
            <w:hideMark/>
          </w:tcPr>
          <w:p w14:paraId="26C7F6D9"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C类519748</w:t>
            </w:r>
          </w:p>
        </w:tc>
      </w:tr>
      <w:tr w:rsidR="00195B99" w:rsidRPr="006A2C97" w14:paraId="31082A9A" w14:textId="77777777" w:rsidTr="00195B99">
        <w:trPr>
          <w:trHeight w:val="570"/>
        </w:trPr>
        <w:tc>
          <w:tcPr>
            <w:tcW w:w="415" w:type="pct"/>
            <w:shd w:val="clear" w:color="auto" w:fill="auto"/>
            <w:noWrap/>
            <w:vAlign w:val="center"/>
            <w:hideMark/>
          </w:tcPr>
          <w:p w14:paraId="53706CF3"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39</w:t>
            </w:r>
          </w:p>
        </w:tc>
        <w:tc>
          <w:tcPr>
            <w:tcW w:w="2442" w:type="pct"/>
            <w:shd w:val="clear" w:color="auto" w:fill="auto"/>
            <w:vAlign w:val="center"/>
            <w:hideMark/>
          </w:tcPr>
          <w:p w14:paraId="1B108B5C"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交银施罗德丰泽收益债券型证券投资基金</w:t>
            </w:r>
          </w:p>
        </w:tc>
        <w:tc>
          <w:tcPr>
            <w:tcW w:w="952" w:type="pct"/>
            <w:shd w:val="clear" w:color="auto" w:fill="auto"/>
            <w:vAlign w:val="center"/>
            <w:hideMark/>
          </w:tcPr>
          <w:p w14:paraId="64BEFD2B"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交银丰泽</w:t>
            </w:r>
          </w:p>
        </w:tc>
        <w:tc>
          <w:tcPr>
            <w:tcW w:w="1191" w:type="pct"/>
            <w:shd w:val="clear" w:color="auto" w:fill="auto"/>
            <w:vAlign w:val="center"/>
            <w:hideMark/>
          </w:tcPr>
          <w:p w14:paraId="0E035608"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A类519749</w:t>
            </w:r>
          </w:p>
        </w:tc>
      </w:tr>
      <w:tr w:rsidR="00195B99" w:rsidRPr="006A2C97" w14:paraId="52614CF7" w14:textId="77777777" w:rsidTr="00195B99">
        <w:trPr>
          <w:trHeight w:val="570"/>
        </w:trPr>
        <w:tc>
          <w:tcPr>
            <w:tcW w:w="415" w:type="pct"/>
            <w:shd w:val="clear" w:color="auto" w:fill="auto"/>
            <w:noWrap/>
            <w:vAlign w:val="center"/>
            <w:hideMark/>
          </w:tcPr>
          <w:p w14:paraId="21572A8B"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40</w:t>
            </w:r>
          </w:p>
        </w:tc>
        <w:tc>
          <w:tcPr>
            <w:tcW w:w="2442" w:type="pct"/>
            <w:shd w:val="clear" w:color="auto" w:fill="auto"/>
            <w:vAlign w:val="center"/>
            <w:hideMark/>
          </w:tcPr>
          <w:p w14:paraId="2807CCBF"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交银施罗德国证新能源指数分级证券投资基金</w:t>
            </w:r>
          </w:p>
        </w:tc>
        <w:tc>
          <w:tcPr>
            <w:tcW w:w="952" w:type="pct"/>
            <w:shd w:val="clear" w:color="auto" w:fill="auto"/>
            <w:vAlign w:val="center"/>
            <w:hideMark/>
          </w:tcPr>
          <w:p w14:paraId="4E468258"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交银新能源</w:t>
            </w:r>
          </w:p>
        </w:tc>
        <w:tc>
          <w:tcPr>
            <w:tcW w:w="1191" w:type="pct"/>
            <w:shd w:val="clear" w:color="auto" w:fill="auto"/>
            <w:vAlign w:val="center"/>
            <w:hideMark/>
          </w:tcPr>
          <w:p w14:paraId="02034456"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164905</w:t>
            </w:r>
          </w:p>
        </w:tc>
      </w:tr>
      <w:tr w:rsidR="00195B99" w:rsidRPr="006A2C97" w14:paraId="1B8A3F9D" w14:textId="77777777" w:rsidTr="00195B99">
        <w:trPr>
          <w:trHeight w:val="630"/>
        </w:trPr>
        <w:tc>
          <w:tcPr>
            <w:tcW w:w="415" w:type="pct"/>
            <w:shd w:val="clear" w:color="auto" w:fill="auto"/>
            <w:noWrap/>
            <w:vAlign w:val="center"/>
            <w:hideMark/>
          </w:tcPr>
          <w:p w14:paraId="79D282A3"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41</w:t>
            </w:r>
          </w:p>
        </w:tc>
        <w:tc>
          <w:tcPr>
            <w:tcW w:w="2442" w:type="pct"/>
            <w:shd w:val="clear" w:color="auto" w:fill="auto"/>
            <w:vAlign w:val="center"/>
            <w:hideMark/>
          </w:tcPr>
          <w:p w14:paraId="1BEA8F11"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交银施罗德新回报灵活配置混合型证券投资基金</w:t>
            </w:r>
          </w:p>
        </w:tc>
        <w:tc>
          <w:tcPr>
            <w:tcW w:w="952" w:type="pct"/>
            <w:shd w:val="clear" w:color="auto" w:fill="auto"/>
            <w:vAlign w:val="center"/>
            <w:hideMark/>
          </w:tcPr>
          <w:p w14:paraId="107F4FBA"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交银新回报</w:t>
            </w:r>
          </w:p>
        </w:tc>
        <w:tc>
          <w:tcPr>
            <w:tcW w:w="1191" w:type="pct"/>
            <w:shd w:val="clear" w:color="auto" w:fill="auto"/>
            <w:vAlign w:val="center"/>
            <w:hideMark/>
          </w:tcPr>
          <w:p w14:paraId="7F225028"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A类519752</w:t>
            </w:r>
          </w:p>
          <w:p w14:paraId="626A1A92"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C类519760</w:t>
            </w:r>
          </w:p>
        </w:tc>
      </w:tr>
      <w:tr w:rsidR="00195B99" w:rsidRPr="006A2C97" w14:paraId="2B0813EB" w14:textId="77777777" w:rsidTr="00195B99">
        <w:trPr>
          <w:trHeight w:val="600"/>
        </w:trPr>
        <w:tc>
          <w:tcPr>
            <w:tcW w:w="415" w:type="pct"/>
            <w:shd w:val="clear" w:color="auto" w:fill="auto"/>
            <w:noWrap/>
            <w:vAlign w:val="center"/>
            <w:hideMark/>
          </w:tcPr>
          <w:p w14:paraId="21B72515"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42</w:t>
            </w:r>
          </w:p>
        </w:tc>
        <w:tc>
          <w:tcPr>
            <w:tcW w:w="2442" w:type="pct"/>
            <w:shd w:val="clear" w:color="auto" w:fill="auto"/>
            <w:vAlign w:val="center"/>
            <w:hideMark/>
          </w:tcPr>
          <w:p w14:paraId="0A164F34"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交银施罗德中证海外中国互联网指数型证券投资基金(LOF)</w:t>
            </w:r>
          </w:p>
        </w:tc>
        <w:tc>
          <w:tcPr>
            <w:tcW w:w="952" w:type="pct"/>
            <w:shd w:val="clear" w:color="auto" w:fill="auto"/>
            <w:vAlign w:val="center"/>
            <w:hideMark/>
          </w:tcPr>
          <w:p w14:paraId="14E936B0"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交银海外中国互联网(LOF)</w:t>
            </w:r>
          </w:p>
        </w:tc>
        <w:tc>
          <w:tcPr>
            <w:tcW w:w="1191" w:type="pct"/>
            <w:shd w:val="clear" w:color="auto" w:fill="auto"/>
            <w:vAlign w:val="center"/>
            <w:hideMark/>
          </w:tcPr>
          <w:p w14:paraId="51E3CBA3"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164906</w:t>
            </w:r>
          </w:p>
        </w:tc>
      </w:tr>
      <w:tr w:rsidR="00195B99" w:rsidRPr="006A2C97" w14:paraId="72330596" w14:textId="77777777" w:rsidTr="00195B99">
        <w:trPr>
          <w:trHeight w:val="570"/>
        </w:trPr>
        <w:tc>
          <w:tcPr>
            <w:tcW w:w="415" w:type="pct"/>
            <w:shd w:val="clear" w:color="auto" w:fill="auto"/>
            <w:noWrap/>
            <w:vAlign w:val="center"/>
            <w:hideMark/>
          </w:tcPr>
          <w:p w14:paraId="6FF0E0D4"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43</w:t>
            </w:r>
          </w:p>
        </w:tc>
        <w:tc>
          <w:tcPr>
            <w:tcW w:w="2442" w:type="pct"/>
            <w:shd w:val="clear" w:color="auto" w:fill="auto"/>
            <w:vAlign w:val="center"/>
            <w:hideMark/>
          </w:tcPr>
          <w:p w14:paraId="06EE29A4"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交银施罗德荣和保本混合型证券投资基金</w:t>
            </w:r>
          </w:p>
        </w:tc>
        <w:tc>
          <w:tcPr>
            <w:tcW w:w="952" w:type="pct"/>
            <w:shd w:val="clear" w:color="auto" w:fill="auto"/>
            <w:vAlign w:val="center"/>
            <w:hideMark/>
          </w:tcPr>
          <w:p w14:paraId="79C03F88"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交银荣和保本</w:t>
            </w:r>
          </w:p>
        </w:tc>
        <w:tc>
          <w:tcPr>
            <w:tcW w:w="1191" w:type="pct"/>
            <w:shd w:val="clear" w:color="auto" w:fill="auto"/>
            <w:vAlign w:val="center"/>
            <w:hideMark/>
          </w:tcPr>
          <w:p w14:paraId="5F524522"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519753</w:t>
            </w:r>
          </w:p>
        </w:tc>
      </w:tr>
      <w:tr w:rsidR="00195B99" w:rsidRPr="006A2C97" w14:paraId="69B4DBB6" w14:textId="77777777" w:rsidTr="00195B99">
        <w:trPr>
          <w:trHeight w:val="630"/>
        </w:trPr>
        <w:tc>
          <w:tcPr>
            <w:tcW w:w="415" w:type="pct"/>
            <w:shd w:val="clear" w:color="auto" w:fill="auto"/>
            <w:noWrap/>
            <w:vAlign w:val="center"/>
            <w:hideMark/>
          </w:tcPr>
          <w:p w14:paraId="2A6A3C56"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44</w:t>
            </w:r>
          </w:p>
        </w:tc>
        <w:tc>
          <w:tcPr>
            <w:tcW w:w="2442" w:type="pct"/>
            <w:shd w:val="clear" w:color="auto" w:fill="auto"/>
            <w:vAlign w:val="center"/>
            <w:hideMark/>
          </w:tcPr>
          <w:p w14:paraId="489977FF"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交银施罗德多策略回报灵活配置混合型证券投资基金</w:t>
            </w:r>
          </w:p>
        </w:tc>
        <w:tc>
          <w:tcPr>
            <w:tcW w:w="952" w:type="pct"/>
            <w:shd w:val="clear" w:color="auto" w:fill="auto"/>
            <w:vAlign w:val="center"/>
            <w:hideMark/>
          </w:tcPr>
          <w:p w14:paraId="429D59CA"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交银多策略回报</w:t>
            </w:r>
          </w:p>
        </w:tc>
        <w:tc>
          <w:tcPr>
            <w:tcW w:w="1191" w:type="pct"/>
            <w:shd w:val="clear" w:color="auto" w:fill="auto"/>
            <w:vAlign w:val="center"/>
            <w:hideMark/>
          </w:tcPr>
          <w:p w14:paraId="298A604B"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A类519755</w:t>
            </w:r>
          </w:p>
          <w:p w14:paraId="3C9CE2C8"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C类519761</w:t>
            </w:r>
          </w:p>
        </w:tc>
      </w:tr>
      <w:tr w:rsidR="00195B99" w:rsidRPr="006A2C97" w14:paraId="3B5F9F89" w14:textId="77777777" w:rsidTr="00195B99">
        <w:trPr>
          <w:trHeight w:val="570"/>
        </w:trPr>
        <w:tc>
          <w:tcPr>
            <w:tcW w:w="415" w:type="pct"/>
            <w:shd w:val="clear" w:color="auto" w:fill="auto"/>
            <w:noWrap/>
            <w:vAlign w:val="center"/>
            <w:hideMark/>
          </w:tcPr>
          <w:p w14:paraId="5A5DB2C7"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45</w:t>
            </w:r>
          </w:p>
        </w:tc>
        <w:tc>
          <w:tcPr>
            <w:tcW w:w="2442" w:type="pct"/>
            <w:shd w:val="clear" w:color="auto" w:fill="auto"/>
            <w:vAlign w:val="center"/>
            <w:hideMark/>
          </w:tcPr>
          <w:p w14:paraId="57A05814"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交银施罗德国企改革灵活配置混合型证券投资基金</w:t>
            </w:r>
          </w:p>
        </w:tc>
        <w:tc>
          <w:tcPr>
            <w:tcW w:w="952" w:type="pct"/>
            <w:shd w:val="clear" w:color="auto" w:fill="auto"/>
            <w:vAlign w:val="center"/>
            <w:hideMark/>
          </w:tcPr>
          <w:p w14:paraId="3D5FE4A9"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交银国企改革</w:t>
            </w:r>
          </w:p>
        </w:tc>
        <w:tc>
          <w:tcPr>
            <w:tcW w:w="1191" w:type="pct"/>
            <w:shd w:val="clear" w:color="auto" w:fill="auto"/>
            <w:vAlign w:val="center"/>
            <w:hideMark/>
          </w:tcPr>
          <w:p w14:paraId="22D408BA"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519756</w:t>
            </w:r>
          </w:p>
        </w:tc>
      </w:tr>
      <w:tr w:rsidR="00195B99" w:rsidRPr="006A2C97" w14:paraId="5BCEF68D" w14:textId="77777777" w:rsidTr="00195B99">
        <w:trPr>
          <w:trHeight w:val="570"/>
        </w:trPr>
        <w:tc>
          <w:tcPr>
            <w:tcW w:w="415" w:type="pct"/>
            <w:shd w:val="clear" w:color="auto" w:fill="auto"/>
            <w:noWrap/>
            <w:vAlign w:val="center"/>
            <w:hideMark/>
          </w:tcPr>
          <w:p w14:paraId="5E782E0C"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46</w:t>
            </w:r>
          </w:p>
        </w:tc>
        <w:tc>
          <w:tcPr>
            <w:tcW w:w="2442" w:type="pct"/>
            <w:shd w:val="clear" w:color="auto" w:fill="auto"/>
            <w:vAlign w:val="center"/>
            <w:hideMark/>
          </w:tcPr>
          <w:p w14:paraId="438B760C"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交银施罗德中证互联网金融指数分级证券投资基金</w:t>
            </w:r>
          </w:p>
        </w:tc>
        <w:tc>
          <w:tcPr>
            <w:tcW w:w="952" w:type="pct"/>
            <w:shd w:val="clear" w:color="auto" w:fill="auto"/>
            <w:vAlign w:val="center"/>
            <w:hideMark/>
          </w:tcPr>
          <w:p w14:paraId="583C9595"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交银互联网金融</w:t>
            </w:r>
          </w:p>
        </w:tc>
        <w:tc>
          <w:tcPr>
            <w:tcW w:w="1191" w:type="pct"/>
            <w:shd w:val="clear" w:color="auto" w:fill="auto"/>
            <w:vAlign w:val="center"/>
            <w:hideMark/>
          </w:tcPr>
          <w:p w14:paraId="27434C33"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164907</w:t>
            </w:r>
          </w:p>
        </w:tc>
      </w:tr>
      <w:tr w:rsidR="00195B99" w:rsidRPr="006A2C97" w14:paraId="0E6D387E" w14:textId="77777777" w:rsidTr="00195B99">
        <w:trPr>
          <w:trHeight w:val="600"/>
        </w:trPr>
        <w:tc>
          <w:tcPr>
            <w:tcW w:w="415" w:type="pct"/>
            <w:shd w:val="clear" w:color="auto" w:fill="auto"/>
            <w:noWrap/>
            <w:vAlign w:val="center"/>
            <w:hideMark/>
          </w:tcPr>
          <w:p w14:paraId="2DD557A4"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47</w:t>
            </w:r>
          </w:p>
        </w:tc>
        <w:tc>
          <w:tcPr>
            <w:tcW w:w="2442" w:type="pct"/>
            <w:shd w:val="clear" w:color="auto" w:fill="auto"/>
            <w:vAlign w:val="center"/>
            <w:hideMark/>
          </w:tcPr>
          <w:p w14:paraId="6C8FEEF0"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交银施罗德中证环境治理指数型证券投资基金（LOF）</w:t>
            </w:r>
          </w:p>
        </w:tc>
        <w:tc>
          <w:tcPr>
            <w:tcW w:w="952" w:type="pct"/>
            <w:shd w:val="clear" w:color="auto" w:fill="auto"/>
            <w:vAlign w:val="center"/>
            <w:hideMark/>
          </w:tcPr>
          <w:p w14:paraId="68CE6E83"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交银环境治理</w:t>
            </w:r>
          </w:p>
        </w:tc>
        <w:tc>
          <w:tcPr>
            <w:tcW w:w="1191" w:type="pct"/>
            <w:shd w:val="clear" w:color="auto" w:fill="auto"/>
            <w:vAlign w:val="center"/>
            <w:hideMark/>
          </w:tcPr>
          <w:p w14:paraId="52728536"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164908</w:t>
            </w:r>
          </w:p>
        </w:tc>
      </w:tr>
      <w:tr w:rsidR="00195B99" w:rsidRPr="006A2C97" w14:paraId="38B5A4C4" w14:textId="77777777" w:rsidTr="00195B99">
        <w:trPr>
          <w:trHeight w:val="570"/>
        </w:trPr>
        <w:tc>
          <w:tcPr>
            <w:tcW w:w="415" w:type="pct"/>
            <w:shd w:val="clear" w:color="auto" w:fill="auto"/>
            <w:noWrap/>
            <w:vAlign w:val="center"/>
            <w:hideMark/>
          </w:tcPr>
          <w:p w14:paraId="0F1D0561"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48</w:t>
            </w:r>
          </w:p>
        </w:tc>
        <w:tc>
          <w:tcPr>
            <w:tcW w:w="2442" w:type="pct"/>
            <w:shd w:val="clear" w:color="auto" w:fill="auto"/>
            <w:vAlign w:val="center"/>
            <w:hideMark/>
          </w:tcPr>
          <w:p w14:paraId="67641847"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交银施罗德丰硕收益债券型证券投资基金</w:t>
            </w:r>
          </w:p>
        </w:tc>
        <w:tc>
          <w:tcPr>
            <w:tcW w:w="952" w:type="pct"/>
            <w:shd w:val="clear" w:color="auto" w:fill="auto"/>
            <w:vAlign w:val="center"/>
            <w:hideMark/>
          </w:tcPr>
          <w:p w14:paraId="060444EC"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交银丰硕</w:t>
            </w:r>
          </w:p>
        </w:tc>
        <w:tc>
          <w:tcPr>
            <w:tcW w:w="1191" w:type="pct"/>
            <w:shd w:val="clear" w:color="auto" w:fill="auto"/>
            <w:vAlign w:val="center"/>
            <w:hideMark/>
          </w:tcPr>
          <w:p w14:paraId="6CD4BF23"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519758</w:t>
            </w:r>
          </w:p>
        </w:tc>
      </w:tr>
      <w:tr w:rsidR="00195B99" w:rsidRPr="006A2C97" w14:paraId="39B090F9" w14:textId="77777777" w:rsidTr="00195B99">
        <w:trPr>
          <w:trHeight w:val="630"/>
        </w:trPr>
        <w:tc>
          <w:tcPr>
            <w:tcW w:w="415" w:type="pct"/>
            <w:shd w:val="clear" w:color="auto" w:fill="auto"/>
            <w:noWrap/>
            <w:vAlign w:val="center"/>
            <w:hideMark/>
          </w:tcPr>
          <w:p w14:paraId="2B7EC134"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49</w:t>
            </w:r>
          </w:p>
        </w:tc>
        <w:tc>
          <w:tcPr>
            <w:tcW w:w="2442" w:type="pct"/>
            <w:shd w:val="clear" w:color="auto" w:fill="auto"/>
            <w:vAlign w:val="center"/>
            <w:hideMark/>
          </w:tcPr>
          <w:p w14:paraId="38C6C51A"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交银施罗德裕通纯债债券型证券投资基金</w:t>
            </w:r>
          </w:p>
        </w:tc>
        <w:tc>
          <w:tcPr>
            <w:tcW w:w="952" w:type="pct"/>
            <w:shd w:val="clear" w:color="auto" w:fill="auto"/>
            <w:vAlign w:val="center"/>
            <w:hideMark/>
          </w:tcPr>
          <w:p w14:paraId="3C844EC9"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交银裕通</w:t>
            </w:r>
          </w:p>
        </w:tc>
        <w:tc>
          <w:tcPr>
            <w:tcW w:w="1191" w:type="pct"/>
            <w:shd w:val="clear" w:color="auto" w:fill="auto"/>
            <w:vAlign w:val="center"/>
            <w:hideMark/>
          </w:tcPr>
          <w:p w14:paraId="3ACF54C7"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A类519762</w:t>
            </w:r>
          </w:p>
          <w:p w14:paraId="3EF43561"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C类519763</w:t>
            </w:r>
          </w:p>
        </w:tc>
      </w:tr>
      <w:tr w:rsidR="00195B99" w:rsidRPr="006A2C97" w14:paraId="69D3B306" w14:textId="77777777" w:rsidTr="00195B99">
        <w:trPr>
          <w:trHeight w:val="570"/>
        </w:trPr>
        <w:tc>
          <w:tcPr>
            <w:tcW w:w="415" w:type="pct"/>
            <w:shd w:val="clear" w:color="auto" w:fill="auto"/>
            <w:noWrap/>
            <w:vAlign w:val="center"/>
            <w:hideMark/>
          </w:tcPr>
          <w:p w14:paraId="45B665EA"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lastRenderedPageBreak/>
              <w:t>50</w:t>
            </w:r>
          </w:p>
        </w:tc>
        <w:tc>
          <w:tcPr>
            <w:tcW w:w="2442" w:type="pct"/>
            <w:shd w:val="clear" w:color="auto" w:fill="auto"/>
            <w:vAlign w:val="center"/>
            <w:hideMark/>
          </w:tcPr>
          <w:p w14:paraId="0170AA76"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交银施罗德卓越回报灵活配置混合型证券投资基金</w:t>
            </w:r>
          </w:p>
        </w:tc>
        <w:tc>
          <w:tcPr>
            <w:tcW w:w="952" w:type="pct"/>
            <w:shd w:val="clear" w:color="auto" w:fill="auto"/>
            <w:vAlign w:val="center"/>
            <w:hideMark/>
          </w:tcPr>
          <w:p w14:paraId="5A482C49"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交银卓越回报</w:t>
            </w:r>
          </w:p>
        </w:tc>
        <w:tc>
          <w:tcPr>
            <w:tcW w:w="1191" w:type="pct"/>
            <w:shd w:val="clear" w:color="auto" w:fill="auto"/>
            <w:vAlign w:val="center"/>
            <w:hideMark/>
          </w:tcPr>
          <w:p w14:paraId="1DD7C7F0" w14:textId="77777777" w:rsidR="00195B99" w:rsidRDefault="006416F7"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w:t>
            </w:r>
            <w:r w:rsidR="00195B99" w:rsidRPr="001D0752">
              <w:rPr>
                <w:rFonts w:asciiTheme="minorEastAsia" w:eastAsiaTheme="minorEastAsia" w:hAnsiTheme="minorEastAsia"/>
                <w:color w:val="000000"/>
                <w:kern w:val="0"/>
                <w:sz w:val="24"/>
              </w:rPr>
              <w:t>519764</w:t>
            </w:r>
          </w:p>
          <w:p w14:paraId="7A1DF1D7" w14:textId="77777777" w:rsidR="006416F7" w:rsidRPr="001D0752" w:rsidRDefault="006416F7" w:rsidP="006416F7">
            <w:pPr>
              <w:widowControl/>
              <w:jc w:val="left"/>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C</w:t>
            </w:r>
            <w:r w:rsidRPr="001D0752">
              <w:rPr>
                <w:rFonts w:asciiTheme="minorEastAsia" w:eastAsiaTheme="minorEastAsia" w:hAnsiTheme="minorEastAsia"/>
                <w:color w:val="000000"/>
                <w:kern w:val="0"/>
                <w:sz w:val="24"/>
              </w:rPr>
              <w:t>类51976</w:t>
            </w:r>
            <w:r>
              <w:rPr>
                <w:rFonts w:asciiTheme="minorEastAsia" w:eastAsiaTheme="minorEastAsia" w:hAnsiTheme="minorEastAsia" w:hint="eastAsia"/>
                <w:color w:val="000000"/>
                <w:kern w:val="0"/>
                <w:sz w:val="24"/>
              </w:rPr>
              <w:t>5</w:t>
            </w:r>
          </w:p>
        </w:tc>
      </w:tr>
      <w:tr w:rsidR="00195B99" w:rsidRPr="006A2C97" w14:paraId="67BA6910" w14:textId="77777777" w:rsidTr="00195B99">
        <w:trPr>
          <w:trHeight w:val="570"/>
        </w:trPr>
        <w:tc>
          <w:tcPr>
            <w:tcW w:w="415" w:type="pct"/>
            <w:shd w:val="clear" w:color="auto" w:fill="auto"/>
            <w:noWrap/>
            <w:vAlign w:val="center"/>
            <w:hideMark/>
          </w:tcPr>
          <w:p w14:paraId="7987D900"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w:t>
            </w:r>
          </w:p>
        </w:tc>
        <w:tc>
          <w:tcPr>
            <w:tcW w:w="2442" w:type="pct"/>
            <w:shd w:val="clear" w:color="auto" w:fill="auto"/>
            <w:vAlign w:val="center"/>
            <w:hideMark/>
          </w:tcPr>
          <w:p w14:paraId="6B9CBD73"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交银施罗德荣鑫保本混合型证券投资基金</w:t>
            </w:r>
          </w:p>
        </w:tc>
        <w:tc>
          <w:tcPr>
            <w:tcW w:w="952" w:type="pct"/>
            <w:shd w:val="clear" w:color="auto" w:fill="auto"/>
            <w:vAlign w:val="center"/>
            <w:hideMark/>
          </w:tcPr>
          <w:p w14:paraId="771CC6B5"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交银荣鑫保本</w:t>
            </w:r>
          </w:p>
        </w:tc>
        <w:tc>
          <w:tcPr>
            <w:tcW w:w="1191" w:type="pct"/>
            <w:shd w:val="clear" w:color="auto" w:fill="auto"/>
            <w:vAlign w:val="center"/>
            <w:hideMark/>
          </w:tcPr>
          <w:p w14:paraId="25FFF72E"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519766</w:t>
            </w:r>
          </w:p>
        </w:tc>
      </w:tr>
      <w:tr w:rsidR="00195B99" w:rsidRPr="006A2C97" w14:paraId="0F83B0B4" w14:textId="77777777" w:rsidTr="00195B99">
        <w:trPr>
          <w:trHeight w:val="630"/>
        </w:trPr>
        <w:tc>
          <w:tcPr>
            <w:tcW w:w="415" w:type="pct"/>
            <w:shd w:val="clear" w:color="auto" w:fill="auto"/>
            <w:noWrap/>
            <w:vAlign w:val="center"/>
            <w:hideMark/>
          </w:tcPr>
          <w:p w14:paraId="755D8458"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52</w:t>
            </w:r>
          </w:p>
        </w:tc>
        <w:tc>
          <w:tcPr>
            <w:tcW w:w="2442" w:type="pct"/>
            <w:shd w:val="clear" w:color="auto" w:fill="auto"/>
            <w:vAlign w:val="center"/>
            <w:hideMark/>
          </w:tcPr>
          <w:p w14:paraId="1FAB15A3"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交银施罗德优选回报灵活配置混合型证券投资基金</w:t>
            </w:r>
          </w:p>
        </w:tc>
        <w:tc>
          <w:tcPr>
            <w:tcW w:w="952" w:type="pct"/>
            <w:shd w:val="clear" w:color="auto" w:fill="auto"/>
            <w:vAlign w:val="center"/>
            <w:hideMark/>
          </w:tcPr>
          <w:p w14:paraId="0169D6D3"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交银优选回报</w:t>
            </w:r>
          </w:p>
        </w:tc>
        <w:tc>
          <w:tcPr>
            <w:tcW w:w="1191" w:type="pct"/>
            <w:shd w:val="clear" w:color="auto" w:fill="auto"/>
            <w:vAlign w:val="center"/>
            <w:hideMark/>
          </w:tcPr>
          <w:p w14:paraId="54631080"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A类519768</w:t>
            </w:r>
          </w:p>
          <w:p w14:paraId="777CF303"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C类519769</w:t>
            </w:r>
          </w:p>
        </w:tc>
      </w:tr>
      <w:tr w:rsidR="00195B99" w:rsidRPr="006A2C97" w14:paraId="020A58C9" w14:textId="77777777" w:rsidTr="00195B99">
        <w:trPr>
          <w:trHeight w:val="640"/>
        </w:trPr>
        <w:tc>
          <w:tcPr>
            <w:tcW w:w="415" w:type="pct"/>
            <w:shd w:val="clear" w:color="auto" w:fill="auto"/>
            <w:noWrap/>
            <w:vAlign w:val="center"/>
            <w:hideMark/>
          </w:tcPr>
          <w:p w14:paraId="4A1EB18C"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53</w:t>
            </w:r>
          </w:p>
        </w:tc>
        <w:tc>
          <w:tcPr>
            <w:tcW w:w="2442" w:type="pct"/>
            <w:shd w:val="clear" w:color="auto" w:fill="auto"/>
            <w:vAlign w:val="center"/>
            <w:hideMark/>
          </w:tcPr>
          <w:p w14:paraId="168E1EA1"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交银施罗德优择回报灵活配置混合型证券投资基金</w:t>
            </w:r>
          </w:p>
        </w:tc>
        <w:tc>
          <w:tcPr>
            <w:tcW w:w="952" w:type="pct"/>
            <w:shd w:val="clear" w:color="auto" w:fill="auto"/>
            <w:vAlign w:val="center"/>
            <w:hideMark/>
          </w:tcPr>
          <w:p w14:paraId="6539C700"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交银优择回报</w:t>
            </w:r>
          </w:p>
        </w:tc>
        <w:tc>
          <w:tcPr>
            <w:tcW w:w="1191" w:type="pct"/>
            <w:shd w:val="clear" w:color="auto" w:fill="auto"/>
            <w:vAlign w:val="center"/>
            <w:hideMark/>
          </w:tcPr>
          <w:p w14:paraId="749433E6"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A类519770</w:t>
            </w:r>
          </w:p>
          <w:p w14:paraId="7497E3C8"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C类519771</w:t>
            </w:r>
          </w:p>
        </w:tc>
      </w:tr>
      <w:tr w:rsidR="00195B99" w:rsidRPr="006A2C97" w14:paraId="78BC684B" w14:textId="77777777" w:rsidTr="00195B99">
        <w:trPr>
          <w:trHeight w:val="570"/>
        </w:trPr>
        <w:tc>
          <w:tcPr>
            <w:tcW w:w="415" w:type="pct"/>
            <w:shd w:val="clear" w:color="auto" w:fill="auto"/>
            <w:noWrap/>
            <w:vAlign w:val="center"/>
            <w:hideMark/>
          </w:tcPr>
          <w:p w14:paraId="61FCC480"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54</w:t>
            </w:r>
          </w:p>
        </w:tc>
        <w:tc>
          <w:tcPr>
            <w:tcW w:w="2442" w:type="pct"/>
            <w:shd w:val="clear" w:color="auto" w:fill="auto"/>
            <w:vAlign w:val="center"/>
            <w:hideMark/>
          </w:tcPr>
          <w:p w14:paraId="390B4628"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交银施罗德科技创新灵活配置混合型证券投资基金</w:t>
            </w:r>
          </w:p>
        </w:tc>
        <w:tc>
          <w:tcPr>
            <w:tcW w:w="952" w:type="pct"/>
            <w:shd w:val="clear" w:color="auto" w:fill="auto"/>
            <w:vAlign w:val="center"/>
            <w:hideMark/>
          </w:tcPr>
          <w:p w14:paraId="008F4D58"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交银科技创新</w:t>
            </w:r>
          </w:p>
        </w:tc>
        <w:tc>
          <w:tcPr>
            <w:tcW w:w="1191" w:type="pct"/>
            <w:shd w:val="clear" w:color="auto" w:fill="auto"/>
            <w:vAlign w:val="center"/>
            <w:hideMark/>
          </w:tcPr>
          <w:p w14:paraId="1496D029"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519767</w:t>
            </w:r>
          </w:p>
        </w:tc>
      </w:tr>
      <w:tr w:rsidR="00195B99" w:rsidRPr="006A2C97" w14:paraId="73DB5AD6" w14:textId="77777777" w:rsidTr="00195B99">
        <w:trPr>
          <w:trHeight w:val="630"/>
        </w:trPr>
        <w:tc>
          <w:tcPr>
            <w:tcW w:w="415" w:type="pct"/>
            <w:shd w:val="clear" w:color="auto" w:fill="auto"/>
            <w:noWrap/>
            <w:vAlign w:val="center"/>
            <w:hideMark/>
          </w:tcPr>
          <w:p w14:paraId="6EFA01D0"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55</w:t>
            </w:r>
          </w:p>
        </w:tc>
        <w:tc>
          <w:tcPr>
            <w:tcW w:w="2442" w:type="pct"/>
            <w:shd w:val="clear" w:color="auto" w:fill="auto"/>
            <w:vAlign w:val="center"/>
            <w:hideMark/>
          </w:tcPr>
          <w:p w14:paraId="082474D6"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交银施罗德活期通货币市场基金</w:t>
            </w:r>
          </w:p>
        </w:tc>
        <w:tc>
          <w:tcPr>
            <w:tcW w:w="952" w:type="pct"/>
            <w:shd w:val="clear" w:color="auto" w:fill="auto"/>
            <w:vAlign w:val="center"/>
            <w:hideMark/>
          </w:tcPr>
          <w:p w14:paraId="79A2FB59"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交银活期通</w:t>
            </w:r>
          </w:p>
        </w:tc>
        <w:tc>
          <w:tcPr>
            <w:tcW w:w="1191" w:type="pct"/>
            <w:shd w:val="clear" w:color="auto" w:fill="auto"/>
            <w:vAlign w:val="center"/>
            <w:hideMark/>
          </w:tcPr>
          <w:p w14:paraId="7C917BB7"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A类003042</w:t>
            </w:r>
          </w:p>
          <w:p w14:paraId="74441B61"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E类003043</w:t>
            </w:r>
          </w:p>
        </w:tc>
      </w:tr>
      <w:tr w:rsidR="00195B99" w:rsidRPr="006A2C97" w14:paraId="18E35646" w14:textId="77777777" w:rsidTr="00195B99">
        <w:trPr>
          <w:trHeight w:val="570"/>
        </w:trPr>
        <w:tc>
          <w:tcPr>
            <w:tcW w:w="415" w:type="pct"/>
            <w:shd w:val="clear" w:color="auto" w:fill="auto"/>
            <w:noWrap/>
            <w:vAlign w:val="center"/>
            <w:hideMark/>
          </w:tcPr>
          <w:p w14:paraId="4138B4A9"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56</w:t>
            </w:r>
          </w:p>
        </w:tc>
        <w:tc>
          <w:tcPr>
            <w:tcW w:w="2442" w:type="pct"/>
            <w:shd w:val="clear" w:color="auto" w:fill="auto"/>
            <w:vAlign w:val="center"/>
            <w:hideMark/>
          </w:tcPr>
          <w:p w14:paraId="3777870B"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交银施罗德数据产业灵活配置混合型证券投资基金</w:t>
            </w:r>
          </w:p>
        </w:tc>
        <w:tc>
          <w:tcPr>
            <w:tcW w:w="952" w:type="pct"/>
            <w:shd w:val="clear" w:color="auto" w:fill="auto"/>
            <w:vAlign w:val="center"/>
            <w:hideMark/>
          </w:tcPr>
          <w:p w14:paraId="7F848E0E"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交银数据产业</w:t>
            </w:r>
          </w:p>
        </w:tc>
        <w:tc>
          <w:tcPr>
            <w:tcW w:w="1191" w:type="pct"/>
            <w:shd w:val="clear" w:color="auto" w:fill="auto"/>
            <w:vAlign w:val="center"/>
            <w:hideMark/>
          </w:tcPr>
          <w:p w14:paraId="1B4A9FDB"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519773</w:t>
            </w:r>
          </w:p>
        </w:tc>
      </w:tr>
      <w:tr w:rsidR="00195B99" w:rsidRPr="006A2C97" w14:paraId="132CD241" w14:textId="77777777" w:rsidTr="00195B99">
        <w:trPr>
          <w:trHeight w:val="630"/>
        </w:trPr>
        <w:tc>
          <w:tcPr>
            <w:tcW w:w="415" w:type="pct"/>
            <w:shd w:val="clear" w:color="auto" w:fill="auto"/>
            <w:noWrap/>
            <w:vAlign w:val="center"/>
            <w:hideMark/>
          </w:tcPr>
          <w:p w14:paraId="64717A5E"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57</w:t>
            </w:r>
          </w:p>
        </w:tc>
        <w:tc>
          <w:tcPr>
            <w:tcW w:w="2442" w:type="pct"/>
            <w:shd w:val="clear" w:color="auto" w:fill="auto"/>
            <w:vAlign w:val="center"/>
            <w:hideMark/>
          </w:tcPr>
          <w:p w14:paraId="7070582A"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交银施罗德裕兴纯债债券型证券投资基金</w:t>
            </w:r>
          </w:p>
        </w:tc>
        <w:tc>
          <w:tcPr>
            <w:tcW w:w="952" w:type="pct"/>
            <w:shd w:val="clear" w:color="auto" w:fill="auto"/>
            <w:vAlign w:val="center"/>
            <w:hideMark/>
          </w:tcPr>
          <w:p w14:paraId="20F3324E"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交银裕兴</w:t>
            </w:r>
          </w:p>
        </w:tc>
        <w:tc>
          <w:tcPr>
            <w:tcW w:w="1191" w:type="pct"/>
            <w:shd w:val="clear" w:color="auto" w:fill="auto"/>
            <w:vAlign w:val="center"/>
            <w:hideMark/>
          </w:tcPr>
          <w:p w14:paraId="2CDD954E"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A类519774</w:t>
            </w:r>
          </w:p>
          <w:p w14:paraId="4BB5A94D"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C类519775</w:t>
            </w:r>
          </w:p>
        </w:tc>
      </w:tr>
      <w:tr w:rsidR="00195B99" w:rsidRPr="006A2C97" w14:paraId="70FF8BC7" w14:textId="77777777" w:rsidTr="00195B99">
        <w:trPr>
          <w:trHeight w:val="570"/>
        </w:trPr>
        <w:tc>
          <w:tcPr>
            <w:tcW w:w="415" w:type="pct"/>
            <w:shd w:val="clear" w:color="auto" w:fill="auto"/>
            <w:noWrap/>
            <w:vAlign w:val="center"/>
            <w:hideMark/>
          </w:tcPr>
          <w:p w14:paraId="398AD4F1"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58</w:t>
            </w:r>
          </w:p>
        </w:tc>
        <w:tc>
          <w:tcPr>
            <w:tcW w:w="2442" w:type="pct"/>
            <w:shd w:val="clear" w:color="auto" w:fill="auto"/>
            <w:vAlign w:val="center"/>
            <w:hideMark/>
          </w:tcPr>
          <w:p w14:paraId="1E17E66A"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交银施罗德领先回报灵活配置混合型证券投资基金</w:t>
            </w:r>
          </w:p>
        </w:tc>
        <w:tc>
          <w:tcPr>
            <w:tcW w:w="952" w:type="pct"/>
            <w:shd w:val="clear" w:color="auto" w:fill="auto"/>
            <w:vAlign w:val="center"/>
            <w:hideMark/>
          </w:tcPr>
          <w:p w14:paraId="15EF2137"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交银领先回报</w:t>
            </w:r>
          </w:p>
        </w:tc>
        <w:tc>
          <w:tcPr>
            <w:tcW w:w="1191" w:type="pct"/>
            <w:shd w:val="clear" w:color="auto" w:fill="auto"/>
            <w:vAlign w:val="center"/>
            <w:hideMark/>
          </w:tcPr>
          <w:p w14:paraId="11D9F102"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519781</w:t>
            </w:r>
          </w:p>
        </w:tc>
      </w:tr>
      <w:tr w:rsidR="00195B99" w:rsidRPr="006A2C97" w14:paraId="079CA6C3" w14:textId="77777777" w:rsidTr="00195B99">
        <w:trPr>
          <w:trHeight w:val="630"/>
        </w:trPr>
        <w:tc>
          <w:tcPr>
            <w:tcW w:w="415" w:type="pct"/>
            <w:shd w:val="clear" w:color="auto" w:fill="auto"/>
            <w:noWrap/>
            <w:vAlign w:val="center"/>
            <w:hideMark/>
          </w:tcPr>
          <w:p w14:paraId="16A23806"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59</w:t>
            </w:r>
          </w:p>
        </w:tc>
        <w:tc>
          <w:tcPr>
            <w:tcW w:w="2442" w:type="pct"/>
            <w:shd w:val="clear" w:color="auto" w:fill="auto"/>
            <w:vAlign w:val="center"/>
            <w:hideMark/>
          </w:tcPr>
          <w:p w14:paraId="684BF2DA"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交银施罗德天利宝货币市场基金</w:t>
            </w:r>
          </w:p>
        </w:tc>
        <w:tc>
          <w:tcPr>
            <w:tcW w:w="952" w:type="pct"/>
            <w:shd w:val="clear" w:color="auto" w:fill="auto"/>
            <w:vAlign w:val="center"/>
            <w:hideMark/>
          </w:tcPr>
          <w:p w14:paraId="44B089A2"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交银天利宝</w:t>
            </w:r>
          </w:p>
        </w:tc>
        <w:tc>
          <w:tcPr>
            <w:tcW w:w="1191" w:type="pct"/>
            <w:shd w:val="clear" w:color="auto" w:fill="auto"/>
            <w:vAlign w:val="center"/>
            <w:hideMark/>
          </w:tcPr>
          <w:p w14:paraId="439CF008"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A类002889</w:t>
            </w:r>
          </w:p>
          <w:p w14:paraId="76B1371F"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E类002890</w:t>
            </w:r>
          </w:p>
        </w:tc>
      </w:tr>
      <w:tr w:rsidR="00195B99" w:rsidRPr="006A2C97" w14:paraId="7F44B2AE" w14:textId="77777777" w:rsidTr="00195B99">
        <w:trPr>
          <w:trHeight w:val="570"/>
        </w:trPr>
        <w:tc>
          <w:tcPr>
            <w:tcW w:w="415" w:type="pct"/>
            <w:shd w:val="clear" w:color="auto" w:fill="auto"/>
            <w:noWrap/>
            <w:vAlign w:val="center"/>
            <w:hideMark/>
          </w:tcPr>
          <w:p w14:paraId="1FB63C1E"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60</w:t>
            </w:r>
          </w:p>
        </w:tc>
        <w:tc>
          <w:tcPr>
            <w:tcW w:w="2442" w:type="pct"/>
            <w:shd w:val="clear" w:color="auto" w:fill="auto"/>
            <w:vAlign w:val="center"/>
            <w:hideMark/>
          </w:tcPr>
          <w:p w14:paraId="2D2D03FF"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交银施罗德经济新动力混合型证券投资基金</w:t>
            </w:r>
          </w:p>
        </w:tc>
        <w:tc>
          <w:tcPr>
            <w:tcW w:w="952" w:type="pct"/>
            <w:shd w:val="clear" w:color="auto" w:fill="auto"/>
            <w:vAlign w:val="center"/>
            <w:hideMark/>
          </w:tcPr>
          <w:p w14:paraId="32FF10D9"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交银经济新动力</w:t>
            </w:r>
          </w:p>
        </w:tc>
        <w:tc>
          <w:tcPr>
            <w:tcW w:w="1191" w:type="pct"/>
            <w:shd w:val="clear" w:color="auto" w:fill="auto"/>
            <w:vAlign w:val="center"/>
            <w:hideMark/>
          </w:tcPr>
          <w:p w14:paraId="7E362C0C"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519778</w:t>
            </w:r>
          </w:p>
        </w:tc>
      </w:tr>
      <w:tr w:rsidR="00195B99" w:rsidRPr="006A2C97" w14:paraId="5AAB8B7B" w14:textId="77777777" w:rsidTr="00195B99">
        <w:trPr>
          <w:trHeight w:val="630"/>
        </w:trPr>
        <w:tc>
          <w:tcPr>
            <w:tcW w:w="415" w:type="pct"/>
            <w:shd w:val="clear" w:color="auto" w:fill="auto"/>
            <w:noWrap/>
            <w:vAlign w:val="center"/>
            <w:hideMark/>
          </w:tcPr>
          <w:p w14:paraId="0987B3D3"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61</w:t>
            </w:r>
          </w:p>
        </w:tc>
        <w:tc>
          <w:tcPr>
            <w:tcW w:w="2442" w:type="pct"/>
            <w:shd w:val="clear" w:color="auto" w:fill="auto"/>
            <w:vAlign w:val="center"/>
            <w:hideMark/>
          </w:tcPr>
          <w:p w14:paraId="360A6DCF"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交银施罗德裕盈纯债债券型证券投资基金</w:t>
            </w:r>
          </w:p>
        </w:tc>
        <w:tc>
          <w:tcPr>
            <w:tcW w:w="952" w:type="pct"/>
            <w:shd w:val="clear" w:color="auto" w:fill="auto"/>
            <w:vAlign w:val="center"/>
            <w:hideMark/>
          </w:tcPr>
          <w:p w14:paraId="492374F7"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交银裕盈</w:t>
            </w:r>
          </w:p>
        </w:tc>
        <w:tc>
          <w:tcPr>
            <w:tcW w:w="1191" w:type="pct"/>
            <w:shd w:val="clear" w:color="auto" w:fill="auto"/>
            <w:vAlign w:val="center"/>
            <w:hideMark/>
          </w:tcPr>
          <w:p w14:paraId="704B0E9B"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A类519776</w:t>
            </w:r>
          </w:p>
          <w:p w14:paraId="0A7C3936"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C类519777</w:t>
            </w:r>
          </w:p>
        </w:tc>
      </w:tr>
      <w:tr w:rsidR="00195B99" w:rsidRPr="006A2C97" w14:paraId="68AD5D4C" w14:textId="77777777" w:rsidTr="00195B99">
        <w:trPr>
          <w:trHeight w:val="570"/>
        </w:trPr>
        <w:tc>
          <w:tcPr>
            <w:tcW w:w="415" w:type="pct"/>
            <w:shd w:val="clear" w:color="auto" w:fill="auto"/>
            <w:noWrap/>
            <w:vAlign w:val="center"/>
            <w:hideMark/>
          </w:tcPr>
          <w:p w14:paraId="0212D6BD"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62</w:t>
            </w:r>
          </w:p>
        </w:tc>
        <w:tc>
          <w:tcPr>
            <w:tcW w:w="2442" w:type="pct"/>
            <w:shd w:val="clear" w:color="auto" w:fill="auto"/>
            <w:vAlign w:val="center"/>
            <w:hideMark/>
          </w:tcPr>
          <w:p w14:paraId="27C4B71A"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交银施罗德沪港深价值精选灵活配置混合型证券投资基金</w:t>
            </w:r>
          </w:p>
        </w:tc>
        <w:tc>
          <w:tcPr>
            <w:tcW w:w="952" w:type="pct"/>
            <w:shd w:val="clear" w:color="auto" w:fill="auto"/>
            <w:vAlign w:val="center"/>
            <w:hideMark/>
          </w:tcPr>
          <w:p w14:paraId="40B11AE4"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交银沪港深价值精选</w:t>
            </w:r>
          </w:p>
        </w:tc>
        <w:tc>
          <w:tcPr>
            <w:tcW w:w="1191" w:type="pct"/>
            <w:shd w:val="clear" w:color="auto" w:fill="auto"/>
            <w:vAlign w:val="center"/>
            <w:hideMark/>
          </w:tcPr>
          <w:p w14:paraId="65618161"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519779</w:t>
            </w:r>
          </w:p>
        </w:tc>
      </w:tr>
      <w:tr w:rsidR="00195B99" w:rsidRPr="006A2C97" w14:paraId="6E30E508" w14:textId="77777777" w:rsidTr="00195B99">
        <w:trPr>
          <w:trHeight w:val="570"/>
        </w:trPr>
        <w:tc>
          <w:tcPr>
            <w:tcW w:w="415" w:type="pct"/>
            <w:shd w:val="clear" w:color="auto" w:fill="auto"/>
            <w:noWrap/>
            <w:vAlign w:val="center"/>
            <w:hideMark/>
          </w:tcPr>
          <w:p w14:paraId="5DE11E80"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63</w:t>
            </w:r>
          </w:p>
        </w:tc>
        <w:tc>
          <w:tcPr>
            <w:tcW w:w="2442" w:type="pct"/>
            <w:shd w:val="clear" w:color="auto" w:fill="auto"/>
            <w:vAlign w:val="center"/>
            <w:hideMark/>
          </w:tcPr>
          <w:p w14:paraId="205BF1F0"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交银施罗德新生活力灵活配置混合型证券投资基金</w:t>
            </w:r>
          </w:p>
        </w:tc>
        <w:tc>
          <w:tcPr>
            <w:tcW w:w="952" w:type="pct"/>
            <w:shd w:val="clear" w:color="auto" w:fill="auto"/>
            <w:vAlign w:val="center"/>
            <w:hideMark/>
          </w:tcPr>
          <w:p w14:paraId="025D4B13"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交银新生活力</w:t>
            </w:r>
          </w:p>
        </w:tc>
        <w:tc>
          <w:tcPr>
            <w:tcW w:w="1191" w:type="pct"/>
            <w:shd w:val="clear" w:color="auto" w:fill="auto"/>
            <w:vAlign w:val="center"/>
            <w:hideMark/>
          </w:tcPr>
          <w:p w14:paraId="5015C4EF"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519772</w:t>
            </w:r>
          </w:p>
        </w:tc>
      </w:tr>
      <w:tr w:rsidR="00195B99" w:rsidRPr="006A2C97" w14:paraId="0B0EE025" w14:textId="77777777" w:rsidTr="00195B99">
        <w:trPr>
          <w:trHeight w:val="630"/>
        </w:trPr>
        <w:tc>
          <w:tcPr>
            <w:tcW w:w="415" w:type="pct"/>
            <w:shd w:val="clear" w:color="auto" w:fill="auto"/>
            <w:noWrap/>
            <w:vAlign w:val="center"/>
            <w:hideMark/>
          </w:tcPr>
          <w:p w14:paraId="64CF5D70"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64</w:t>
            </w:r>
          </w:p>
        </w:tc>
        <w:tc>
          <w:tcPr>
            <w:tcW w:w="2442" w:type="pct"/>
            <w:shd w:val="clear" w:color="auto" w:fill="auto"/>
            <w:vAlign w:val="center"/>
            <w:hideMark/>
          </w:tcPr>
          <w:p w14:paraId="02408382"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交银施罗德裕利纯债债券型证券投资基金</w:t>
            </w:r>
          </w:p>
        </w:tc>
        <w:tc>
          <w:tcPr>
            <w:tcW w:w="952" w:type="pct"/>
            <w:shd w:val="clear" w:color="auto" w:fill="auto"/>
            <w:vAlign w:val="center"/>
            <w:hideMark/>
          </w:tcPr>
          <w:p w14:paraId="0001C256"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交银裕利</w:t>
            </w:r>
          </w:p>
        </w:tc>
        <w:tc>
          <w:tcPr>
            <w:tcW w:w="1191" w:type="pct"/>
            <w:shd w:val="clear" w:color="auto" w:fill="auto"/>
            <w:vAlign w:val="center"/>
            <w:hideMark/>
          </w:tcPr>
          <w:p w14:paraId="5E8901E2"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A类519786</w:t>
            </w:r>
          </w:p>
          <w:p w14:paraId="491A251F"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C类519787</w:t>
            </w:r>
          </w:p>
        </w:tc>
      </w:tr>
      <w:tr w:rsidR="00195B99" w:rsidRPr="006A2C97" w14:paraId="5EE223C6" w14:textId="77777777" w:rsidTr="00195B99">
        <w:trPr>
          <w:trHeight w:val="640"/>
        </w:trPr>
        <w:tc>
          <w:tcPr>
            <w:tcW w:w="415" w:type="pct"/>
            <w:shd w:val="clear" w:color="auto" w:fill="auto"/>
            <w:noWrap/>
            <w:vAlign w:val="center"/>
            <w:hideMark/>
          </w:tcPr>
          <w:p w14:paraId="54B9A2AA"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65</w:t>
            </w:r>
          </w:p>
        </w:tc>
        <w:tc>
          <w:tcPr>
            <w:tcW w:w="2442" w:type="pct"/>
            <w:shd w:val="clear" w:color="auto" w:fill="auto"/>
            <w:vAlign w:val="center"/>
            <w:hideMark/>
          </w:tcPr>
          <w:p w14:paraId="70A22893"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交银施罗德裕隆纯债债券型证券投资基金</w:t>
            </w:r>
          </w:p>
        </w:tc>
        <w:tc>
          <w:tcPr>
            <w:tcW w:w="952" w:type="pct"/>
            <w:shd w:val="clear" w:color="auto" w:fill="auto"/>
            <w:vAlign w:val="center"/>
            <w:hideMark/>
          </w:tcPr>
          <w:p w14:paraId="17FB80EC"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交银裕隆</w:t>
            </w:r>
          </w:p>
        </w:tc>
        <w:tc>
          <w:tcPr>
            <w:tcW w:w="1191" w:type="pct"/>
            <w:shd w:val="clear" w:color="auto" w:fill="auto"/>
            <w:vAlign w:val="center"/>
            <w:hideMark/>
          </w:tcPr>
          <w:p w14:paraId="268D9868"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A类519782</w:t>
            </w:r>
          </w:p>
          <w:p w14:paraId="211C89E0"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C类519783</w:t>
            </w:r>
          </w:p>
        </w:tc>
      </w:tr>
      <w:tr w:rsidR="00195B99" w:rsidRPr="006A2C97" w14:paraId="4834D3FA" w14:textId="77777777" w:rsidTr="00195B99">
        <w:trPr>
          <w:trHeight w:val="640"/>
        </w:trPr>
        <w:tc>
          <w:tcPr>
            <w:tcW w:w="415" w:type="pct"/>
            <w:shd w:val="clear" w:color="auto" w:fill="auto"/>
            <w:noWrap/>
            <w:vAlign w:val="center"/>
            <w:hideMark/>
          </w:tcPr>
          <w:p w14:paraId="2483551F"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66</w:t>
            </w:r>
          </w:p>
        </w:tc>
        <w:tc>
          <w:tcPr>
            <w:tcW w:w="2442" w:type="pct"/>
            <w:shd w:val="clear" w:color="auto" w:fill="auto"/>
            <w:vAlign w:val="center"/>
            <w:hideMark/>
          </w:tcPr>
          <w:p w14:paraId="5D655935"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交银施罗德天鑫宝货币市场基金</w:t>
            </w:r>
          </w:p>
        </w:tc>
        <w:tc>
          <w:tcPr>
            <w:tcW w:w="952" w:type="pct"/>
            <w:shd w:val="clear" w:color="auto" w:fill="auto"/>
            <w:vAlign w:val="center"/>
            <w:hideMark/>
          </w:tcPr>
          <w:p w14:paraId="141C2305"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交银天鑫宝</w:t>
            </w:r>
          </w:p>
        </w:tc>
        <w:tc>
          <w:tcPr>
            <w:tcW w:w="1191" w:type="pct"/>
            <w:shd w:val="clear" w:color="auto" w:fill="auto"/>
            <w:vAlign w:val="center"/>
            <w:hideMark/>
          </w:tcPr>
          <w:p w14:paraId="1678255A"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A类003482</w:t>
            </w:r>
          </w:p>
          <w:p w14:paraId="1A3D9975"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E类003483</w:t>
            </w:r>
          </w:p>
        </w:tc>
      </w:tr>
      <w:tr w:rsidR="00195B99" w:rsidRPr="006A2C97" w14:paraId="154E35A3" w14:textId="77777777" w:rsidTr="00195B99">
        <w:trPr>
          <w:trHeight w:val="570"/>
        </w:trPr>
        <w:tc>
          <w:tcPr>
            <w:tcW w:w="415" w:type="pct"/>
            <w:shd w:val="clear" w:color="auto" w:fill="auto"/>
            <w:noWrap/>
            <w:vAlign w:val="center"/>
            <w:hideMark/>
          </w:tcPr>
          <w:p w14:paraId="2DB4F9AF"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67</w:t>
            </w:r>
          </w:p>
        </w:tc>
        <w:tc>
          <w:tcPr>
            <w:tcW w:w="2442" w:type="pct"/>
            <w:shd w:val="clear" w:color="auto" w:fill="auto"/>
            <w:vAlign w:val="center"/>
            <w:hideMark/>
          </w:tcPr>
          <w:p w14:paraId="12DB7C94"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交银施罗德瑞鑫定期开放灵活配置混合型证券投资基金</w:t>
            </w:r>
          </w:p>
        </w:tc>
        <w:tc>
          <w:tcPr>
            <w:tcW w:w="952" w:type="pct"/>
            <w:shd w:val="clear" w:color="auto" w:fill="auto"/>
            <w:vAlign w:val="center"/>
            <w:hideMark/>
          </w:tcPr>
          <w:p w14:paraId="0946F09E"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交银瑞鑫</w:t>
            </w:r>
          </w:p>
        </w:tc>
        <w:tc>
          <w:tcPr>
            <w:tcW w:w="1191" w:type="pct"/>
            <w:shd w:val="clear" w:color="auto" w:fill="auto"/>
            <w:vAlign w:val="center"/>
            <w:hideMark/>
          </w:tcPr>
          <w:p w14:paraId="01898F61"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003900</w:t>
            </w:r>
          </w:p>
        </w:tc>
      </w:tr>
      <w:tr w:rsidR="00195B99" w:rsidRPr="006A2C97" w14:paraId="0A126275" w14:textId="77777777" w:rsidTr="00195B99">
        <w:trPr>
          <w:trHeight w:val="630"/>
        </w:trPr>
        <w:tc>
          <w:tcPr>
            <w:tcW w:w="415" w:type="pct"/>
            <w:shd w:val="clear" w:color="auto" w:fill="auto"/>
            <w:noWrap/>
            <w:vAlign w:val="center"/>
            <w:hideMark/>
          </w:tcPr>
          <w:p w14:paraId="746C66EF"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68</w:t>
            </w:r>
          </w:p>
        </w:tc>
        <w:tc>
          <w:tcPr>
            <w:tcW w:w="2442" w:type="pct"/>
            <w:shd w:val="clear" w:color="auto" w:fill="auto"/>
            <w:vAlign w:val="center"/>
            <w:hideMark/>
          </w:tcPr>
          <w:p w14:paraId="7DB5D76B"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交银施罗德天益宝货币市场基金</w:t>
            </w:r>
          </w:p>
        </w:tc>
        <w:tc>
          <w:tcPr>
            <w:tcW w:w="952" w:type="pct"/>
            <w:shd w:val="clear" w:color="auto" w:fill="auto"/>
            <w:vAlign w:val="center"/>
            <w:hideMark/>
          </w:tcPr>
          <w:p w14:paraId="44161E61"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交银天益宝</w:t>
            </w:r>
          </w:p>
        </w:tc>
        <w:tc>
          <w:tcPr>
            <w:tcW w:w="1191" w:type="pct"/>
            <w:shd w:val="clear" w:color="auto" w:fill="auto"/>
            <w:vAlign w:val="center"/>
            <w:hideMark/>
          </w:tcPr>
          <w:p w14:paraId="1F98487B"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A类003968</w:t>
            </w:r>
          </w:p>
          <w:p w14:paraId="302156F9" w14:textId="77777777" w:rsidR="00195B99" w:rsidRPr="001D0752" w:rsidRDefault="00195B99" w:rsidP="00AE73BB">
            <w:pPr>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E类003969</w:t>
            </w:r>
          </w:p>
        </w:tc>
      </w:tr>
      <w:tr w:rsidR="00195B99" w:rsidRPr="006A2C97" w14:paraId="43C45AB4" w14:textId="77777777" w:rsidTr="00195B99">
        <w:trPr>
          <w:trHeight w:val="570"/>
        </w:trPr>
        <w:tc>
          <w:tcPr>
            <w:tcW w:w="415" w:type="pct"/>
            <w:shd w:val="clear" w:color="auto" w:fill="auto"/>
            <w:noWrap/>
            <w:vAlign w:val="center"/>
            <w:hideMark/>
          </w:tcPr>
          <w:p w14:paraId="7E57C75D"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69</w:t>
            </w:r>
          </w:p>
        </w:tc>
        <w:tc>
          <w:tcPr>
            <w:tcW w:w="2442" w:type="pct"/>
            <w:shd w:val="clear" w:color="auto" w:fill="auto"/>
            <w:vAlign w:val="center"/>
            <w:hideMark/>
          </w:tcPr>
          <w:p w14:paraId="08884914"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交银施罗德瑞景定期开放灵活配置混合型证券投资基金</w:t>
            </w:r>
          </w:p>
        </w:tc>
        <w:tc>
          <w:tcPr>
            <w:tcW w:w="952" w:type="pct"/>
            <w:shd w:val="clear" w:color="auto" w:fill="auto"/>
            <w:vAlign w:val="center"/>
            <w:hideMark/>
          </w:tcPr>
          <w:p w14:paraId="6F683557" w14:textId="77777777" w:rsidR="00195B99" w:rsidRPr="001D0752" w:rsidRDefault="00195B99" w:rsidP="00AE73BB">
            <w:pPr>
              <w:widowControl/>
              <w:jc w:val="center"/>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交银瑞景</w:t>
            </w:r>
          </w:p>
        </w:tc>
        <w:tc>
          <w:tcPr>
            <w:tcW w:w="1191" w:type="pct"/>
            <w:shd w:val="clear" w:color="auto" w:fill="auto"/>
            <w:vAlign w:val="center"/>
            <w:hideMark/>
          </w:tcPr>
          <w:p w14:paraId="0BD349D6" w14:textId="77777777" w:rsidR="00195B99" w:rsidRPr="001D0752" w:rsidRDefault="00195B99" w:rsidP="00AE73BB">
            <w:pPr>
              <w:widowControl/>
              <w:jc w:val="left"/>
              <w:rPr>
                <w:rFonts w:asciiTheme="minorEastAsia" w:eastAsiaTheme="minorEastAsia" w:hAnsiTheme="minorEastAsia"/>
                <w:color w:val="000000"/>
                <w:kern w:val="0"/>
                <w:sz w:val="24"/>
              </w:rPr>
            </w:pPr>
            <w:r w:rsidRPr="001D0752">
              <w:rPr>
                <w:rFonts w:asciiTheme="minorEastAsia" w:eastAsiaTheme="minorEastAsia" w:hAnsiTheme="minorEastAsia"/>
                <w:color w:val="000000"/>
                <w:kern w:val="0"/>
                <w:sz w:val="24"/>
              </w:rPr>
              <w:t>003901</w:t>
            </w:r>
          </w:p>
        </w:tc>
      </w:tr>
    </w:tbl>
    <w:p w14:paraId="5ED87B90" w14:textId="77777777" w:rsidR="00B92624" w:rsidRPr="00474B23" w:rsidRDefault="00B92624" w:rsidP="00B92624">
      <w:pPr>
        <w:spacing w:line="360" w:lineRule="auto"/>
        <w:ind w:firstLineChars="200" w:firstLine="480"/>
        <w:rPr>
          <w:sz w:val="24"/>
        </w:rPr>
      </w:pPr>
      <w:r w:rsidRPr="00474B23">
        <w:rPr>
          <w:rFonts w:hAnsi="宋体"/>
          <w:sz w:val="24"/>
        </w:rPr>
        <w:t>上述基金已开通转换业务的范围如下表所示：</w:t>
      </w:r>
    </w:p>
    <w:tbl>
      <w:tblPr>
        <w:tblW w:w="92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8"/>
        <w:gridCol w:w="1187"/>
        <w:gridCol w:w="1211"/>
        <w:gridCol w:w="1146"/>
        <w:gridCol w:w="1173"/>
        <w:gridCol w:w="1337"/>
        <w:gridCol w:w="1209"/>
      </w:tblGrid>
      <w:tr w:rsidR="00B92624" w:rsidRPr="00474B23" w14:paraId="2B4203BB" w14:textId="77777777" w:rsidTr="00082E27">
        <w:trPr>
          <w:jc w:val="center"/>
        </w:trPr>
        <w:tc>
          <w:tcPr>
            <w:tcW w:w="1998" w:type="dxa"/>
            <w:tcBorders>
              <w:tl2br w:val="single" w:sz="4" w:space="0" w:color="auto"/>
            </w:tcBorders>
          </w:tcPr>
          <w:p w14:paraId="32092ACA" w14:textId="77777777" w:rsidR="00B92624" w:rsidRPr="00474B23" w:rsidRDefault="00B92624" w:rsidP="000A567B">
            <w:pPr>
              <w:pStyle w:val="a6"/>
              <w:spacing w:line="360" w:lineRule="auto"/>
              <w:ind w:rightChars="-85" w:right="-178" w:firstLineChars="300" w:firstLine="720"/>
              <w:rPr>
                <w:sz w:val="24"/>
              </w:rPr>
            </w:pPr>
            <w:r w:rsidRPr="00474B23">
              <w:rPr>
                <w:rFonts w:hAnsi="宋体"/>
                <w:sz w:val="24"/>
              </w:rPr>
              <w:t>转入</w:t>
            </w:r>
          </w:p>
          <w:p w14:paraId="24BB5B4E" w14:textId="77777777" w:rsidR="00B92624" w:rsidRPr="00474B23" w:rsidRDefault="00B92624" w:rsidP="000A567B">
            <w:pPr>
              <w:pStyle w:val="a6"/>
              <w:spacing w:line="360" w:lineRule="auto"/>
              <w:ind w:rightChars="-85" w:right="-178" w:firstLineChars="300" w:firstLine="720"/>
              <w:rPr>
                <w:sz w:val="24"/>
              </w:rPr>
            </w:pPr>
            <w:r w:rsidRPr="00474B23">
              <w:rPr>
                <w:rFonts w:hAnsi="宋体"/>
                <w:sz w:val="24"/>
              </w:rPr>
              <w:lastRenderedPageBreak/>
              <w:t>基金</w:t>
            </w:r>
          </w:p>
          <w:p w14:paraId="42AA8399" w14:textId="77777777" w:rsidR="00B92624" w:rsidRPr="00474B23" w:rsidRDefault="00B92624" w:rsidP="000A567B">
            <w:pPr>
              <w:pStyle w:val="a6"/>
              <w:spacing w:line="360" w:lineRule="auto"/>
              <w:ind w:rightChars="-85" w:right="-178" w:firstLine="0"/>
              <w:rPr>
                <w:sz w:val="24"/>
              </w:rPr>
            </w:pPr>
            <w:r w:rsidRPr="00474B23">
              <w:rPr>
                <w:rFonts w:hAnsi="宋体"/>
                <w:sz w:val="24"/>
              </w:rPr>
              <w:t>转出</w:t>
            </w:r>
          </w:p>
          <w:p w14:paraId="22874A44" w14:textId="77777777" w:rsidR="00B92624" w:rsidRPr="00474B23" w:rsidRDefault="00B92624" w:rsidP="000A567B">
            <w:pPr>
              <w:pStyle w:val="a6"/>
              <w:spacing w:line="360" w:lineRule="auto"/>
              <w:ind w:rightChars="-85" w:right="-178" w:firstLine="0"/>
              <w:rPr>
                <w:sz w:val="24"/>
              </w:rPr>
            </w:pPr>
            <w:r w:rsidRPr="00474B23">
              <w:rPr>
                <w:rFonts w:hAnsi="宋体"/>
                <w:sz w:val="24"/>
              </w:rPr>
              <w:t>基金</w:t>
            </w:r>
          </w:p>
        </w:tc>
        <w:tc>
          <w:tcPr>
            <w:tcW w:w="1187" w:type="dxa"/>
            <w:vAlign w:val="center"/>
          </w:tcPr>
          <w:p w14:paraId="3B38E9B2" w14:textId="77777777" w:rsidR="00B92624" w:rsidRPr="00474B23" w:rsidRDefault="00B92624" w:rsidP="000A567B">
            <w:pPr>
              <w:pStyle w:val="a6"/>
              <w:spacing w:line="360" w:lineRule="auto"/>
              <w:ind w:rightChars="-85" w:right="-178" w:firstLine="0"/>
              <w:jc w:val="left"/>
              <w:rPr>
                <w:sz w:val="24"/>
              </w:rPr>
            </w:pPr>
            <w:r w:rsidRPr="00474B23">
              <w:rPr>
                <w:rFonts w:hAnsi="宋体"/>
                <w:sz w:val="24"/>
              </w:rPr>
              <w:lastRenderedPageBreak/>
              <w:t>前端收费</w:t>
            </w:r>
            <w:r w:rsidRPr="00474B23">
              <w:rPr>
                <w:rFonts w:hAnsi="宋体"/>
                <w:sz w:val="24"/>
              </w:rPr>
              <w:lastRenderedPageBreak/>
              <w:t>模式下股票基金和混合基金</w:t>
            </w:r>
          </w:p>
        </w:tc>
        <w:tc>
          <w:tcPr>
            <w:tcW w:w="1211" w:type="dxa"/>
            <w:vAlign w:val="center"/>
          </w:tcPr>
          <w:p w14:paraId="116A2716" w14:textId="77777777" w:rsidR="00B92624" w:rsidRPr="00474B23" w:rsidRDefault="00B92624" w:rsidP="000A567B">
            <w:pPr>
              <w:pStyle w:val="a6"/>
              <w:spacing w:line="360" w:lineRule="auto"/>
              <w:ind w:firstLine="0"/>
              <w:jc w:val="center"/>
              <w:rPr>
                <w:sz w:val="24"/>
              </w:rPr>
            </w:pPr>
            <w:r w:rsidRPr="00474B23">
              <w:rPr>
                <w:rFonts w:hAnsi="宋体"/>
                <w:sz w:val="24"/>
              </w:rPr>
              <w:lastRenderedPageBreak/>
              <w:t>后端收费</w:t>
            </w:r>
            <w:r w:rsidRPr="00474B23">
              <w:rPr>
                <w:rFonts w:hAnsi="宋体"/>
                <w:sz w:val="24"/>
              </w:rPr>
              <w:lastRenderedPageBreak/>
              <w:t>模式下股票基金和混合基金</w:t>
            </w:r>
          </w:p>
        </w:tc>
        <w:tc>
          <w:tcPr>
            <w:tcW w:w="1146" w:type="dxa"/>
            <w:vAlign w:val="center"/>
          </w:tcPr>
          <w:p w14:paraId="306A2D2B" w14:textId="77777777" w:rsidR="00B92624" w:rsidRPr="00474B23" w:rsidRDefault="00FB00F7" w:rsidP="000A567B">
            <w:pPr>
              <w:pStyle w:val="a6"/>
              <w:spacing w:line="360" w:lineRule="auto"/>
              <w:ind w:rightChars="-85" w:right="-178" w:firstLine="0"/>
              <w:jc w:val="left"/>
              <w:rPr>
                <w:sz w:val="24"/>
              </w:rPr>
            </w:pPr>
            <w:r w:rsidRPr="00474B23">
              <w:rPr>
                <w:rFonts w:hAnsi="宋体"/>
                <w:sz w:val="24"/>
              </w:rPr>
              <w:lastRenderedPageBreak/>
              <w:t>债券基金</w:t>
            </w:r>
            <w:r w:rsidR="00B92624" w:rsidRPr="00474B23">
              <w:rPr>
                <w:sz w:val="24"/>
              </w:rPr>
              <w:lastRenderedPageBreak/>
              <w:t>A</w:t>
            </w:r>
            <w:r w:rsidR="00B92624" w:rsidRPr="00474B23">
              <w:rPr>
                <w:rFonts w:hAnsi="宋体"/>
                <w:sz w:val="24"/>
              </w:rPr>
              <w:t>类基金份额</w:t>
            </w:r>
          </w:p>
        </w:tc>
        <w:tc>
          <w:tcPr>
            <w:tcW w:w="1173" w:type="dxa"/>
            <w:vAlign w:val="center"/>
          </w:tcPr>
          <w:p w14:paraId="74538A9B" w14:textId="77777777" w:rsidR="00082E27" w:rsidRPr="00474B23" w:rsidRDefault="00FB00F7" w:rsidP="000A567B">
            <w:pPr>
              <w:pStyle w:val="a6"/>
              <w:spacing w:line="360" w:lineRule="auto"/>
              <w:ind w:rightChars="-85" w:right="-178" w:firstLine="0"/>
              <w:jc w:val="left"/>
              <w:rPr>
                <w:sz w:val="24"/>
              </w:rPr>
            </w:pPr>
            <w:r w:rsidRPr="00474B23">
              <w:rPr>
                <w:rFonts w:hAnsi="宋体"/>
                <w:sz w:val="24"/>
              </w:rPr>
              <w:lastRenderedPageBreak/>
              <w:t>债券基金</w:t>
            </w:r>
          </w:p>
          <w:p w14:paraId="43F96128" w14:textId="77777777" w:rsidR="00082E27" w:rsidRPr="00474B23" w:rsidRDefault="00B92624" w:rsidP="000A567B">
            <w:pPr>
              <w:pStyle w:val="a6"/>
              <w:spacing w:line="360" w:lineRule="auto"/>
              <w:ind w:rightChars="-85" w:right="-178" w:firstLine="0"/>
              <w:jc w:val="left"/>
              <w:rPr>
                <w:sz w:val="24"/>
              </w:rPr>
            </w:pPr>
            <w:r w:rsidRPr="00474B23">
              <w:rPr>
                <w:sz w:val="24"/>
              </w:rPr>
              <w:lastRenderedPageBreak/>
              <w:t>B</w:t>
            </w:r>
            <w:r w:rsidRPr="00474B23">
              <w:rPr>
                <w:rFonts w:hAnsi="宋体"/>
                <w:sz w:val="24"/>
              </w:rPr>
              <w:t>类基金</w:t>
            </w:r>
          </w:p>
          <w:p w14:paraId="51111751" w14:textId="77777777" w:rsidR="00B92624" w:rsidRPr="00474B23" w:rsidRDefault="00B92624" w:rsidP="000A567B">
            <w:pPr>
              <w:pStyle w:val="a6"/>
              <w:spacing w:line="360" w:lineRule="auto"/>
              <w:ind w:rightChars="-85" w:right="-178" w:firstLine="0"/>
              <w:jc w:val="left"/>
              <w:rPr>
                <w:sz w:val="24"/>
              </w:rPr>
            </w:pPr>
            <w:r w:rsidRPr="00474B23">
              <w:rPr>
                <w:rFonts w:hAnsi="宋体"/>
                <w:sz w:val="24"/>
              </w:rPr>
              <w:t>份额</w:t>
            </w:r>
          </w:p>
        </w:tc>
        <w:tc>
          <w:tcPr>
            <w:tcW w:w="1337" w:type="dxa"/>
            <w:vAlign w:val="center"/>
          </w:tcPr>
          <w:p w14:paraId="17B86BD3" w14:textId="77777777" w:rsidR="00B92624" w:rsidRPr="00474B23" w:rsidRDefault="00FB00F7" w:rsidP="000A567B">
            <w:pPr>
              <w:pStyle w:val="a6"/>
              <w:spacing w:line="360" w:lineRule="auto"/>
              <w:ind w:rightChars="-85" w:right="-178" w:firstLine="0"/>
              <w:jc w:val="left"/>
              <w:rPr>
                <w:sz w:val="24"/>
              </w:rPr>
            </w:pPr>
            <w:r w:rsidRPr="00474B23">
              <w:rPr>
                <w:rFonts w:hAnsi="宋体"/>
                <w:sz w:val="24"/>
              </w:rPr>
              <w:lastRenderedPageBreak/>
              <w:t>债券基金</w:t>
            </w:r>
            <w:r w:rsidR="00B92624" w:rsidRPr="00474B23">
              <w:rPr>
                <w:sz w:val="24"/>
              </w:rPr>
              <w:t>C</w:t>
            </w:r>
            <w:r w:rsidR="00B92624" w:rsidRPr="00474B23">
              <w:rPr>
                <w:rFonts w:hAnsi="宋体"/>
                <w:sz w:val="24"/>
              </w:rPr>
              <w:lastRenderedPageBreak/>
              <w:t>类基金份额</w:t>
            </w:r>
          </w:p>
        </w:tc>
        <w:tc>
          <w:tcPr>
            <w:tcW w:w="1209" w:type="dxa"/>
            <w:vAlign w:val="center"/>
          </w:tcPr>
          <w:p w14:paraId="190D38A0" w14:textId="77777777" w:rsidR="00B92624" w:rsidRPr="00474B23" w:rsidRDefault="00B92624" w:rsidP="000A567B">
            <w:pPr>
              <w:pStyle w:val="a6"/>
              <w:spacing w:line="360" w:lineRule="auto"/>
              <w:ind w:rightChars="-85" w:right="-178" w:firstLine="0"/>
              <w:jc w:val="left"/>
              <w:rPr>
                <w:sz w:val="24"/>
              </w:rPr>
            </w:pPr>
            <w:r w:rsidRPr="00474B23">
              <w:rPr>
                <w:rFonts w:hAnsi="宋体"/>
                <w:sz w:val="24"/>
              </w:rPr>
              <w:lastRenderedPageBreak/>
              <w:t>交银货币</w:t>
            </w:r>
          </w:p>
        </w:tc>
      </w:tr>
      <w:tr w:rsidR="00B92624" w:rsidRPr="00474B23" w14:paraId="1562A0B4" w14:textId="77777777" w:rsidTr="00082E27">
        <w:trPr>
          <w:jc w:val="center"/>
        </w:trPr>
        <w:tc>
          <w:tcPr>
            <w:tcW w:w="1998" w:type="dxa"/>
            <w:vAlign w:val="center"/>
          </w:tcPr>
          <w:p w14:paraId="1E95D9DA" w14:textId="77777777" w:rsidR="00B92624" w:rsidRPr="00474B23" w:rsidRDefault="00B92624" w:rsidP="000A567B">
            <w:pPr>
              <w:pStyle w:val="a6"/>
              <w:spacing w:line="360" w:lineRule="auto"/>
              <w:ind w:firstLine="0"/>
              <w:jc w:val="center"/>
              <w:rPr>
                <w:sz w:val="24"/>
              </w:rPr>
            </w:pPr>
            <w:r w:rsidRPr="00474B23">
              <w:rPr>
                <w:rFonts w:hAnsi="宋体"/>
                <w:sz w:val="24"/>
              </w:rPr>
              <w:t>前端收费模式下股票基金和混合基金</w:t>
            </w:r>
          </w:p>
        </w:tc>
        <w:tc>
          <w:tcPr>
            <w:tcW w:w="1187" w:type="dxa"/>
            <w:vAlign w:val="center"/>
          </w:tcPr>
          <w:p w14:paraId="75D34D85"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211" w:type="dxa"/>
            <w:vAlign w:val="center"/>
          </w:tcPr>
          <w:p w14:paraId="4651D28A" w14:textId="77777777" w:rsidR="00B92624" w:rsidRPr="00474B23" w:rsidRDefault="00B92624" w:rsidP="000A567B">
            <w:pPr>
              <w:pStyle w:val="a6"/>
              <w:spacing w:line="360" w:lineRule="auto"/>
              <w:ind w:firstLine="0"/>
              <w:jc w:val="center"/>
              <w:rPr>
                <w:sz w:val="24"/>
              </w:rPr>
            </w:pPr>
            <w:r w:rsidRPr="00474B23">
              <w:rPr>
                <w:sz w:val="24"/>
              </w:rPr>
              <w:t>—</w:t>
            </w:r>
          </w:p>
        </w:tc>
        <w:tc>
          <w:tcPr>
            <w:tcW w:w="1146" w:type="dxa"/>
            <w:vAlign w:val="center"/>
          </w:tcPr>
          <w:p w14:paraId="4C06CF46"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173" w:type="dxa"/>
            <w:vAlign w:val="center"/>
          </w:tcPr>
          <w:p w14:paraId="3C4A93C9" w14:textId="77777777" w:rsidR="00B92624" w:rsidRPr="00474B23" w:rsidRDefault="00B92624" w:rsidP="000A567B">
            <w:pPr>
              <w:pStyle w:val="a6"/>
              <w:spacing w:line="360" w:lineRule="auto"/>
              <w:ind w:firstLine="0"/>
              <w:jc w:val="center"/>
              <w:rPr>
                <w:sz w:val="24"/>
              </w:rPr>
            </w:pPr>
            <w:r w:rsidRPr="00474B23">
              <w:rPr>
                <w:sz w:val="24"/>
              </w:rPr>
              <w:t>—</w:t>
            </w:r>
          </w:p>
        </w:tc>
        <w:tc>
          <w:tcPr>
            <w:tcW w:w="1337" w:type="dxa"/>
            <w:vAlign w:val="center"/>
          </w:tcPr>
          <w:p w14:paraId="14145A51"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209" w:type="dxa"/>
            <w:vAlign w:val="center"/>
          </w:tcPr>
          <w:p w14:paraId="6BD99629"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r>
      <w:tr w:rsidR="00B92624" w:rsidRPr="00474B23" w14:paraId="14D4629E" w14:textId="77777777" w:rsidTr="00082E27">
        <w:trPr>
          <w:jc w:val="center"/>
        </w:trPr>
        <w:tc>
          <w:tcPr>
            <w:tcW w:w="1998" w:type="dxa"/>
            <w:vAlign w:val="center"/>
          </w:tcPr>
          <w:p w14:paraId="03BBCBF9" w14:textId="77777777" w:rsidR="00B92624" w:rsidRPr="00474B23" w:rsidRDefault="00B92624" w:rsidP="000A567B">
            <w:pPr>
              <w:pStyle w:val="a6"/>
              <w:spacing w:line="360" w:lineRule="auto"/>
              <w:ind w:firstLine="0"/>
              <w:jc w:val="center"/>
              <w:rPr>
                <w:sz w:val="24"/>
              </w:rPr>
            </w:pPr>
            <w:r w:rsidRPr="00474B23">
              <w:rPr>
                <w:rFonts w:hAnsi="宋体"/>
                <w:sz w:val="24"/>
              </w:rPr>
              <w:t>后端收费模式下股票基金和混合基金</w:t>
            </w:r>
          </w:p>
        </w:tc>
        <w:tc>
          <w:tcPr>
            <w:tcW w:w="1187" w:type="dxa"/>
            <w:vAlign w:val="center"/>
          </w:tcPr>
          <w:p w14:paraId="568CB3DF" w14:textId="77777777" w:rsidR="00B92624" w:rsidRPr="00474B23" w:rsidRDefault="00B92624" w:rsidP="000A567B">
            <w:pPr>
              <w:pStyle w:val="a6"/>
              <w:spacing w:line="360" w:lineRule="auto"/>
              <w:ind w:firstLine="0"/>
              <w:jc w:val="center"/>
              <w:rPr>
                <w:sz w:val="24"/>
              </w:rPr>
            </w:pPr>
            <w:r w:rsidRPr="00474B23">
              <w:rPr>
                <w:sz w:val="24"/>
              </w:rPr>
              <w:t>—</w:t>
            </w:r>
          </w:p>
        </w:tc>
        <w:tc>
          <w:tcPr>
            <w:tcW w:w="1211" w:type="dxa"/>
            <w:vAlign w:val="center"/>
          </w:tcPr>
          <w:p w14:paraId="6EDD567D"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146" w:type="dxa"/>
            <w:vAlign w:val="center"/>
          </w:tcPr>
          <w:p w14:paraId="3C4BE981" w14:textId="77777777" w:rsidR="00B92624" w:rsidRPr="00474B23" w:rsidRDefault="00B92624" w:rsidP="000A567B">
            <w:pPr>
              <w:pStyle w:val="a6"/>
              <w:spacing w:line="360" w:lineRule="auto"/>
              <w:ind w:firstLine="0"/>
              <w:jc w:val="center"/>
              <w:rPr>
                <w:sz w:val="24"/>
              </w:rPr>
            </w:pPr>
            <w:r w:rsidRPr="00474B23">
              <w:rPr>
                <w:sz w:val="24"/>
              </w:rPr>
              <w:t>—</w:t>
            </w:r>
          </w:p>
        </w:tc>
        <w:tc>
          <w:tcPr>
            <w:tcW w:w="1173" w:type="dxa"/>
            <w:vAlign w:val="center"/>
          </w:tcPr>
          <w:p w14:paraId="4749C983"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337" w:type="dxa"/>
            <w:vAlign w:val="center"/>
          </w:tcPr>
          <w:p w14:paraId="74C483A6"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209" w:type="dxa"/>
            <w:vAlign w:val="center"/>
          </w:tcPr>
          <w:p w14:paraId="31FB6813"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r>
      <w:tr w:rsidR="00B92624" w:rsidRPr="00474B23" w14:paraId="58713B04" w14:textId="77777777" w:rsidTr="00082E27">
        <w:trPr>
          <w:trHeight w:val="822"/>
          <w:jc w:val="center"/>
        </w:trPr>
        <w:tc>
          <w:tcPr>
            <w:tcW w:w="1998" w:type="dxa"/>
            <w:vAlign w:val="center"/>
          </w:tcPr>
          <w:p w14:paraId="32D80657" w14:textId="77777777" w:rsidR="00B92624" w:rsidRPr="00474B23" w:rsidRDefault="00FB00F7" w:rsidP="00280C27">
            <w:pPr>
              <w:pStyle w:val="a6"/>
              <w:spacing w:line="360" w:lineRule="auto"/>
              <w:ind w:firstLine="0"/>
              <w:jc w:val="center"/>
              <w:rPr>
                <w:sz w:val="24"/>
              </w:rPr>
            </w:pPr>
            <w:r w:rsidRPr="00474B23">
              <w:rPr>
                <w:rFonts w:hAnsi="宋体"/>
                <w:sz w:val="24"/>
              </w:rPr>
              <w:t>债券基金</w:t>
            </w:r>
            <w:r w:rsidR="00B92624" w:rsidRPr="00474B23">
              <w:rPr>
                <w:sz w:val="24"/>
              </w:rPr>
              <w:t>A</w:t>
            </w:r>
            <w:r w:rsidR="00B92624" w:rsidRPr="00474B23">
              <w:rPr>
                <w:rFonts w:hAnsi="宋体"/>
                <w:sz w:val="24"/>
              </w:rPr>
              <w:t>类基金份额</w:t>
            </w:r>
          </w:p>
        </w:tc>
        <w:tc>
          <w:tcPr>
            <w:tcW w:w="1187" w:type="dxa"/>
            <w:tcBorders>
              <w:right w:val="single" w:sz="4" w:space="0" w:color="auto"/>
            </w:tcBorders>
            <w:vAlign w:val="center"/>
          </w:tcPr>
          <w:p w14:paraId="24780143"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211" w:type="dxa"/>
            <w:tcBorders>
              <w:right w:val="single" w:sz="4" w:space="0" w:color="auto"/>
            </w:tcBorders>
            <w:vAlign w:val="center"/>
          </w:tcPr>
          <w:p w14:paraId="2AD53006" w14:textId="77777777" w:rsidR="00B92624" w:rsidRPr="00474B23" w:rsidRDefault="00B92624" w:rsidP="000A567B">
            <w:pPr>
              <w:pStyle w:val="a6"/>
              <w:spacing w:line="360" w:lineRule="auto"/>
              <w:ind w:firstLine="0"/>
              <w:jc w:val="center"/>
              <w:rPr>
                <w:sz w:val="24"/>
              </w:rPr>
            </w:pPr>
            <w:r w:rsidRPr="00474B23">
              <w:rPr>
                <w:sz w:val="24"/>
              </w:rPr>
              <w:t>—</w:t>
            </w:r>
          </w:p>
        </w:tc>
        <w:tc>
          <w:tcPr>
            <w:tcW w:w="1146" w:type="dxa"/>
            <w:tcBorders>
              <w:left w:val="single" w:sz="4" w:space="0" w:color="auto"/>
            </w:tcBorders>
            <w:vAlign w:val="center"/>
          </w:tcPr>
          <w:p w14:paraId="4FA010FF"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173" w:type="dxa"/>
            <w:vAlign w:val="center"/>
          </w:tcPr>
          <w:p w14:paraId="4AB8F707" w14:textId="77777777" w:rsidR="00B92624" w:rsidRPr="00474B23" w:rsidRDefault="00B92624" w:rsidP="000A567B">
            <w:pPr>
              <w:pStyle w:val="a6"/>
              <w:spacing w:line="360" w:lineRule="auto"/>
              <w:ind w:firstLine="0"/>
              <w:jc w:val="center"/>
              <w:rPr>
                <w:sz w:val="24"/>
              </w:rPr>
            </w:pPr>
            <w:r w:rsidRPr="00474B23">
              <w:rPr>
                <w:sz w:val="24"/>
              </w:rPr>
              <w:t>—</w:t>
            </w:r>
          </w:p>
        </w:tc>
        <w:tc>
          <w:tcPr>
            <w:tcW w:w="1337" w:type="dxa"/>
            <w:vAlign w:val="center"/>
          </w:tcPr>
          <w:p w14:paraId="34E9B311"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209" w:type="dxa"/>
            <w:vAlign w:val="center"/>
          </w:tcPr>
          <w:p w14:paraId="04875FC2"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r>
      <w:tr w:rsidR="00B92624" w:rsidRPr="00474B23" w14:paraId="656E3E38" w14:textId="77777777" w:rsidTr="00082E27">
        <w:trPr>
          <w:trHeight w:val="822"/>
          <w:jc w:val="center"/>
        </w:trPr>
        <w:tc>
          <w:tcPr>
            <w:tcW w:w="1998" w:type="dxa"/>
            <w:vAlign w:val="center"/>
          </w:tcPr>
          <w:p w14:paraId="0AF1E25F" w14:textId="77777777" w:rsidR="00B92624" w:rsidRPr="00474B23" w:rsidRDefault="00FB00F7" w:rsidP="000A567B">
            <w:pPr>
              <w:pStyle w:val="a6"/>
              <w:spacing w:line="360" w:lineRule="auto"/>
              <w:ind w:firstLine="0"/>
              <w:jc w:val="center"/>
              <w:rPr>
                <w:sz w:val="24"/>
              </w:rPr>
            </w:pPr>
            <w:r w:rsidRPr="00474B23">
              <w:rPr>
                <w:rFonts w:hAnsi="宋体"/>
                <w:sz w:val="24"/>
              </w:rPr>
              <w:t>债券基金</w:t>
            </w:r>
            <w:r w:rsidR="00B92624" w:rsidRPr="00474B23">
              <w:rPr>
                <w:sz w:val="24"/>
              </w:rPr>
              <w:t>B</w:t>
            </w:r>
            <w:r w:rsidR="00B92624" w:rsidRPr="00474B23">
              <w:rPr>
                <w:rFonts w:hAnsi="宋体"/>
                <w:sz w:val="24"/>
              </w:rPr>
              <w:t>类基金份额</w:t>
            </w:r>
          </w:p>
        </w:tc>
        <w:tc>
          <w:tcPr>
            <w:tcW w:w="1187" w:type="dxa"/>
            <w:tcBorders>
              <w:right w:val="single" w:sz="4" w:space="0" w:color="auto"/>
            </w:tcBorders>
            <w:vAlign w:val="center"/>
          </w:tcPr>
          <w:p w14:paraId="7C8608C9" w14:textId="77777777" w:rsidR="00B92624" w:rsidRPr="00474B23" w:rsidRDefault="00B92624" w:rsidP="000A567B">
            <w:pPr>
              <w:pStyle w:val="a6"/>
              <w:spacing w:line="360" w:lineRule="auto"/>
              <w:ind w:firstLine="0"/>
              <w:jc w:val="center"/>
              <w:rPr>
                <w:sz w:val="24"/>
              </w:rPr>
            </w:pPr>
            <w:r w:rsidRPr="00474B23">
              <w:rPr>
                <w:sz w:val="24"/>
              </w:rPr>
              <w:t>—</w:t>
            </w:r>
          </w:p>
        </w:tc>
        <w:tc>
          <w:tcPr>
            <w:tcW w:w="1211" w:type="dxa"/>
            <w:tcBorders>
              <w:right w:val="single" w:sz="4" w:space="0" w:color="auto"/>
            </w:tcBorders>
            <w:vAlign w:val="center"/>
          </w:tcPr>
          <w:p w14:paraId="3D0C02A7"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146" w:type="dxa"/>
            <w:tcBorders>
              <w:left w:val="single" w:sz="4" w:space="0" w:color="auto"/>
            </w:tcBorders>
            <w:vAlign w:val="center"/>
          </w:tcPr>
          <w:p w14:paraId="10CE8F6C" w14:textId="77777777" w:rsidR="00B92624" w:rsidRPr="00474B23" w:rsidRDefault="00B92624" w:rsidP="000A567B">
            <w:pPr>
              <w:pStyle w:val="a6"/>
              <w:spacing w:line="360" w:lineRule="auto"/>
              <w:ind w:firstLine="0"/>
              <w:jc w:val="center"/>
              <w:rPr>
                <w:sz w:val="24"/>
              </w:rPr>
            </w:pPr>
            <w:r w:rsidRPr="00474B23">
              <w:rPr>
                <w:sz w:val="24"/>
              </w:rPr>
              <w:t>—</w:t>
            </w:r>
          </w:p>
        </w:tc>
        <w:tc>
          <w:tcPr>
            <w:tcW w:w="1173" w:type="dxa"/>
            <w:vAlign w:val="center"/>
          </w:tcPr>
          <w:p w14:paraId="5F60D209"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337" w:type="dxa"/>
            <w:vAlign w:val="center"/>
          </w:tcPr>
          <w:p w14:paraId="20669F21"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209" w:type="dxa"/>
            <w:vAlign w:val="center"/>
          </w:tcPr>
          <w:p w14:paraId="1BF37222"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r>
      <w:tr w:rsidR="00B92624" w:rsidRPr="00474B23" w14:paraId="411E081C" w14:textId="77777777" w:rsidTr="00082E27">
        <w:trPr>
          <w:trHeight w:val="834"/>
          <w:jc w:val="center"/>
        </w:trPr>
        <w:tc>
          <w:tcPr>
            <w:tcW w:w="1998" w:type="dxa"/>
            <w:vAlign w:val="center"/>
          </w:tcPr>
          <w:p w14:paraId="5155C934" w14:textId="77777777" w:rsidR="00B92624" w:rsidRPr="00474B23" w:rsidRDefault="00FB00F7" w:rsidP="000A567B">
            <w:pPr>
              <w:pStyle w:val="a6"/>
              <w:spacing w:line="360" w:lineRule="auto"/>
              <w:ind w:firstLine="0"/>
              <w:jc w:val="center"/>
              <w:rPr>
                <w:sz w:val="24"/>
              </w:rPr>
            </w:pPr>
            <w:r w:rsidRPr="00474B23">
              <w:rPr>
                <w:rFonts w:hAnsi="宋体"/>
                <w:sz w:val="24"/>
              </w:rPr>
              <w:t>债券基金</w:t>
            </w:r>
            <w:r w:rsidR="00B92624" w:rsidRPr="00474B23">
              <w:rPr>
                <w:sz w:val="24"/>
              </w:rPr>
              <w:t>C</w:t>
            </w:r>
            <w:r w:rsidR="00B92624" w:rsidRPr="00474B23">
              <w:rPr>
                <w:rFonts w:hAnsi="宋体"/>
                <w:sz w:val="24"/>
              </w:rPr>
              <w:t>类基金份额</w:t>
            </w:r>
          </w:p>
        </w:tc>
        <w:tc>
          <w:tcPr>
            <w:tcW w:w="1187" w:type="dxa"/>
            <w:vAlign w:val="center"/>
          </w:tcPr>
          <w:p w14:paraId="6314A814"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211" w:type="dxa"/>
            <w:vAlign w:val="center"/>
          </w:tcPr>
          <w:p w14:paraId="2A80FF74"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146" w:type="dxa"/>
            <w:vAlign w:val="center"/>
          </w:tcPr>
          <w:p w14:paraId="31D4C61B"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173" w:type="dxa"/>
            <w:vAlign w:val="center"/>
          </w:tcPr>
          <w:p w14:paraId="4AC0BFCB"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337" w:type="dxa"/>
            <w:vAlign w:val="center"/>
          </w:tcPr>
          <w:p w14:paraId="5F8A9B3F"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209" w:type="dxa"/>
            <w:tcBorders>
              <w:bottom w:val="single" w:sz="4" w:space="0" w:color="auto"/>
            </w:tcBorders>
            <w:vAlign w:val="center"/>
          </w:tcPr>
          <w:p w14:paraId="6372AB2F"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r>
      <w:tr w:rsidR="00B92624" w:rsidRPr="00474B23" w14:paraId="3F313F78" w14:textId="77777777" w:rsidTr="00082E27">
        <w:trPr>
          <w:trHeight w:val="846"/>
          <w:jc w:val="center"/>
        </w:trPr>
        <w:tc>
          <w:tcPr>
            <w:tcW w:w="1998" w:type="dxa"/>
            <w:vAlign w:val="center"/>
          </w:tcPr>
          <w:p w14:paraId="3829F270" w14:textId="77777777" w:rsidR="00B92624" w:rsidRPr="00474B23" w:rsidRDefault="00B92624" w:rsidP="000A567B">
            <w:pPr>
              <w:pStyle w:val="a6"/>
              <w:spacing w:line="360" w:lineRule="auto"/>
              <w:ind w:firstLine="0"/>
              <w:jc w:val="center"/>
              <w:rPr>
                <w:sz w:val="24"/>
              </w:rPr>
            </w:pPr>
            <w:r w:rsidRPr="00474B23">
              <w:rPr>
                <w:rFonts w:hAnsi="宋体"/>
                <w:sz w:val="24"/>
              </w:rPr>
              <w:t>交银货币</w:t>
            </w:r>
          </w:p>
        </w:tc>
        <w:tc>
          <w:tcPr>
            <w:tcW w:w="1187" w:type="dxa"/>
            <w:vAlign w:val="center"/>
          </w:tcPr>
          <w:p w14:paraId="3C468B7A"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211" w:type="dxa"/>
            <w:vAlign w:val="center"/>
          </w:tcPr>
          <w:p w14:paraId="7961AA86"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146" w:type="dxa"/>
            <w:vAlign w:val="center"/>
          </w:tcPr>
          <w:p w14:paraId="32D7C367"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173" w:type="dxa"/>
            <w:vAlign w:val="center"/>
          </w:tcPr>
          <w:p w14:paraId="1A700F7A"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337" w:type="dxa"/>
            <w:vAlign w:val="center"/>
          </w:tcPr>
          <w:p w14:paraId="580E729E" w14:textId="77777777" w:rsidR="00B92624" w:rsidRPr="00474B23" w:rsidRDefault="00B92624" w:rsidP="000A567B">
            <w:pPr>
              <w:pStyle w:val="a6"/>
              <w:spacing w:line="360" w:lineRule="auto"/>
              <w:ind w:firstLine="0"/>
              <w:jc w:val="center"/>
              <w:rPr>
                <w:sz w:val="24"/>
              </w:rPr>
            </w:pPr>
            <w:r w:rsidRPr="00474B23">
              <w:rPr>
                <w:rFonts w:hAnsi="宋体"/>
                <w:sz w:val="24"/>
              </w:rPr>
              <w:t>已开通</w:t>
            </w:r>
          </w:p>
        </w:tc>
        <w:tc>
          <w:tcPr>
            <w:tcW w:w="1209" w:type="dxa"/>
            <w:tcBorders>
              <w:top w:val="single" w:sz="4" w:space="0" w:color="auto"/>
            </w:tcBorders>
            <w:vAlign w:val="center"/>
          </w:tcPr>
          <w:p w14:paraId="3D4FF330" w14:textId="77777777" w:rsidR="00B92624" w:rsidRPr="00474B23" w:rsidRDefault="00B92624" w:rsidP="000A567B">
            <w:pPr>
              <w:pStyle w:val="a6"/>
              <w:spacing w:line="360" w:lineRule="auto"/>
              <w:ind w:firstLine="0"/>
              <w:jc w:val="center"/>
              <w:rPr>
                <w:sz w:val="24"/>
              </w:rPr>
            </w:pPr>
            <w:r w:rsidRPr="00474B23">
              <w:rPr>
                <w:sz w:val="24"/>
              </w:rPr>
              <w:t>—</w:t>
            </w:r>
          </w:p>
        </w:tc>
      </w:tr>
    </w:tbl>
    <w:p w14:paraId="5F5CBFED" w14:textId="77777777" w:rsidR="00B92624" w:rsidRPr="00474B23" w:rsidRDefault="00B92624" w:rsidP="00B92624">
      <w:pPr>
        <w:pStyle w:val="a8"/>
        <w:spacing w:line="360" w:lineRule="auto"/>
        <w:ind w:left="360"/>
        <w:rPr>
          <w:rFonts w:ascii="Times New Roman" w:hAnsi="Times New Roman" w:cs="Times New Roman"/>
          <w:kern w:val="2"/>
          <w:sz w:val="18"/>
          <w:szCs w:val="18"/>
        </w:rPr>
      </w:pPr>
      <w:r w:rsidRPr="00474B23">
        <w:rPr>
          <w:rFonts w:ascii="Times New Roman" w:cs="Times New Roman"/>
          <w:kern w:val="2"/>
          <w:sz w:val="18"/>
          <w:szCs w:val="18"/>
        </w:rPr>
        <w:t>注：</w:t>
      </w:r>
      <w:r w:rsidRPr="00474B23">
        <w:rPr>
          <w:rFonts w:ascii="Times New Roman" w:hAnsi="Times New Roman" w:cs="Times New Roman"/>
          <w:kern w:val="2"/>
          <w:sz w:val="18"/>
          <w:szCs w:val="18"/>
        </w:rPr>
        <w:t>1</w:t>
      </w:r>
      <w:r w:rsidRPr="00474B23">
        <w:rPr>
          <w:rFonts w:ascii="Times New Roman" w:cs="Times New Roman"/>
          <w:kern w:val="2"/>
          <w:sz w:val="18"/>
          <w:szCs w:val="18"/>
        </w:rPr>
        <w:t>、同一基金的</w:t>
      </w:r>
      <w:r w:rsidRPr="00474B23">
        <w:rPr>
          <w:rFonts w:ascii="Times New Roman" w:hAnsi="Times New Roman" w:cs="Times New Roman"/>
          <w:kern w:val="2"/>
          <w:sz w:val="18"/>
          <w:szCs w:val="18"/>
        </w:rPr>
        <w:t>A</w:t>
      </w:r>
      <w:r w:rsidRPr="00474B23">
        <w:rPr>
          <w:rFonts w:ascii="Times New Roman" w:cs="Times New Roman"/>
          <w:kern w:val="2"/>
          <w:sz w:val="18"/>
          <w:szCs w:val="18"/>
        </w:rPr>
        <w:t>类、</w:t>
      </w:r>
      <w:r w:rsidRPr="00474B23">
        <w:rPr>
          <w:rFonts w:ascii="Times New Roman" w:hAnsi="Times New Roman" w:cs="Times New Roman"/>
          <w:kern w:val="2"/>
          <w:sz w:val="18"/>
          <w:szCs w:val="18"/>
        </w:rPr>
        <w:t>B</w:t>
      </w:r>
      <w:r w:rsidRPr="00474B23">
        <w:rPr>
          <w:rFonts w:ascii="Times New Roman" w:cs="Times New Roman"/>
          <w:kern w:val="2"/>
          <w:sz w:val="18"/>
          <w:szCs w:val="18"/>
        </w:rPr>
        <w:t>类和</w:t>
      </w:r>
      <w:r w:rsidRPr="00474B23">
        <w:rPr>
          <w:rFonts w:ascii="Times New Roman" w:hAnsi="Times New Roman" w:cs="Times New Roman"/>
          <w:kern w:val="2"/>
          <w:sz w:val="18"/>
          <w:szCs w:val="18"/>
        </w:rPr>
        <w:t>C</w:t>
      </w:r>
      <w:r w:rsidRPr="00474B23">
        <w:rPr>
          <w:rFonts w:ascii="Times New Roman" w:cs="Times New Roman"/>
          <w:kern w:val="2"/>
          <w:sz w:val="18"/>
          <w:szCs w:val="18"/>
        </w:rPr>
        <w:t>类基金份额之间不可转换。</w:t>
      </w:r>
    </w:p>
    <w:p w14:paraId="043BBF11" w14:textId="77777777" w:rsidR="00B92624" w:rsidRPr="0085784A" w:rsidRDefault="00B92624" w:rsidP="00B92624">
      <w:pPr>
        <w:pStyle w:val="a8"/>
        <w:spacing w:line="360" w:lineRule="auto"/>
        <w:ind w:leftChars="171" w:left="359" w:firstLineChars="400" w:firstLine="720"/>
        <w:rPr>
          <w:rFonts w:ascii="Times New Roman" w:cs="Times New Roman"/>
          <w:kern w:val="2"/>
          <w:sz w:val="18"/>
          <w:szCs w:val="18"/>
        </w:rPr>
      </w:pPr>
      <w:r w:rsidRPr="00474B23">
        <w:rPr>
          <w:rFonts w:ascii="Times New Roman" w:hAnsi="Times New Roman" w:cs="Times New Roman"/>
          <w:kern w:val="2"/>
          <w:sz w:val="18"/>
          <w:szCs w:val="18"/>
        </w:rPr>
        <w:t>2</w:t>
      </w:r>
      <w:r w:rsidRPr="00474B23">
        <w:rPr>
          <w:rFonts w:ascii="Times New Roman" w:cs="Times New Roman"/>
          <w:kern w:val="2"/>
          <w:sz w:val="18"/>
          <w:szCs w:val="18"/>
        </w:rPr>
        <w:t>、表格中分别列示的前后端收费模式下的股票基金和混合基金包括交银精选、交银稳健、交银成长、交银蓝筹、交银先锋、交银治理、交银主题、交银趋势、交银制造、交银价值、交银核心</w:t>
      </w:r>
      <w:r w:rsidR="00CB3D06" w:rsidRPr="00474B23">
        <w:rPr>
          <w:rFonts w:ascii="Times New Roman" w:cs="Times New Roman"/>
          <w:kern w:val="2"/>
          <w:sz w:val="18"/>
          <w:szCs w:val="18"/>
        </w:rPr>
        <w:t>、</w:t>
      </w:r>
      <w:r w:rsidR="00945056" w:rsidRPr="00474B23">
        <w:rPr>
          <w:rFonts w:ascii="Times New Roman" w:cs="Times New Roman"/>
          <w:kern w:val="2"/>
          <w:sz w:val="18"/>
          <w:szCs w:val="18"/>
        </w:rPr>
        <w:t>交银消费新驱动、</w:t>
      </w:r>
      <w:r w:rsidR="00CB3D06" w:rsidRPr="00474B23">
        <w:rPr>
          <w:rFonts w:ascii="Times New Roman" w:cs="Times New Roman"/>
          <w:kern w:val="2"/>
          <w:sz w:val="18"/>
          <w:szCs w:val="18"/>
        </w:rPr>
        <w:t>交银成长</w:t>
      </w:r>
      <w:r w:rsidR="00CB3D06" w:rsidRPr="0085784A">
        <w:rPr>
          <w:rFonts w:ascii="Times New Roman" w:cs="Times New Roman"/>
          <w:kern w:val="2"/>
          <w:sz w:val="18"/>
          <w:szCs w:val="18"/>
        </w:rPr>
        <w:t>30</w:t>
      </w:r>
      <w:r w:rsidR="004749A6" w:rsidRPr="00474B23">
        <w:rPr>
          <w:rFonts w:ascii="Times New Roman" w:cs="Times New Roman"/>
          <w:kern w:val="2"/>
          <w:sz w:val="18"/>
          <w:szCs w:val="18"/>
        </w:rPr>
        <w:t>、交银周期回报</w:t>
      </w:r>
      <w:r w:rsidR="00BD6FAD" w:rsidRPr="00474B23">
        <w:rPr>
          <w:rFonts w:ascii="Times New Roman" w:cs="Times New Roman"/>
          <w:kern w:val="2"/>
          <w:sz w:val="18"/>
          <w:szCs w:val="18"/>
        </w:rPr>
        <w:t>、交银新成长</w:t>
      </w:r>
      <w:r w:rsidRPr="00474B23">
        <w:rPr>
          <w:rFonts w:ascii="Times New Roman" w:cs="Times New Roman"/>
          <w:kern w:val="2"/>
          <w:sz w:val="18"/>
          <w:szCs w:val="18"/>
        </w:rPr>
        <w:t>。表格中列示的前端收费模式下的股票基金和混合基金还包括交银行业</w:t>
      </w:r>
      <w:r w:rsidR="00ED5751" w:rsidRPr="00474B23">
        <w:rPr>
          <w:rFonts w:ascii="Times New Roman" w:cs="Times New Roman"/>
          <w:kern w:val="2"/>
          <w:sz w:val="18"/>
          <w:szCs w:val="18"/>
        </w:rPr>
        <w:t>、</w:t>
      </w:r>
      <w:r w:rsidR="00812719" w:rsidRPr="00474B23">
        <w:rPr>
          <w:rFonts w:ascii="Times New Roman" w:cs="Times New Roman"/>
          <w:kern w:val="2"/>
          <w:sz w:val="18"/>
          <w:szCs w:val="18"/>
        </w:rPr>
        <w:t>交银策略回报、</w:t>
      </w:r>
      <w:r w:rsidR="00963635" w:rsidRPr="00474B23">
        <w:rPr>
          <w:rFonts w:ascii="Times New Roman" w:cs="Times New Roman"/>
          <w:kern w:val="2"/>
          <w:sz w:val="18"/>
          <w:szCs w:val="18"/>
        </w:rPr>
        <w:t>交银荣祥保本</w:t>
      </w:r>
      <w:r w:rsidR="00B87296" w:rsidRPr="00474B23">
        <w:rPr>
          <w:rFonts w:ascii="Times New Roman" w:cs="Times New Roman"/>
          <w:kern w:val="2"/>
          <w:sz w:val="18"/>
          <w:szCs w:val="18"/>
        </w:rPr>
        <w:t>、交银双息平衡</w:t>
      </w:r>
      <w:r w:rsidR="00615029" w:rsidRPr="00474B23">
        <w:rPr>
          <w:rFonts w:ascii="Times New Roman" w:cs="Times New Roman"/>
          <w:kern w:val="2"/>
          <w:sz w:val="18"/>
          <w:szCs w:val="18"/>
        </w:rPr>
        <w:t>、</w:t>
      </w:r>
      <w:r w:rsidR="00E8223D" w:rsidRPr="00474B23">
        <w:rPr>
          <w:rFonts w:ascii="Times New Roman" w:cs="Times New Roman"/>
          <w:kern w:val="2"/>
          <w:sz w:val="18"/>
          <w:szCs w:val="18"/>
        </w:rPr>
        <w:t>交银新回报、</w:t>
      </w:r>
      <w:r w:rsidR="00DB157F" w:rsidRPr="00474B23">
        <w:rPr>
          <w:rFonts w:ascii="Times New Roman" w:cs="Times New Roman"/>
          <w:kern w:val="2"/>
          <w:sz w:val="18"/>
          <w:szCs w:val="18"/>
        </w:rPr>
        <w:t>交银荣</w:t>
      </w:r>
      <w:r w:rsidR="00E01122" w:rsidRPr="00474B23">
        <w:rPr>
          <w:rFonts w:ascii="Times New Roman" w:cs="Times New Roman"/>
          <w:kern w:val="2"/>
          <w:sz w:val="18"/>
          <w:szCs w:val="18"/>
        </w:rPr>
        <w:t>和</w:t>
      </w:r>
      <w:r w:rsidR="00DB157F" w:rsidRPr="00474B23">
        <w:rPr>
          <w:rFonts w:ascii="Times New Roman" w:cs="Times New Roman"/>
          <w:kern w:val="2"/>
          <w:sz w:val="18"/>
          <w:szCs w:val="18"/>
        </w:rPr>
        <w:t>保本</w:t>
      </w:r>
      <w:r w:rsidR="00F97593" w:rsidRPr="00474B23">
        <w:rPr>
          <w:rFonts w:ascii="Times New Roman" w:cs="Times New Roman"/>
          <w:kern w:val="2"/>
          <w:sz w:val="18"/>
          <w:szCs w:val="18"/>
        </w:rPr>
        <w:t>、</w:t>
      </w:r>
      <w:r w:rsidR="00E8223D" w:rsidRPr="00474B23">
        <w:rPr>
          <w:rFonts w:ascii="Times New Roman" w:cs="Times New Roman"/>
          <w:kern w:val="2"/>
          <w:sz w:val="18"/>
          <w:szCs w:val="18"/>
        </w:rPr>
        <w:t>交银多策略回报</w:t>
      </w:r>
      <w:r w:rsidR="00F105D6" w:rsidRPr="00474B23">
        <w:rPr>
          <w:rFonts w:ascii="Times New Roman" w:cs="Times New Roman"/>
          <w:kern w:val="2"/>
          <w:sz w:val="18"/>
          <w:szCs w:val="18"/>
        </w:rPr>
        <w:t>、交银国企改革</w:t>
      </w:r>
      <w:r w:rsidR="00B91B50">
        <w:rPr>
          <w:rFonts w:ascii="Times New Roman" w:cs="Times New Roman" w:hint="eastAsia"/>
          <w:kern w:val="2"/>
          <w:sz w:val="18"/>
          <w:szCs w:val="18"/>
        </w:rPr>
        <w:t>、交银科技创新、交银数据产业</w:t>
      </w:r>
      <w:r w:rsidRPr="00474B23">
        <w:rPr>
          <w:rFonts w:ascii="Times New Roman" w:cs="Times New Roman"/>
          <w:kern w:val="2"/>
          <w:sz w:val="18"/>
          <w:szCs w:val="18"/>
        </w:rPr>
        <w:t>。</w:t>
      </w:r>
      <w:r w:rsidR="00FB00F7" w:rsidRPr="00474B23">
        <w:rPr>
          <w:rFonts w:ascii="Times New Roman" w:cs="Times New Roman"/>
          <w:kern w:val="2"/>
          <w:sz w:val="18"/>
          <w:szCs w:val="18"/>
        </w:rPr>
        <w:t>表格中列示的债券基金包括交银增利、交银双利、交银纯债</w:t>
      </w:r>
      <w:r w:rsidR="00EC64B2" w:rsidRPr="00474B23">
        <w:rPr>
          <w:rFonts w:ascii="Times New Roman" w:cs="Times New Roman"/>
          <w:kern w:val="2"/>
          <w:sz w:val="18"/>
          <w:szCs w:val="18"/>
        </w:rPr>
        <w:t>、</w:t>
      </w:r>
      <w:r w:rsidR="00FB00F7" w:rsidRPr="00474B23">
        <w:rPr>
          <w:rFonts w:ascii="Times New Roman" w:cs="Times New Roman"/>
          <w:kern w:val="2"/>
          <w:sz w:val="18"/>
          <w:szCs w:val="18"/>
        </w:rPr>
        <w:t>交银双轮动</w:t>
      </w:r>
      <w:r w:rsidR="00685D62" w:rsidRPr="00474B23">
        <w:rPr>
          <w:rFonts w:ascii="Times New Roman" w:cs="Times New Roman"/>
          <w:kern w:val="2"/>
          <w:sz w:val="18"/>
          <w:szCs w:val="18"/>
        </w:rPr>
        <w:t>、</w:t>
      </w:r>
      <w:r w:rsidR="00EC64B2" w:rsidRPr="00474B23">
        <w:rPr>
          <w:rFonts w:ascii="Times New Roman" w:cs="Times New Roman"/>
          <w:kern w:val="2"/>
          <w:sz w:val="18"/>
          <w:szCs w:val="18"/>
        </w:rPr>
        <w:t>交银月月丰</w:t>
      </w:r>
      <w:r w:rsidR="00685D62" w:rsidRPr="00474B23">
        <w:rPr>
          <w:rFonts w:ascii="Times New Roman" w:cs="Times New Roman"/>
          <w:kern w:val="2"/>
          <w:sz w:val="18"/>
          <w:szCs w:val="18"/>
        </w:rPr>
        <w:t>、交银强化回报</w:t>
      </w:r>
      <w:r w:rsidR="00FB00F7" w:rsidRPr="00474B23">
        <w:rPr>
          <w:rFonts w:ascii="Times New Roman" w:cs="Times New Roman"/>
          <w:kern w:val="2"/>
          <w:sz w:val="18"/>
          <w:szCs w:val="18"/>
        </w:rPr>
        <w:t>，如无特别说明，后文提及</w:t>
      </w:r>
      <w:r w:rsidR="00FB00F7" w:rsidRPr="0085784A">
        <w:rPr>
          <w:rFonts w:ascii="Times New Roman" w:cs="Times New Roman"/>
          <w:kern w:val="2"/>
          <w:sz w:val="18"/>
          <w:szCs w:val="18"/>
        </w:rPr>
        <w:t>“</w:t>
      </w:r>
      <w:r w:rsidR="00FB00F7" w:rsidRPr="00474B23">
        <w:rPr>
          <w:rFonts w:ascii="Times New Roman" w:cs="Times New Roman"/>
          <w:kern w:val="2"/>
          <w:sz w:val="18"/>
          <w:szCs w:val="18"/>
        </w:rPr>
        <w:t>债券基金</w:t>
      </w:r>
      <w:r w:rsidR="00FB00F7" w:rsidRPr="0085784A">
        <w:rPr>
          <w:rFonts w:ascii="Times New Roman" w:cs="Times New Roman"/>
          <w:kern w:val="2"/>
          <w:sz w:val="18"/>
          <w:szCs w:val="18"/>
        </w:rPr>
        <w:t>”</w:t>
      </w:r>
      <w:r w:rsidR="00FB00F7" w:rsidRPr="00474B23">
        <w:rPr>
          <w:rFonts w:ascii="Times New Roman" w:cs="Times New Roman"/>
          <w:kern w:val="2"/>
          <w:sz w:val="18"/>
          <w:szCs w:val="18"/>
        </w:rPr>
        <w:t>即指上述基金。</w:t>
      </w:r>
    </w:p>
    <w:p w14:paraId="031DAC19" w14:textId="77777777" w:rsidR="00B92624" w:rsidRDefault="00B92624" w:rsidP="00B92624">
      <w:pPr>
        <w:pStyle w:val="a8"/>
        <w:spacing w:line="360" w:lineRule="auto"/>
        <w:ind w:leftChars="171" w:left="359" w:firstLineChars="400" w:firstLine="720"/>
        <w:rPr>
          <w:rFonts w:ascii="Times New Roman" w:cs="Times New Roman"/>
          <w:kern w:val="2"/>
          <w:sz w:val="18"/>
          <w:szCs w:val="18"/>
        </w:rPr>
      </w:pPr>
      <w:r w:rsidRPr="00474B23">
        <w:rPr>
          <w:rFonts w:ascii="Times New Roman" w:hAnsi="Times New Roman" w:cs="Times New Roman"/>
          <w:kern w:val="2"/>
          <w:sz w:val="18"/>
          <w:szCs w:val="18"/>
        </w:rPr>
        <w:t>3</w:t>
      </w:r>
      <w:r w:rsidRPr="00474B23">
        <w:rPr>
          <w:rFonts w:ascii="Times New Roman" w:cs="Times New Roman"/>
          <w:kern w:val="2"/>
          <w:sz w:val="18"/>
          <w:szCs w:val="18"/>
        </w:rPr>
        <w:t>、交银环球、治理</w:t>
      </w:r>
      <w:r w:rsidRPr="009A6023">
        <w:rPr>
          <w:rFonts w:ascii="Times New Roman" w:cs="Times New Roman"/>
          <w:kern w:val="2"/>
          <w:sz w:val="18"/>
          <w:szCs w:val="18"/>
        </w:rPr>
        <w:t>ETF</w:t>
      </w:r>
      <w:r w:rsidRPr="00474B23">
        <w:rPr>
          <w:rFonts w:ascii="Times New Roman" w:cs="Times New Roman"/>
          <w:kern w:val="2"/>
          <w:sz w:val="18"/>
          <w:szCs w:val="18"/>
        </w:rPr>
        <w:t>、交银添利</w:t>
      </w:r>
      <w:r w:rsidR="00812719" w:rsidRPr="00474B23">
        <w:rPr>
          <w:rFonts w:ascii="Times New Roman" w:cs="Times New Roman"/>
          <w:kern w:val="2"/>
          <w:sz w:val="18"/>
          <w:szCs w:val="18"/>
        </w:rPr>
        <w:t>（</w:t>
      </w:r>
      <w:r w:rsidR="00812719" w:rsidRPr="009A6023">
        <w:rPr>
          <w:rFonts w:ascii="Times New Roman" w:cs="Times New Roman"/>
          <w:kern w:val="2"/>
          <w:sz w:val="18"/>
          <w:szCs w:val="18"/>
        </w:rPr>
        <w:t>LOF</w:t>
      </w:r>
      <w:r w:rsidR="00812719" w:rsidRPr="00474B23">
        <w:rPr>
          <w:rFonts w:ascii="Times New Roman" w:cs="Times New Roman"/>
          <w:kern w:val="2"/>
          <w:sz w:val="18"/>
          <w:szCs w:val="18"/>
        </w:rPr>
        <w:t>）</w:t>
      </w:r>
      <w:r w:rsidRPr="00474B23">
        <w:rPr>
          <w:rFonts w:ascii="Times New Roman" w:cs="Times New Roman"/>
          <w:kern w:val="2"/>
          <w:sz w:val="18"/>
          <w:szCs w:val="18"/>
        </w:rPr>
        <w:t>、交银深证</w:t>
      </w:r>
      <w:r w:rsidRPr="009A6023">
        <w:rPr>
          <w:rFonts w:ascii="Times New Roman" w:cs="Times New Roman"/>
          <w:kern w:val="2"/>
          <w:sz w:val="18"/>
          <w:szCs w:val="18"/>
        </w:rPr>
        <w:t>300</w:t>
      </w:r>
      <w:r w:rsidRPr="00474B23">
        <w:rPr>
          <w:rFonts w:ascii="Times New Roman" w:cs="Times New Roman"/>
          <w:kern w:val="2"/>
          <w:sz w:val="18"/>
          <w:szCs w:val="18"/>
        </w:rPr>
        <w:t>价值</w:t>
      </w:r>
      <w:r w:rsidRPr="009A6023">
        <w:rPr>
          <w:rFonts w:ascii="Times New Roman" w:cs="Times New Roman"/>
          <w:kern w:val="2"/>
          <w:sz w:val="18"/>
          <w:szCs w:val="18"/>
        </w:rPr>
        <w:t>ETF</w:t>
      </w:r>
      <w:r w:rsidRPr="00474B23">
        <w:rPr>
          <w:rFonts w:ascii="Times New Roman" w:cs="Times New Roman"/>
          <w:kern w:val="2"/>
          <w:sz w:val="18"/>
          <w:szCs w:val="18"/>
        </w:rPr>
        <w:t>、交银资源、交银</w:t>
      </w:r>
      <w:r w:rsidRPr="009A6023">
        <w:rPr>
          <w:rFonts w:ascii="Times New Roman" w:cs="Times New Roman"/>
          <w:kern w:val="2"/>
          <w:sz w:val="18"/>
          <w:szCs w:val="18"/>
        </w:rPr>
        <w:t>21</w:t>
      </w:r>
      <w:r w:rsidRPr="00474B23">
        <w:rPr>
          <w:rFonts w:ascii="Times New Roman" w:cs="Times New Roman"/>
          <w:kern w:val="2"/>
          <w:sz w:val="18"/>
          <w:szCs w:val="18"/>
        </w:rPr>
        <w:t>天、交银</w:t>
      </w:r>
      <w:r w:rsidRPr="009A6023">
        <w:rPr>
          <w:rFonts w:ascii="Times New Roman" w:cs="Times New Roman"/>
          <w:kern w:val="2"/>
          <w:sz w:val="18"/>
          <w:szCs w:val="18"/>
        </w:rPr>
        <w:t>60</w:t>
      </w:r>
      <w:r w:rsidRPr="00474B23">
        <w:rPr>
          <w:rFonts w:ascii="Times New Roman" w:cs="Times New Roman"/>
          <w:kern w:val="2"/>
          <w:sz w:val="18"/>
          <w:szCs w:val="18"/>
        </w:rPr>
        <w:t>天</w:t>
      </w:r>
      <w:r w:rsidR="00BB63F4" w:rsidRPr="00474B23">
        <w:rPr>
          <w:rFonts w:ascii="Times New Roman" w:cs="Times New Roman"/>
          <w:kern w:val="2"/>
          <w:sz w:val="18"/>
          <w:szCs w:val="18"/>
        </w:rPr>
        <w:t>、交银丰盈</w:t>
      </w:r>
      <w:r w:rsidR="00000983" w:rsidRPr="00474B23">
        <w:rPr>
          <w:rFonts w:ascii="Times New Roman" w:cs="Times New Roman"/>
          <w:kern w:val="2"/>
          <w:sz w:val="18"/>
          <w:szCs w:val="18"/>
        </w:rPr>
        <w:t>、</w:t>
      </w:r>
      <w:r w:rsidR="003834D3" w:rsidRPr="00474B23">
        <w:rPr>
          <w:rFonts w:ascii="Times New Roman" w:cs="Times New Roman"/>
          <w:kern w:val="2"/>
          <w:sz w:val="18"/>
          <w:szCs w:val="18"/>
        </w:rPr>
        <w:t>交银现金宝</w:t>
      </w:r>
      <w:r w:rsidR="00000983" w:rsidRPr="00474B23">
        <w:rPr>
          <w:rFonts w:ascii="Times New Roman" w:cs="Times New Roman"/>
          <w:kern w:val="2"/>
          <w:sz w:val="18"/>
          <w:szCs w:val="18"/>
        </w:rPr>
        <w:t>、</w:t>
      </w:r>
      <w:r w:rsidR="00B91B50">
        <w:rPr>
          <w:rFonts w:ascii="Times New Roman" w:cs="Times New Roman" w:hint="eastAsia"/>
          <w:kern w:val="2"/>
          <w:sz w:val="18"/>
          <w:szCs w:val="18"/>
        </w:rPr>
        <w:t>交银增强收益、</w:t>
      </w:r>
      <w:r w:rsidR="00000983" w:rsidRPr="00474B23">
        <w:rPr>
          <w:rFonts w:ascii="Times New Roman" w:cs="Times New Roman"/>
          <w:kern w:val="2"/>
          <w:sz w:val="18"/>
          <w:szCs w:val="18"/>
        </w:rPr>
        <w:t>交银丰润、交银丰享、交银丰泽、</w:t>
      </w:r>
      <w:r w:rsidR="00411612" w:rsidRPr="00474B23">
        <w:rPr>
          <w:rFonts w:ascii="Times New Roman" w:cs="Times New Roman"/>
          <w:kern w:val="2"/>
          <w:sz w:val="18"/>
          <w:szCs w:val="18"/>
        </w:rPr>
        <w:t>交银新能源、交银海外中国互联网</w:t>
      </w:r>
      <w:r w:rsidR="0016337B" w:rsidRPr="009A6023">
        <w:rPr>
          <w:rFonts w:ascii="Times New Roman" w:cs="Times New Roman"/>
          <w:kern w:val="2"/>
          <w:sz w:val="18"/>
          <w:szCs w:val="18"/>
        </w:rPr>
        <w:t>(LOF)</w:t>
      </w:r>
      <w:r w:rsidR="00411612" w:rsidRPr="00474B23">
        <w:rPr>
          <w:rFonts w:ascii="Times New Roman" w:cs="Times New Roman"/>
          <w:kern w:val="2"/>
          <w:sz w:val="18"/>
          <w:szCs w:val="18"/>
        </w:rPr>
        <w:t>、交银互联网金融</w:t>
      </w:r>
      <w:r w:rsidR="007E58FB" w:rsidRPr="00474B23">
        <w:rPr>
          <w:rFonts w:ascii="Times New Roman" w:cs="Times New Roman"/>
          <w:kern w:val="2"/>
          <w:sz w:val="18"/>
          <w:szCs w:val="18"/>
        </w:rPr>
        <w:t>、交银环境治理</w:t>
      </w:r>
      <w:r w:rsidR="00B91B50">
        <w:rPr>
          <w:rFonts w:ascii="Times New Roman" w:cs="Times New Roman" w:hint="eastAsia"/>
          <w:kern w:val="2"/>
          <w:sz w:val="18"/>
          <w:szCs w:val="18"/>
        </w:rPr>
        <w:t>、交银丰硕、交银裕通、交银卓越回报、</w:t>
      </w:r>
      <w:r w:rsidR="00B91B50">
        <w:rPr>
          <w:rFonts w:ascii="Times New Roman" w:cs="Times New Roman" w:hint="eastAsia"/>
          <w:kern w:val="2"/>
          <w:sz w:val="18"/>
          <w:szCs w:val="18"/>
        </w:rPr>
        <w:lastRenderedPageBreak/>
        <w:t>交银荣鑫保本、交银优选回报、交银优择回报、交银活期通、交银裕兴、交银领先回报、交银天利宝、交银经济新动力、交银裕盈、交银沪港深价值精选、交银新生活力、交银裕利、交银裕隆、交银天鑫宝、交银瑞鑫、交银天益宝、交银瑞景</w:t>
      </w:r>
      <w:r w:rsidRPr="00474B23">
        <w:rPr>
          <w:rFonts w:ascii="Times New Roman" w:cs="Times New Roman"/>
          <w:kern w:val="2"/>
          <w:sz w:val="18"/>
          <w:szCs w:val="18"/>
        </w:rPr>
        <w:t>的基金转换业务暂不开通。本公司今后发行的开放式基金将根据具体情况确定是否适用于上述业务。</w:t>
      </w:r>
    </w:p>
    <w:p w14:paraId="245FE20C" w14:textId="77777777" w:rsidR="005A43B1" w:rsidRPr="009A6023" w:rsidRDefault="005A43B1" w:rsidP="00B92624">
      <w:pPr>
        <w:pStyle w:val="a8"/>
        <w:spacing w:line="360" w:lineRule="auto"/>
        <w:ind w:leftChars="171" w:left="359" w:firstLineChars="400" w:firstLine="720"/>
        <w:rPr>
          <w:rFonts w:ascii="Times New Roman" w:cs="Times New Roman"/>
          <w:kern w:val="2"/>
          <w:sz w:val="18"/>
          <w:szCs w:val="18"/>
        </w:rPr>
      </w:pPr>
      <w:commentRangeStart w:id="2"/>
      <w:r>
        <w:rPr>
          <w:rFonts w:ascii="Times New Roman" w:cs="Times New Roman" w:hint="eastAsia"/>
          <w:kern w:val="2"/>
          <w:sz w:val="18"/>
          <w:szCs w:val="18"/>
        </w:rPr>
        <w:t>4</w:t>
      </w:r>
      <w:r>
        <w:rPr>
          <w:rFonts w:ascii="Times New Roman" w:cs="Times New Roman" w:hint="eastAsia"/>
          <w:kern w:val="2"/>
          <w:sz w:val="18"/>
          <w:szCs w:val="18"/>
        </w:rPr>
        <w:t>、交银周期回报、交银新回报、交银多策略回报的</w:t>
      </w:r>
      <w:r>
        <w:rPr>
          <w:rFonts w:ascii="Times New Roman" w:cs="Times New Roman" w:hint="eastAsia"/>
          <w:kern w:val="2"/>
          <w:sz w:val="18"/>
          <w:szCs w:val="18"/>
        </w:rPr>
        <w:t>C</w:t>
      </w:r>
      <w:r>
        <w:rPr>
          <w:rFonts w:ascii="Times New Roman" w:cs="Times New Roman" w:hint="eastAsia"/>
          <w:kern w:val="2"/>
          <w:sz w:val="18"/>
          <w:szCs w:val="18"/>
        </w:rPr>
        <w:t>类基金份额暂不开通转换业务。</w:t>
      </w:r>
      <w:r w:rsidRPr="00474B23">
        <w:rPr>
          <w:rFonts w:ascii="Times New Roman" w:cs="Times New Roman"/>
          <w:kern w:val="2"/>
          <w:sz w:val="18"/>
          <w:szCs w:val="18"/>
        </w:rPr>
        <w:t>本公司今后发行的开放式基金</w:t>
      </w:r>
      <w:r>
        <w:rPr>
          <w:rFonts w:ascii="Times New Roman" w:cs="Times New Roman" w:hint="eastAsia"/>
          <w:kern w:val="2"/>
          <w:sz w:val="18"/>
          <w:szCs w:val="18"/>
        </w:rPr>
        <w:t>C</w:t>
      </w:r>
      <w:r>
        <w:rPr>
          <w:rFonts w:ascii="Times New Roman" w:cs="Times New Roman" w:hint="eastAsia"/>
          <w:kern w:val="2"/>
          <w:sz w:val="18"/>
          <w:szCs w:val="18"/>
        </w:rPr>
        <w:t>类基金份额</w:t>
      </w:r>
      <w:r w:rsidRPr="00474B23">
        <w:rPr>
          <w:rFonts w:ascii="Times New Roman" w:cs="Times New Roman"/>
          <w:kern w:val="2"/>
          <w:sz w:val="18"/>
          <w:szCs w:val="18"/>
        </w:rPr>
        <w:t>将根据具体情况确定是否适用于上述业务。</w:t>
      </w:r>
      <w:commentRangeEnd w:id="2"/>
      <w:r w:rsidR="00640CF9">
        <w:rPr>
          <w:rStyle w:val="af6"/>
          <w:rFonts w:ascii="Times New Roman" w:hAnsi="Times New Roman" w:cs="Times New Roman"/>
          <w:kern w:val="2"/>
        </w:rPr>
        <w:commentReference w:id="2"/>
      </w:r>
    </w:p>
    <w:p w14:paraId="0D6FAB39" w14:textId="77777777" w:rsidR="00B92624" w:rsidRPr="00474B23" w:rsidRDefault="00B92624" w:rsidP="00B92624">
      <w:pPr>
        <w:pStyle w:val="a6"/>
        <w:spacing w:line="360" w:lineRule="auto"/>
        <w:ind w:rightChars="-85" w:right="-178" w:firstLineChars="200" w:firstLine="480"/>
        <w:rPr>
          <w:b/>
          <w:sz w:val="24"/>
          <w:szCs w:val="24"/>
        </w:rPr>
      </w:pPr>
      <w:r w:rsidRPr="00474B23">
        <w:rPr>
          <w:rFonts w:hAnsi="宋体"/>
          <w:sz w:val="24"/>
        </w:rPr>
        <w:t>如果未来开通本基金管理人旗下其他基金的转换业务，基金管理人将及时公告。</w:t>
      </w:r>
    </w:p>
    <w:p w14:paraId="1008716B" w14:textId="77777777" w:rsidR="00B92624" w:rsidRPr="00474B23" w:rsidRDefault="00B92624" w:rsidP="00B92624">
      <w:pPr>
        <w:spacing w:line="360" w:lineRule="auto"/>
        <w:ind w:firstLineChars="200" w:firstLine="482"/>
        <w:rPr>
          <w:b/>
          <w:bCs/>
          <w:color w:val="000000"/>
          <w:sz w:val="24"/>
          <w:szCs w:val="21"/>
        </w:rPr>
      </w:pPr>
      <w:r w:rsidRPr="00474B23">
        <w:rPr>
          <w:b/>
          <w:bCs/>
          <w:color w:val="000000"/>
          <w:sz w:val="24"/>
          <w:szCs w:val="21"/>
        </w:rPr>
        <w:t>（四）</w:t>
      </w:r>
      <w:r w:rsidRPr="00474B23">
        <w:rPr>
          <w:b/>
          <w:bCs/>
          <w:color w:val="000000"/>
          <w:sz w:val="24"/>
          <w:szCs w:val="21"/>
        </w:rPr>
        <w:t xml:space="preserve"> </w:t>
      </w:r>
      <w:r w:rsidRPr="00474B23">
        <w:rPr>
          <w:b/>
          <w:bCs/>
          <w:color w:val="000000"/>
          <w:sz w:val="24"/>
          <w:szCs w:val="21"/>
        </w:rPr>
        <w:t>基金转换的程序</w:t>
      </w:r>
    </w:p>
    <w:p w14:paraId="2EF3C2D4" w14:textId="77777777" w:rsidR="00B92624" w:rsidRPr="00474B23" w:rsidRDefault="00B92624" w:rsidP="006416F7">
      <w:pPr>
        <w:widowControl/>
        <w:spacing w:beforeLines="50" w:before="156" w:line="360" w:lineRule="auto"/>
        <w:ind w:rightChars="-85" w:right="-178" w:firstLineChars="200" w:firstLine="480"/>
        <w:jc w:val="left"/>
        <w:rPr>
          <w:kern w:val="0"/>
          <w:sz w:val="24"/>
        </w:rPr>
      </w:pPr>
      <w:r w:rsidRPr="00474B23">
        <w:rPr>
          <w:kern w:val="0"/>
          <w:sz w:val="24"/>
        </w:rPr>
        <w:t xml:space="preserve">1. </w:t>
      </w:r>
      <w:r w:rsidRPr="00474B23">
        <w:rPr>
          <w:rFonts w:hAnsi="宋体"/>
          <w:kern w:val="0"/>
          <w:sz w:val="24"/>
        </w:rPr>
        <w:t>申请方式：书面申请或销售机构公布的其他方式。</w:t>
      </w:r>
      <w:r w:rsidRPr="00474B23">
        <w:rPr>
          <w:kern w:val="0"/>
          <w:sz w:val="24"/>
        </w:rPr>
        <w:t xml:space="preserve"> </w:t>
      </w:r>
    </w:p>
    <w:p w14:paraId="58861841" w14:textId="77777777" w:rsidR="00784B38" w:rsidRDefault="00B92624" w:rsidP="00640CF9">
      <w:pPr>
        <w:widowControl/>
        <w:spacing w:beforeLines="50" w:before="156" w:line="360" w:lineRule="auto"/>
        <w:ind w:rightChars="-85" w:right="-178" w:firstLineChars="200" w:firstLine="480"/>
        <w:jc w:val="left"/>
        <w:rPr>
          <w:kern w:val="0"/>
          <w:sz w:val="24"/>
        </w:rPr>
      </w:pPr>
      <w:r w:rsidRPr="00474B23">
        <w:rPr>
          <w:kern w:val="0"/>
          <w:sz w:val="24"/>
        </w:rPr>
        <w:t xml:space="preserve">2. </w:t>
      </w:r>
      <w:r w:rsidRPr="00474B23">
        <w:rPr>
          <w:rFonts w:hAnsi="宋体"/>
          <w:kern w:val="0"/>
          <w:sz w:val="24"/>
        </w:rPr>
        <w:t>基金转换申请的确认</w:t>
      </w:r>
    </w:p>
    <w:p w14:paraId="2B5D5C44" w14:textId="77777777" w:rsidR="00B92624" w:rsidRPr="00474B23" w:rsidRDefault="00B92624" w:rsidP="00B92624">
      <w:pPr>
        <w:pStyle w:val="a1"/>
        <w:autoSpaceDE w:val="0"/>
        <w:autoSpaceDN w:val="0"/>
        <w:adjustRightInd w:val="0"/>
        <w:spacing w:line="360" w:lineRule="auto"/>
        <w:ind w:rightChars="-85" w:right="-178" w:firstLine="480"/>
        <w:rPr>
          <w:kern w:val="0"/>
          <w:sz w:val="24"/>
        </w:rPr>
      </w:pPr>
      <w:r w:rsidRPr="00474B23">
        <w:rPr>
          <w:kern w:val="0"/>
          <w:sz w:val="24"/>
        </w:rPr>
        <w:t>正常情况下，</w:t>
      </w:r>
      <w:r w:rsidRPr="00474B23">
        <w:rPr>
          <w:kern w:val="0"/>
          <w:sz w:val="24"/>
        </w:rPr>
        <w:t>T</w:t>
      </w:r>
      <w:r w:rsidRPr="00474B23">
        <w:rPr>
          <w:kern w:val="0"/>
          <w:sz w:val="24"/>
        </w:rPr>
        <w:t>日规定时间受理的申请，基金注册登记机构在</w:t>
      </w:r>
      <w:r w:rsidRPr="00474B23">
        <w:rPr>
          <w:kern w:val="0"/>
          <w:sz w:val="24"/>
        </w:rPr>
        <w:t>T</w:t>
      </w:r>
      <w:r w:rsidRPr="00474B23">
        <w:rPr>
          <w:kern w:val="0"/>
          <w:sz w:val="24"/>
        </w:rPr>
        <w:t>＋</w:t>
      </w:r>
      <w:r w:rsidRPr="00474B23">
        <w:rPr>
          <w:kern w:val="0"/>
          <w:sz w:val="24"/>
        </w:rPr>
        <w:t>1</w:t>
      </w:r>
      <w:r w:rsidRPr="00474B23">
        <w:rPr>
          <w:kern w:val="0"/>
          <w:sz w:val="24"/>
        </w:rPr>
        <w:t>日内为投资人对该交易的有效性进行确认，在</w:t>
      </w:r>
      <w:r w:rsidRPr="00474B23">
        <w:rPr>
          <w:kern w:val="0"/>
          <w:sz w:val="24"/>
        </w:rPr>
        <w:t>T</w:t>
      </w:r>
      <w:r w:rsidRPr="00474B23">
        <w:rPr>
          <w:kern w:val="0"/>
          <w:sz w:val="24"/>
        </w:rPr>
        <w:t>＋</w:t>
      </w:r>
      <w:r w:rsidRPr="00474B23">
        <w:rPr>
          <w:kern w:val="0"/>
          <w:sz w:val="24"/>
        </w:rPr>
        <w:t>2</w:t>
      </w:r>
      <w:r w:rsidRPr="00474B23">
        <w:rPr>
          <w:kern w:val="0"/>
          <w:sz w:val="24"/>
        </w:rPr>
        <w:t>日后</w:t>
      </w:r>
      <w:r w:rsidR="00E8223D" w:rsidRPr="00474B23">
        <w:rPr>
          <w:rFonts w:hAnsi="宋体"/>
          <w:sz w:val="24"/>
        </w:rPr>
        <w:t>（</w:t>
      </w:r>
      <w:r w:rsidRPr="00474B23">
        <w:rPr>
          <w:kern w:val="0"/>
          <w:sz w:val="24"/>
        </w:rPr>
        <w:t>包括该日</w:t>
      </w:r>
      <w:r w:rsidR="00E8223D" w:rsidRPr="00474B23">
        <w:rPr>
          <w:rFonts w:hAnsi="宋体"/>
          <w:sz w:val="24"/>
        </w:rPr>
        <w:t>）</w:t>
      </w:r>
      <w:r w:rsidRPr="00474B23">
        <w:rPr>
          <w:kern w:val="0"/>
          <w:sz w:val="24"/>
        </w:rPr>
        <w:t>投资人可向销售机构查询转换的确认情况。</w:t>
      </w:r>
    </w:p>
    <w:p w14:paraId="37A970B3" w14:textId="77777777" w:rsidR="00B92624" w:rsidRPr="00474B23" w:rsidRDefault="00B92624" w:rsidP="006416F7">
      <w:pPr>
        <w:widowControl/>
        <w:spacing w:beforeLines="50" w:before="156" w:line="360" w:lineRule="auto"/>
        <w:ind w:rightChars="-85" w:right="-178" w:firstLineChars="200" w:firstLine="480"/>
        <w:jc w:val="left"/>
        <w:rPr>
          <w:kern w:val="0"/>
          <w:sz w:val="24"/>
        </w:rPr>
      </w:pPr>
      <w:r w:rsidRPr="00474B23">
        <w:rPr>
          <w:kern w:val="0"/>
          <w:sz w:val="24"/>
        </w:rPr>
        <w:t xml:space="preserve">3. </w:t>
      </w:r>
      <w:r w:rsidRPr="00474B23">
        <w:rPr>
          <w:rFonts w:hAnsi="宋体"/>
          <w:kern w:val="0"/>
          <w:sz w:val="24"/>
        </w:rPr>
        <w:t>基金转换的注册登记</w:t>
      </w:r>
    </w:p>
    <w:p w14:paraId="7A554E41" w14:textId="77777777" w:rsidR="00B92624" w:rsidRPr="00474B23" w:rsidRDefault="00B92624" w:rsidP="00B92624">
      <w:pPr>
        <w:pStyle w:val="a1"/>
        <w:autoSpaceDE w:val="0"/>
        <w:autoSpaceDN w:val="0"/>
        <w:adjustRightInd w:val="0"/>
        <w:spacing w:line="360" w:lineRule="auto"/>
        <w:ind w:rightChars="-85" w:right="-178" w:firstLine="480"/>
        <w:rPr>
          <w:sz w:val="24"/>
        </w:rPr>
      </w:pPr>
      <w:r w:rsidRPr="00474B23">
        <w:rPr>
          <w:rFonts w:hAnsi="宋体"/>
          <w:sz w:val="24"/>
        </w:rPr>
        <w:t>注册登记机构以收到有效转换申请的当天作为转换申请日（</w:t>
      </w:r>
      <w:r w:rsidRPr="00474B23">
        <w:rPr>
          <w:sz w:val="24"/>
        </w:rPr>
        <w:t>T</w:t>
      </w:r>
      <w:r w:rsidRPr="00474B23">
        <w:rPr>
          <w:rFonts w:hAnsi="宋体"/>
          <w:sz w:val="24"/>
        </w:rPr>
        <w:t>日）。投资人转换基金成功的，注册登记机构在</w:t>
      </w:r>
      <w:r w:rsidRPr="00474B23">
        <w:rPr>
          <w:sz w:val="24"/>
        </w:rPr>
        <w:t>T</w:t>
      </w:r>
      <w:r w:rsidRPr="00474B23">
        <w:rPr>
          <w:rFonts w:hAnsi="宋体"/>
          <w:sz w:val="24"/>
        </w:rPr>
        <w:t>＋</w:t>
      </w:r>
      <w:r w:rsidRPr="00474B23">
        <w:rPr>
          <w:sz w:val="24"/>
        </w:rPr>
        <w:t>1</w:t>
      </w:r>
      <w:r w:rsidRPr="00474B23">
        <w:rPr>
          <w:rFonts w:hAnsi="宋体"/>
          <w:sz w:val="24"/>
        </w:rPr>
        <w:t>日为投资人</w:t>
      </w:r>
      <w:r w:rsidRPr="00474B23">
        <w:rPr>
          <w:sz w:val="24"/>
        </w:rPr>
        <w:t>T</w:t>
      </w:r>
      <w:r w:rsidRPr="00474B23">
        <w:rPr>
          <w:rFonts w:hAnsi="宋体"/>
          <w:sz w:val="24"/>
        </w:rPr>
        <w:t>日的基金转换业务申请进行有效性确认，办理转出基金的权益扣除以及转入基金的权益登记，在</w:t>
      </w:r>
      <w:r w:rsidRPr="00474B23">
        <w:rPr>
          <w:sz w:val="24"/>
        </w:rPr>
        <w:t>T</w:t>
      </w:r>
      <w:r w:rsidRPr="00474B23">
        <w:rPr>
          <w:rFonts w:hAnsi="宋体"/>
          <w:sz w:val="24"/>
        </w:rPr>
        <w:t>＋</w:t>
      </w:r>
      <w:r w:rsidRPr="00474B23">
        <w:rPr>
          <w:sz w:val="24"/>
        </w:rPr>
        <w:t>2</w:t>
      </w:r>
      <w:r w:rsidRPr="00474B23">
        <w:rPr>
          <w:rFonts w:hAnsi="宋体"/>
          <w:sz w:val="24"/>
        </w:rPr>
        <w:t>日后（包含该日）投资人可向销售机构查询转换业务的成交情况，并有权转换或赎回该部分基金份额。</w:t>
      </w:r>
    </w:p>
    <w:p w14:paraId="35A7FB8A" w14:textId="77777777" w:rsidR="00B92624" w:rsidRPr="00474B23" w:rsidRDefault="00B92624" w:rsidP="00B92624">
      <w:pPr>
        <w:spacing w:line="360" w:lineRule="auto"/>
        <w:ind w:firstLineChars="200" w:firstLine="482"/>
        <w:rPr>
          <w:b/>
          <w:bCs/>
          <w:color w:val="000000"/>
          <w:sz w:val="24"/>
          <w:szCs w:val="21"/>
        </w:rPr>
      </w:pPr>
      <w:r w:rsidRPr="00474B23">
        <w:rPr>
          <w:b/>
          <w:bCs/>
          <w:color w:val="000000"/>
          <w:sz w:val="24"/>
          <w:szCs w:val="21"/>
        </w:rPr>
        <w:t>（五）</w:t>
      </w:r>
      <w:r w:rsidRPr="00474B23">
        <w:rPr>
          <w:b/>
          <w:bCs/>
          <w:color w:val="000000"/>
          <w:sz w:val="24"/>
          <w:szCs w:val="21"/>
        </w:rPr>
        <w:t xml:space="preserve"> </w:t>
      </w:r>
      <w:r w:rsidRPr="00474B23">
        <w:rPr>
          <w:b/>
          <w:bCs/>
          <w:color w:val="000000"/>
          <w:sz w:val="24"/>
          <w:szCs w:val="21"/>
        </w:rPr>
        <w:t>基金转换的数额限制</w:t>
      </w:r>
    </w:p>
    <w:p w14:paraId="0869B494" w14:textId="77777777" w:rsidR="00B92624" w:rsidRPr="00474B23" w:rsidRDefault="00B92624" w:rsidP="00B92624">
      <w:pPr>
        <w:pStyle w:val="a1"/>
        <w:autoSpaceDE w:val="0"/>
        <w:autoSpaceDN w:val="0"/>
        <w:adjustRightInd w:val="0"/>
        <w:spacing w:line="360" w:lineRule="auto"/>
        <w:ind w:rightChars="-85" w:right="-178" w:firstLine="480"/>
        <w:rPr>
          <w:sz w:val="24"/>
        </w:rPr>
      </w:pPr>
      <w:r w:rsidRPr="00474B23">
        <w:rPr>
          <w:rFonts w:hAnsi="宋体"/>
          <w:sz w:val="24"/>
        </w:rPr>
        <w:t>基金转换以份额为单位进行申请，申请转换份额精确到小数点后两位，小数点后两位以后的部分四舍五入，误差部分归基金财产。</w:t>
      </w:r>
    </w:p>
    <w:p w14:paraId="5A414444" w14:textId="77777777" w:rsidR="00B92624" w:rsidRPr="00474B23" w:rsidRDefault="00B92624" w:rsidP="00B92624">
      <w:pPr>
        <w:pStyle w:val="a1"/>
        <w:autoSpaceDE w:val="0"/>
        <w:autoSpaceDN w:val="0"/>
        <w:adjustRightInd w:val="0"/>
        <w:spacing w:line="360" w:lineRule="auto"/>
        <w:ind w:rightChars="-85" w:right="-178" w:firstLine="480"/>
        <w:rPr>
          <w:kern w:val="0"/>
          <w:sz w:val="24"/>
        </w:rPr>
      </w:pPr>
      <w:r w:rsidRPr="00474B23">
        <w:rPr>
          <w:kern w:val="0"/>
          <w:sz w:val="24"/>
        </w:rPr>
        <w:t>基金遵循</w:t>
      </w:r>
      <w:r w:rsidRPr="00474B23">
        <w:rPr>
          <w:kern w:val="0"/>
          <w:sz w:val="24"/>
        </w:rPr>
        <w:t>“</w:t>
      </w:r>
      <w:r w:rsidRPr="00474B23">
        <w:rPr>
          <w:kern w:val="0"/>
          <w:sz w:val="24"/>
        </w:rPr>
        <w:t>份额转换</w:t>
      </w:r>
      <w:r w:rsidRPr="00474B23">
        <w:rPr>
          <w:kern w:val="0"/>
          <w:sz w:val="24"/>
        </w:rPr>
        <w:t>”</w:t>
      </w:r>
      <w:r w:rsidRPr="00474B23">
        <w:rPr>
          <w:kern w:val="0"/>
          <w:sz w:val="24"/>
        </w:rPr>
        <w:t>的原则，</w:t>
      </w:r>
      <w:commentRangeStart w:id="3"/>
      <w:r w:rsidRPr="00474B23">
        <w:rPr>
          <w:rFonts w:hAnsi="宋体"/>
          <w:sz w:val="24"/>
        </w:rPr>
        <w:t>单笔转换份额不得低于</w:t>
      </w:r>
      <w:r w:rsidR="00FB00F7" w:rsidRPr="00474B23">
        <w:rPr>
          <w:sz w:val="24"/>
        </w:rPr>
        <w:t>10</w:t>
      </w:r>
      <w:r w:rsidRPr="00474B23">
        <w:rPr>
          <w:rFonts w:hAnsi="宋体"/>
          <w:sz w:val="24"/>
        </w:rPr>
        <w:t>份</w:t>
      </w:r>
      <w:commentRangeEnd w:id="3"/>
      <w:r w:rsidR="00F039F6">
        <w:rPr>
          <w:rStyle w:val="af6"/>
        </w:rPr>
        <w:commentReference w:id="3"/>
      </w:r>
      <w:r w:rsidRPr="00474B23">
        <w:rPr>
          <w:rFonts w:hAnsi="宋体"/>
          <w:sz w:val="24"/>
        </w:rPr>
        <w:t>。基金持有人可将其全部或部分基金份额转换成其它基金，单笔转换申请不受转入基金最低申购限额限制。</w:t>
      </w:r>
    </w:p>
    <w:p w14:paraId="14E4CEE1" w14:textId="77777777" w:rsidR="00B92624" w:rsidRPr="00474B23" w:rsidRDefault="00B92624" w:rsidP="00B92624">
      <w:pPr>
        <w:spacing w:line="360" w:lineRule="auto"/>
        <w:ind w:firstLineChars="200" w:firstLine="480"/>
        <w:rPr>
          <w:sz w:val="24"/>
        </w:rPr>
      </w:pPr>
      <w:r w:rsidRPr="00474B23">
        <w:rPr>
          <w:sz w:val="24"/>
          <w:szCs w:val="21"/>
        </w:rPr>
        <w:t>基于投资人在单个交易账户最低保留余额的规定</w:t>
      </w:r>
      <w:r w:rsidR="006D2721" w:rsidRPr="00474B23">
        <w:rPr>
          <w:sz w:val="24"/>
          <w:szCs w:val="21"/>
        </w:rPr>
        <w:t>（其中，交银货币最低保留余额为</w:t>
      </w:r>
      <w:r w:rsidR="00A77764" w:rsidRPr="00474B23">
        <w:rPr>
          <w:sz w:val="24"/>
          <w:szCs w:val="21"/>
        </w:rPr>
        <w:t>0</w:t>
      </w:r>
      <w:r w:rsidR="006D2721" w:rsidRPr="00474B23">
        <w:rPr>
          <w:sz w:val="24"/>
          <w:szCs w:val="21"/>
        </w:rPr>
        <w:t>份，</w:t>
      </w:r>
      <w:r w:rsidR="000F2278" w:rsidRPr="00474B23">
        <w:rPr>
          <w:sz w:val="24"/>
          <w:szCs w:val="21"/>
        </w:rPr>
        <w:t>其他基金的</w:t>
      </w:r>
      <w:r w:rsidR="006D2721" w:rsidRPr="00474B23">
        <w:rPr>
          <w:sz w:val="24"/>
          <w:szCs w:val="21"/>
        </w:rPr>
        <w:t>最低保留余额为</w:t>
      </w:r>
      <w:r w:rsidR="006D2721" w:rsidRPr="00474B23">
        <w:rPr>
          <w:sz w:val="24"/>
          <w:szCs w:val="21"/>
        </w:rPr>
        <w:t>5</w:t>
      </w:r>
      <w:r w:rsidR="006D2721" w:rsidRPr="00474B23">
        <w:rPr>
          <w:sz w:val="24"/>
          <w:szCs w:val="21"/>
        </w:rPr>
        <w:t>份）</w:t>
      </w:r>
      <w:r w:rsidRPr="00474B23">
        <w:rPr>
          <w:sz w:val="24"/>
          <w:szCs w:val="21"/>
        </w:rPr>
        <w:t>，每个工作日投资人在单个交易</w:t>
      </w:r>
      <w:r w:rsidRPr="00474B23">
        <w:rPr>
          <w:sz w:val="24"/>
          <w:szCs w:val="21"/>
        </w:rPr>
        <w:lastRenderedPageBreak/>
        <w:t>账户保留的基金份额余额少于</w:t>
      </w:r>
      <w:r w:rsidR="006D2721" w:rsidRPr="00474B23">
        <w:rPr>
          <w:sz w:val="24"/>
          <w:szCs w:val="21"/>
        </w:rPr>
        <w:t>最低保留余额</w:t>
      </w:r>
      <w:r w:rsidRPr="00474B23">
        <w:rPr>
          <w:sz w:val="24"/>
          <w:szCs w:val="21"/>
        </w:rPr>
        <w:t>时，若当日该账户同时有份额减少类业务（如赎回、转换出等）被确认，基金管理人有权将投资人在该账户保留的基金份额一次性全部赎回。因此，如果某笔转换申请确认后转出基金的单个交易账户的基金份额余额少于</w:t>
      </w:r>
      <w:r w:rsidR="00707D26" w:rsidRPr="00474B23">
        <w:rPr>
          <w:sz w:val="24"/>
          <w:szCs w:val="21"/>
        </w:rPr>
        <w:t>最低保留余额时</w:t>
      </w:r>
      <w:r w:rsidRPr="00474B23">
        <w:rPr>
          <w:sz w:val="24"/>
          <w:szCs w:val="21"/>
        </w:rPr>
        <w:t>，则转出基金在该账户剩余的基金份额将被全部赎回。如果某笔转换申请确认后转入基金的单个交易账户的基金份额余额少于</w:t>
      </w:r>
      <w:r w:rsidR="00707D26" w:rsidRPr="00474B23">
        <w:rPr>
          <w:sz w:val="24"/>
          <w:szCs w:val="21"/>
        </w:rPr>
        <w:t>最低保留余额</w:t>
      </w:r>
      <w:r w:rsidRPr="00474B23">
        <w:rPr>
          <w:sz w:val="24"/>
          <w:szCs w:val="21"/>
        </w:rPr>
        <w:t>且该账户当日有份额减少类业务被确认，则转入基金在该账户剩余的基金份额（包括该部分转换入确认份额）将随即被强制赎回。</w:t>
      </w:r>
    </w:p>
    <w:p w14:paraId="28E14FFA" w14:textId="77777777" w:rsidR="00B92624" w:rsidRPr="00474B23" w:rsidRDefault="00B92624" w:rsidP="00B92624">
      <w:pPr>
        <w:spacing w:line="360" w:lineRule="auto"/>
        <w:ind w:firstLineChars="200" w:firstLine="482"/>
        <w:rPr>
          <w:b/>
          <w:bCs/>
          <w:color w:val="000000"/>
          <w:sz w:val="24"/>
          <w:szCs w:val="21"/>
        </w:rPr>
      </w:pPr>
      <w:r w:rsidRPr="00474B23">
        <w:rPr>
          <w:b/>
          <w:bCs/>
          <w:color w:val="000000"/>
          <w:sz w:val="24"/>
          <w:szCs w:val="21"/>
        </w:rPr>
        <w:t>（六）业务规则</w:t>
      </w:r>
    </w:p>
    <w:p w14:paraId="66C5F32C" w14:textId="77777777" w:rsidR="00B92624" w:rsidRPr="00474B23" w:rsidRDefault="00B92624" w:rsidP="00B92624">
      <w:pPr>
        <w:pStyle w:val="a6"/>
        <w:spacing w:line="360" w:lineRule="auto"/>
        <w:ind w:rightChars="-85" w:right="-178" w:firstLineChars="200" w:firstLine="480"/>
        <w:rPr>
          <w:sz w:val="24"/>
          <w:szCs w:val="24"/>
        </w:rPr>
      </w:pPr>
      <w:r w:rsidRPr="00474B23">
        <w:rPr>
          <w:sz w:val="24"/>
          <w:szCs w:val="24"/>
        </w:rPr>
        <w:t>1</w:t>
      </w:r>
      <w:r w:rsidRPr="00474B23">
        <w:rPr>
          <w:rFonts w:hAnsi="宋体"/>
          <w:sz w:val="24"/>
          <w:szCs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14:paraId="530ED884" w14:textId="77777777" w:rsidR="00B92624" w:rsidRPr="00474B23" w:rsidRDefault="00B92624" w:rsidP="00B92624">
      <w:pPr>
        <w:spacing w:line="360" w:lineRule="auto"/>
        <w:ind w:firstLineChars="200" w:firstLine="480"/>
        <w:rPr>
          <w:sz w:val="24"/>
        </w:rPr>
      </w:pPr>
      <w:r w:rsidRPr="00474B23">
        <w:rPr>
          <w:sz w:val="24"/>
        </w:rPr>
        <w:t>2</w:t>
      </w:r>
      <w:r w:rsidRPr="00474B23">
        <w:rPr>
          <w:rFonts w:hAnsi="宋体"/>
          <w:sz w:val="24"/>
        </w:rPr>
        <w:t>、投资人只能在相同收费模式下进行基金转换。前端收费模式的开放式基金只能转换到前端收费模式的其他基金，后端收费模式的基金只能转换到后端收费模式的其他基金。交银货币、</w:t>
      </w:r>
      <w:r w:rsidR="00963635" w:rsidRPr="00474B23">
        <w:rPr>
          <w:rFonts w:hAnsi="宋体"/>
          <w:sz w:val="24"/>
        </w:rPr>
        <w:t>债券基金</w:t>
      </w:r>
      <w:r w:rsidR="00963635" w:rsidRPr="00474B23">
        <w:rPr>
          <w:sz w:val="24"/>
        </w:rPr>
        <w:t>C</w:t>
      </w:r>
      <w:r w:rsidR="00963635" w:rsidRPr="00474B23">
        <w:rPr>
          <w:rFonts w:hAnsi="宋体"/>
          <w:sz w:val="24"/>
        </w:rPr>
        <w:t>类基金份额</w:t>
      </w:r>
      <w:r w:rsidRPr="00474B23">
        <w:rPr>
          <w:rFonts w:hAnsi="宋体"/>
          <w:sz w:val="24"/>
        </w:rPr>
        <w:t>与其他基金之间的转换不受上述收费模式的限制。</w:t>
      </w:r>
      <w:r w:rsidRPr="00474B23">
        <w:rPr>
          <w:sz w:val="24"/>
        </w:rPr>
        <w:t xml:space="preserve"> </w:t>
      </w:r>
    </w:p>
    <w:p w14:paraId="7B95319E" w14:textId="77777777" w:rsidR="00B92624" w:rsidRPr="00474B23" w:rsidRDefault="00B92624" w:rsidP="00B92624">
      <w:pPr>
        <w:pStyle w:val="a6"/>
        <w:spacing w:line="360" w:lineRule="auto"/>
        <w:ind w:rightChars="-85" w:right="-178" w:firstLineChars="200" w:firstLine="480"/>
        <w:rPr>
          <w:sz w:val="24"/>
          <w:szCs w:val="24"/>
        </w:rPr>
      </w:pPr>
      <w:r w:rsidRPr="00474B23">
        <w:rPr>
          <w:sz w:val="24"/>
          <w:szCs w:val="24"/>
        </w:rPr>
        <w:t>3</w:t>
      </w:r>
      <w:r w:rsidRPr="00474B23">
        <w:rPr>
          <w:rFonts w:hAnsi="宋体"/>
          <w:sz w:val="24"/>
          <w:szCs w:val="24"/>
        </w:rPr>
        <w:t>、基金转换采取未知价法，即</w:t>
      </w:r>
      <w:r w:rsidRPr="00474B23">
        <w:rPr>
          <w:rFonts w:hAnsi="宋体"/>
          <w:sz w:val="24"/>
        </w:rPr>
        <w:t>基金的转换价格</w:t>
      </w:r>
      <w:r w:rsidRPr="00474B23">
        <w:rPr>
          <w:rFonts w:hAnsi="宋体"/>
          <w:sz w:val="24"/>
          <w:szCs w:val="24"/>
        </w:rPr>
        <w:t>以申请受理当日各转出、转入基金的基金份额净值为基础进行计算。（货币市场基金的基金份额净值为固定价</w:t>
      </w:r>
      <w:r w:rsidRPr="00474B23">
        <w:rPr>
          <w:sz w:val="24"/>
          <w:szCs w:val="24"/>
        </w:rPr>
        <w:t>1.00</w:t>
      </w:r>
      <w:r w:rsidRPr="00474B23">
        <w:rPr>
          <w:rFonts w:hAnsi="宋体"/>
          <w:sz w:val="24"/>
          <w:szCs w:val="24"/>
        </w:rPr>
        <w:t>元）。</w:t>
      </w:r>
    </w:p>
    <w:p w14:paraId="259D694B" w14:textId="77777777" w:rsidR="00B92624" w:rsidRPr="00474B23" w:rsidRDefault="00B92624" w:rsidP="00B92624">
      <w:pPr>
        <w:pStyle w:val="a6"/>
        <w:spacing w:line="360" w:lineRule="auto"/>
        <w:ind w:rightChars="-85" w:right="-178" w:firstLineChars="200" w:firstLine="480"/>
        <w:rPr>
          <w:sz w:val="24"/>
          <w:szCs w:val="24"/>
        </w:rPr>
      </w:pPr>
      <w:r w:rsidRPr="00474B23">
        <w:rPr>
          <w:sz w:val="24"/>
          <w:szCs w:val="24"/>
        </w:rPr>
        <w:t>4</w:t>
      </w:r>
      <w:r w:rsidRPr="00474B23">
        <w:rPr>
          <w:rFonts w:hAnsi="宋体"/>
          <w:sz w:val="24"/>
          <w:szCs w:val="24"/>
        </w:rPr>
        <w:t>、基金份额持有人申请将其账户内交银货币的基金份额转换为</w:t>
      </w:r>
      <w:r w:rsidR="00FD24E7" w:rsidRPr="00474B23">
        <w:rPr>
          <w:rFonts w:hAnsi="宋体"/>
          <w:sz w:val="24"/>
          <w:szCs w:val="24"/>
        </w:rPr>
        <w:t>其他</w:t>
      </w:r>
      <w:r w:rsidRPr="00474B23">
        <w:rPr>
          <w:rFonts w:hAnsi="宋体"/>
          <w:sz w:val="24"/>
          <w:szCs w:val="24"/>
        </w:rPr>
        <w:t>基金份额时，注册登记机构将自动结转该转出份额对应的待支付收益，该收益将一并计入转出金额并折算为转入基金的基金份额，但收益部分不收取转换费用。</w:t>
      </w:r>
    </w:p>
    <w:p w14:paraId="22DD357E" w14:textId="77777777" w:rsidR="00B92624" w:rsidRPr="00474B23" w:rsidRDefault="00B92624" w:rsidP="00B92624">
      <w:pPr>
        <w:pStyle w:val="a6"/>
        <w:spacing w:line="360" w:lineRule="auto"/>
        <w:ind w:rightChars="-85" w:right="-178" w:firstLineChars="200" w:firstLine="480"/>
        <w:rPr>
          <w:sz w:val="24"/>
        </w:rPr>
      </w:pPr>
      <w:r w:rsidRPr="00474B23">
        <w:rPr>
          <w:sz w:val="24"/>
          <w:szCs w:val="24"/>
        </w:rPr>
        <w:t>5</w:t>
      </w:r>
      <w:r w:rsidRPr="00474B23">
        <w:rPr>
          <w:rFonts w:hAnsi="宋体"/>
          <w:sz w:val="24"/>
          <w:szCs w:val="24"/>
        </w:rPr>
        <w:t>、转换后，</w:t>
      </w:r>
      <w:r w:rsidRPr="00474B23">
        <w:rPr>
          <w:rFonts w:hAnsi="宋体"/>
          <w:sz w:val="24"/>
        </w:rPr>
        <w:t>转入基金份额的持有时间将重新计算，即转入基金份额的持有期将自转入基金份额被确认日起重新开始计算。</w:t>
      </w:r>
    </w:p>
    <w:p w14:paraId="1B59F50C" w14:textId="77777777" w:rsidR="00B92624" w:rsidRPr="00474B23" w:rsidRDefault="00B92624" w:rsidP="00B92624">
      <w:pPr>
        <w:pStyle w:val="a6"/>
        <w:spacing w:line="360" w:lineRule="auto"/>
        <w:ind w:rightChars="-85" w:right="-178" w:firstLineChars="200" w:firstLine="480"/>
        <w:rPr>
          <w:sz w:val="24"/>
          <w:szCs w:val="24"/>
        </w:rPr>
      </w:pPr>
      <w:r w:rsidRPr="00474B23">
        <w:rPr>
          <w:sz w:val="24"/>
          <w:szCs w:val="24"/>
        </w:rPr>
        <w:t>6</w:t>
      </w:r>
      <w:r w:rsidRPr="00474B23">
        <w:rPr>
          <w:rFonts w:hAnsi="宋体"/>
          <w:sz w:val="24"/>
          <w:szCs w:val="24"/>
        </w:rPr>
        <w:t>、根据</w:t>
      </w:r>
      <w:r w:rsidR="00685D62" w:rsidRPr="00474B23">
        <w:rPr>
          <w:rFonts w:hAnsi="宋体"/>
          <w:sz w:val="24"/>
          <w:szCs w:val="24"/>
        </w:rPr>
        <w:t>旗下</w:t>
      </w:r>
      <w:r w:rsidR="00963635" w:rsidRPr="00474B23">
        <w:rPr>
          <w:rFonts w:hAnsi="宋体"/>
          <w:sz w:val="24"/>
          <w:szCs w:val="24"/>
        </w:rPr>
        <w:t>保本</w:t>
      </w:r>
      <w:r w:rsidRPr="00474B23">
        <w:rPr>
          <w:rFonts w:hAnsi="宋体"/>
          <w:sz w:val="24"/>
          <w:szCs w:val="24"/>
        </w:rPr>
        <w:t>基金合同的约定，基金份额持有人在保本周期内申购或转换入的基金份额，以及在基金保本周期到期日前（不包括该日）赎回或转换出的基金份额不适用保本条款，其赎回或转换价格以赎回</w:t>
      </w:r>
      <w:r w:rsidRPr="00474B23">
        <w:rPr>
          <w:rFonts w:hAnsi="宋体"/>
          <w:sz w:val="24"/>
        </w:rPr>
        <w:t>或转换</w:t>
      </w:r>
      <w:r w:rsidRPr="00474B23">
        <w:rPr>
          <w:rFonts w:hAnsi="宋体"/>
          <w:sz w:val="24"/>
          <w:szCs w:val="24"/>
        </w:rPr>
        <w:t>申请日的</w:t>
      </w:r>
      <w:r w:rsidR="00D966D4" w:rsidRPr="00474B23">
        <w:rPr>
          <w:rFonts w:hAnsi="宋体"/>
          <w:sz w:val="24"/>
          <w:szCs w:val="24"/>
        </w:rPr>
        <w:t>基金份额净值</w:t>
      </w:r>
      <w:r w:rsidRPr="00474B23">
        <w:rPr>
          <w:rFonts w:hAnsi="宋体"/>
          <w:sz w:val="24"/>
          <w:szCs w:val="24"/>
        </w:rPr>
        <w:t>为基准进行计算。</w:t>
      </w:r>
    </w:p>
    <w:p w14:paraId="651A91C4" w14:textId="77777777" w:rsidR="00B92624" w:rsidRPr="00474B23" w:rsidRDefault="00B92624" w:rsidP="00B92624">
      <w:pPr>
        <w:spacing w:line="360" w:lineRule="auto"/>
        <w:ind w:firstLineChars="200" w:firstLine="482"/>
        <w:rPr>
          <w:b/>
          <w:bCs/>
          <w:color w:val="000000"/>
          <w:sz w:val="24"/>
          <w:szCs w:val="21"/>
        </w:rPr>
      </w:pPr>
      <w:r w:rsidRPr="00474B23">
        <w:rPr>
          <w:b/>
          <w:bCs/>
          <w:color w:val="000000"/>
          <w:sz w:val="24"/>
          <w:szCs w:val="21"/>
        </w:rPr>
        <w:lastRenderedPageBreak/>
        <w:t>（七）暂停基金转换</w:t>
      </w:r>
    </w:p>
    <w:p w14:paraId="47570630" w14:textId="77777777" w:rsidR="00B92624" w:rsidRPr="00474B23" w:rsidRDefault="00B92624" w:rsidP="00B92624">
      <w:pPr>
        <w:pStyle w:val="a6"/>
        <w:spacing w:line="360" w:lineRule="auto"/>
        <w:ind w:rightChars="-85" w:right="-178" w:firstLineChars="200" w:firstLine="480"/>
        <w:rPr>
          <w:sz w:val="24"/>
          <w:szCs w:val="24"/>
        </w:rPr>
      </w:pPr>
      <w:r w:rsidRPr="00474B23">
        <w:rPr>
          <w:rFonts w:hAnsi="宋体"/>
          <w:sz w:val="24"/>
          <w:szCs w:val="24"/>
        </w:rPr>
        <w:t>基金转换视同为转出基金的赎回和转入基金的申购，因此有关转出基金和转入基金关于暂停或拒绝申购、暂停赎回的情形和公告的有关规定</w:t>
      </w:r>
      <w:r w:rsidRPr="00474B23">
        <w:rPr>
          <w:rFonts w:hAnsi="宋体"/>
          <w:sz w:val="24"/>
        </w:rPr>
        <w:t>一般</w:t>
      </w:r>
      <w:r w:rsidRPr="00474B23">
        <w:rPr>
          <w:rFonts w:hAnsi="宋体"/>
          <w:sz w:val="24"/>
          <w:szCs w:val="24"/>
        </w:rPr>
        <w:t>也适用于暂停基金转换</w:t>
      </w:r>
      <w:r w:rsidRPr="00474B23">
        <w:rPr>
          <w:rFonts w:hAnsi="宋体"/>
          <w:sz w:val="24"/>
        </w:rPr>
        <w:t>，具体暂停或恢复基金转换的相关业务请详见届时本基金管理人发布的相关公告</w:t>
      </w:r>
      <w:r w:rsidRPr="00474B23">
        <w:rPr>
          <w:rFonts w:hAnsi="宋体"/>
          <w:sz w:val="24"/>
          <w:szCs w:val="24"/>
        </w:rPr>
        <w:t>。</w:t>
      </w:r>
    </w:p>
    <w:p w14:paraId="70952E2F" w14:textId="77777777" w:rsidR="00B92624" w:rsidRPr="00474B23" w:rsidRDefault="00B92624" w:rsidP="00B92624">
      <w:pPr>
        <w:spacing w:line="360" w:lineRule="auto"/>
        <w:ind w:firstLineChars="200" w:firstLine="480"/>
        <w:rPr>
          <w:sz w:val="24"/>
          <w:szCs w:val="21"/>
        </w:rPr>
      </w:pPr>
      <w:r w:rsidRPr="00474B23">
        <w:rPr>
          <w:kern w:val="0"/>
          <w:sz w:val="24"/>
        </w:rPr>
        <w:t>单个开放日，基金净赎回申请份额（该基金赎回申请总份额加上基金转换中转出申请总份额后扣除申购申请总份额及基金转换中转入申请总份额后的余额）超过上一日基金总份额的</w:t>
      </w:r>
      <w:r w:rsidRPr="00474B23">
        <w:rPr>
          <w:kern w:val="0"/>
          <w:sz w:val="24"/>
        </w:rPr>
        <w:t>10%</w:t>
      </w:r>
      <w:r w:rsidRPr="00474B23">
        <w:rPr>
          <w:kern w:val="0"/>
          <w:sz w:val="24"/>
        </w:rPr>
        <w:t>时，即认为发生了巨额赎回。</w:t>
      </w:r>
      <w:r w:rsidRPr="00474B23">
        <w:rPr>
          <w:rFonts w:hAnsi="宋体"/>
          <w:sz w:val="24"/>
        </w:rPr>
        <w:t>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14:paraId="2619BD9B" w14:textId="77777777" w:rsidR="008D68DD" w:rsidRPr="00474B23" w:rsidRDefault="008D68DD" w:rsidP="00B92624"/>
    <w:sectPr w:rsidR="008D68DD" w:rsidRPr="00474B23" w:rsidSect="008D68DD">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刘晨晨" w:date="2016-12-30T11:14:00Z" w:initials="晨">
    <w:p w14:paraId="3DA78AEE" w14:textId="77777777" w:rsidR="00640CF9" w:rsidRDefault="00640CF9">
      <w:pPr>
        <w:pStyle w:val="af7"/>
      </w:pPr>
      <w:r>
        <w:rPr>
          <w:rStyle w:val="af6"/>
        </w:rPr>
        <w:annotationRef/>
      </w:r>
      <w:r>
        <w:rPr>
          <w:rFonts w:hint="eastAsia"/>
        </w:rPr>
        <w:t>补充</w:t>
      </w:r>
    </w:p>
  </w:comment>
  <w:comment w:id="3" w:author="刘晨晨" w:date="2016-12-30T11:14:00Z" w:initials="晨">
    <w:p w14:paraId="5F899344" w14:textId="77777777" w:rsidR="00F039F6" w:rsidRDefault="00F039F6">
      <w:pPr>
        <w:pStyle w:val="af7"/>
      </w:pPr>
      <w:r>
        <w:rPr>
          <w:rStyle w:val="af6"/>
        </w:rPr>
        <w:annotationRef/>
      </w:r>
      <w:r>
        <w:rPr>
          <w:rFonts w:hint="eastAsia"/>
        </w:rPr>
        <w:t>已与运营部确认，转换份额为</w:t>
      </w:r>
      <w:r>
        <w:rPr>
          <w:rFonts w:hint="eastAsia"/>
        </w:rPr>
        <w:t>10</w:t>
      </w:r>
      <w:r>
        <w:rPr>
          <w:rFonts w:hint="eastAsia"/>
        </w:rPr>
        <w:t>份</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A78AEE" w15:done="0"/>
  <w15:commentEx w15:paraId="5F8993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19983C" w14:textId="77777777" w:rsidR="003E44D5" w:rsidRDefault="003E44D5" w:rsidP="00FD24E7">
      <w:r>
        <w:separator/>
      </w:r>
    </w:p>
  </w:endnote>
  <w:endnote w:type="continuationSeparator" w:id="0">
    <w:p w14:paraId="0726F63B" w14:textId="77777777" w:rsidR="003E44D5" w:rsidRDefault="003E44D5" w:rsidP="00FD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1"/>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五">
    <w:altName w:val="黑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1CCFF" w14:textId="77777777" w:rsidR="003E44D5" w:rsidRDefault="003E44D5" w:rsidP="00FD24E7">
      <w:r>
        <w:separator/>
      </w:r>
    </w:p>
  </w:footnote>
  <w:footnote w:type="continuationSeparator" w:id="0">
    <w:p w14:paraId="74738E49" w14:textId="77777777" w:rsidR="003E44D5" w:rsidRDefault="003E44D5" w:rsidP="00FD24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18D4"/>
    <w:multiLevelType w:val="hybridMultilevel"/>
    <w:tmpl w:val="C7F23AA8"/>
    <w:lvl w:ilvl="0" w:tplc="B8D8DA0C">
      <w:start w:val="1"/>
      <w:numFmt w:val="decimal"/>
      <w:pStyle w:val="2"/>
      <w:lvlText w:val="（%1）"/>
      <w:lvlJc w:val="center"/>
      <w:pPr>
        <w:tabs>
          <w:tab w:val="num" w:pos="648"/>
        </w:tabs>
        <w:ind w:left="0" w:firstLine="288"/>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2CA61A10"/>
    <w:multiLevelType w:val="multilevel"/>
    <w:tmpl w:val="203AC7FC"/>
    <w:lvl w:ilvl="0">
      <w:start w:val="1"/>
      <w:numFmt w:val="chineseCountingThousand"/>
      <w:pStyle w:val="1"/>
      <w:lvlText w:val="第%1章"/>
      <w:lvlJc w:val="left"/>
      <w:pPr>
        <w:tabs>
          <w:tab w:val="num" w:pos="1182"/>
        </w:tabs>
        <w:ind w:left="527" w:hanging="425"/>
      </w:pPr>
      <w:rPr>
        <w:rFonts w:hint="eastAsia"/>
        <w:b/>
        <w:i w:val="0"/>
        <w:sz w:val="30"/>
      </w:rPr>
    </w:lvl>
    <w:lvl w:ilvl="1">
      <w:start w:val="1"/>
      <w:numFmt w:val="chineseCountingThousand"/>
      <w:pStyle w:val="20"/>
      <w:lvlText w:val="%2、"/>
      <w:lvlJc w:val="left"/>
      <w:pPr>
        <w:tabs>
          <w:tab w:val="num" w:pos="2434"/>
        </w:tabs>
        <w:ind w:left="2434" w:hanging="454"/>
      </w:pPr>
      <w:rPr>
        <w:rFonts w:hint="eastAsia"/>
        <w:b/>
        <w:i w:val="0"/>
        <w:sz w:val="24"/>
      </w:rPr>
    </w:lvl>
    <w:lvl w:ilvl="2">
      <w:start w:val="1"/>
      <w:numFmt w:val="decimal"/>
      <w:pStyle w:val="3"/>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pStyle w:val="5"/>
      <w:lvlText w:val="%5."/>
      <w:lvlJc w:val="left"/>
      <w:pPr>
        <w:tabs>
          <w:tab w:val="num" w:pos="462"/>
        </w:tabs>
        <w:ind w:left="102" w:firstLine="0"/>
      </w:pPr>
      <w:rPr>
        <w:rFonts w:hint="eastAsia"/>
        <w:sz w:val="24"/>
      </w:rPr>
    </w:lvl>
    <w:lvl w:ilvl="5">
      <w:start w:val="1"/>
      <w:numFmt w:val="lowerLetter"/>
      <w:pStyle w:val="6"/>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48DC602A"/>
    <w:multiLevelType w:val="multilevel"/>
    <w:tmpl w:val="FCF27A24"/>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pStyle w:val="a"/>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15:restartNumberingAfterBreak="0">
    <w:nsid w:val="6FE147B6"/>
    <w:multiLevelType w:val="singleLevel"/>
    <w:tmpl w:val="5DAA9A04"/>
    <w:lvl w:ilvl="0">
      <w:start w:val="1"/>
      <w:numFmt w:val="decimal"/>
      <w:pStyle w:val="21"/>
      <w:lvlText w:val="(%1)"/>
      <w:lvlJc w:val="left"/>
      <w:pPr>
        <w:tabs>
          <w:tab w:val="num" w:pos="360"/>
        </w:tabs>
        <w:ind w:left="0" w:firstLine="0"/>
      </w:pPr>
      <w:rPr>
        <w:rFonts w:hint="eastAsia"/>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2624"/>
    <w:rsid w:val="00000983"/>
    <w:rsid w:val="00013BB8"/>
    <w:rsid w:val="00014A2F"/>
    <w:rsid w:val="00014F02"/>
    <w:rsid w:val="000279B1"/>
    <w:rsid w:val="00032457"/>
    <w:rsid w:val="00043BC7"/>
    <w:rsid w:val="00046265"/>
    <w:rsid w:val="00054228"/>
    <w:rsid w:val="000711EE"/>
    <w:rsid w:val="00082E27"/>
    <w:rsid w:val="000870DE"/>
    <w:rsid w:val="000875D5"/>
    <w:rsid w:val="000A567B"/>
    <w:rsid w:val="000C3A4C"/>
    <w:rsid w:val="000D5098"/>
    <w:rsid w:val="000F0F3E"/>
    <w:rsid w:val="000F2278"/>
    <w:rsid w:val="000F49FA"/>
    <w:rsid w:val="0012695F"/>
    <w:rsid w:val="00147DCB"/>
    <w:rsid w:val="0016337B"/>
    <w:rsid w:val="00182F7A"/>
    <w:rsid w:val="00184893"/>
    <w:rsid w:val="00195B99"/>
    <w:rsid w:val="001A00B9"/>
    <w:rsid w:val="001A2CDE"/>
    <w:rsid w:val="001D0752"/>
    <w:rsid w:val="001E3972"/>
    <w:rsid w:val="002003D2"/>
    <w:rsid w:val="00203E71"/>
    <w:rsid w:val="00213C67"/>
    <w:rsid w:val="00221992"/>
    <w:rsid w:val="00227D6B"/>
    <w:rsid w:val="00230CCE"/>
    <w:rsid w:val="00242F92"/>
    <w:rsid w:val="00254C63"/>
    <w:rsid w:val="002561A3"/>
    <w:rsid w:val="00267F81"/>
    <w:rsid w:val="00280C27"/>
    <w:rsid w:val="002A29D1"/>
    <w:rsid w:val="002F182D"/>
    <w:rsid w:val="00300C7B"/>
    <w:rsid w:val="0030170E"/>
    <w:rsid w:val="00307A3A"/>
    <w:rsid w:val="003168E3"/>
    <w:rsid w:val="00334599"/>
    <w:rsid w:val="00361FA3"/>
    <w:rsid w:val="00363C33"/>
    <w:rsid w:val="00364A9D"/>
    <w:rsid w:val="003758A7"/>
    <w:rsid w:val="003834D3"/>
    <w:rsid w:val="00387FDA"/>
    <w:rsid w:val="003B222B"/>
    <w:rsid w:val="003D6D35"/>
    <w:rsid w:val="003D73AA"/>
    <w:rsid w:val="003E44D5"/>
    <w:rsid w:val="003E4DFE"/>
    <w:rsid w:val="00406568"/>
    <w:rsid w:val="00411612"/>
    <w:rsid w:val="00421F2F"/>
    <w:rsid w:val="004245B6"/>
    <w:rsid w:val="00433E27"/>
    <w:rsid w:val="0045325D"/>
    <w:rsid w:val="00462370"/>
    <w:rsid w:val="00470520"/>
    <w:rsid w:val="004749A6"/>
    <w:rsid w:val="00474B23"/>
    <w:rsid w:val="00475811"/>
    <w:rsid w:val="0048197B"/>
    <w:rsid w:val="00491333"/>
    <w:rsid w:val="00492597"/>
    <w:rsid w:val="00497C26"/>
    <w:rsid w:val="004A061B"/>
    <w:rsid w:val="004A6334"/>
    <w:rsid w:val="004B7964"/>
    <w:rsid w:val="004C4628"/>
    <w:rsid w:val="004D5E82"/>
    <w:rsid w:val="004E44F2"/>
    <w:rsid w:val="005026CE"/>
    <w:rsid w:val="00520E10"/>
    <w:rsid w:val="0052146C"/>
    <w:rsid w:val="00524DBE"/>
    <w:rsid w:val="005375DB"/>
    <w:rsid w:val="0053776B"/>
    <w:rsid w:val="0054484E"/>
    <w:rsid w:val="00551B4D"/>
    <w:rsid w:val="005561BB"/>
    <w:rsid w:val="00561C7C"/>
    <w:rsid w:val="00567987"/>
    <w:rsid w:val="0057161D"/>
    <w:rsid w:val="00576581"/>
    <w:rsid w:val="005A35F1"/>
    <w:rsid w:val="005A43B1"/>
    <w:rsid w:val="005A69FD"/>
    <w:rsid w:val="005C1D59"/>
    <w:rsid w:val="005C4EFC"/>
    <w:rsid w:val="005D51CF"/>
    <w:rsid w:val="005D6293"/>
    <w:rsid w:val="005E241C"/>
    <w:rsid w:val="005F72AC"/>
    <w:rsid w:val="00604734"/>
    <w:rsid w:val="00615029"/>
    <w:rsid w:val="00620447"/>
    <w:rsid w:val="00630572"/>
    <w:rsid w:val="0063565E"/>
    <w:rsid w:val="00637E34"/>
    <w:rsid w:val="00640CF9"/>
    <w:rsid w:val="006416F7"/>
    <w:rsid w:val="006453F8"/>
    <w:rsid w:val="006568FF"/>
    <w:rsid w:val="00661CDE"/>
    <w:rsid w:val="00664250"/>
    <w:rsid w:val="00666307"/>
    <w:rsid w:val="00670C1A"/>
    <w:rsid w:val="006716C1"/>
    <w:rsid w:val="006809A5"/>
    <w:rsid w:val="0068319A"/>
    <w:rsid w:val="00685785"/>
    <w:rsid w:val="00685D62"/>
    <w:rsid w:val="00687231"/>
    <w:rsid w:val="00695735"/>
    <w:rsid w:val="006A2C97"/>
    <w:rsid w:val="006A6B45"/>
    <w:rsid w:val="006C6A54"/>
    <w:rsid w:val="006C7A8C"/>
    <w:rsid w:val="006D1433"/>
    <w:rsid w:val="006D2721"/>
    <w:rsid w:val="006D4CA4"/>
    <w:rsid w:val="006D4E35"/>
    <w:rsid w:val="006D6742"/>
    <w:rsid w:val="006F2A00"/>
    <w:rsid w:val="006F6031"/>
    <w:rsid w:val="00700E69"/>
    <w:rsid w:val="00707D26"/>
    <w:rsid w:val="00717804"/>
    <w:rsid w:val="00750A4F"/>
    <w:rsid w:val="00750F1E"/>
    <w:rsid w:val="00776B3A"/>
    <w:rsid w:val="007843F5"/>
    <w:rsid w:val="00784B38"/>
    <w:rsid w:val="00794598"/>
    <w:rsid w:val="007A6B45"/>
    <w:rsid w:val="007C74D3"/>
    <w:rsid w:val="007D2586"/>
    <w:rsid w:val="007D77CC"/>
    <w:rsid w:val="007D7B10"/>
    <w:rsid w:val="007E58FB"/>
    <w:rsid w:val="007E5ADD"/>
    <w:rsid w:val="008045FA"/>
    <w:rsid w:val="00804B62"/>
    <w:rsid w:val="00812719"/>
    <w:rsid w:val="00812EA3"/>
    <w:rsid w:val="00845509"/>
    <w:rsid w:val="0085784A"/>
    <w:rsid w:val="0086460C"/>
    <w:rsid w:val="0086639A"/>
    <w:rsid w:val="008732B3"/>
    <w:rsid w:val="00874E44"/>
    <w:rsid w:val="00875F3E"/>
    <w:rsid w:val="00877715"/>
    <w:rsid w:val="008A1488"/>
    <w:rsid w:val="008A794A"/>
    <w:rsid w:val="008B5F4D"/>
    <w:rsid w:val="008C083C"/>
    <w:rsid w:val="008C30F6"/>
    <w:rsid w:val="008D68DD"/>
    <w:rsid w:val="008D78F7"/>
    <w:rsid w:val="008E6284"/>
    <w:rsid w:val="00911440"/>
    <w:rsid w:val="009143B4"/>
    <w:rsid w:val="00921C89"/>
    <w:rsid w:val="00931167"/>
    <w:rsid w:val="00932C3E"/>
    <w:rsid w:val="00933D03"/>
    <w:rsid w:val="00945056"/>
    <w:rsid w:val="009512A1"/>
    <w:rsid w:val="00963635"/>
    <w:rsid w:val="00963D35"/>
    <w:rsid w:val="009874DF"/>
    <w:rsid w:val="009A6023"/>
    <w:rsid w:val="009B55FD"/>
    <w:rsid w:val="009C0C45"/>
    <w:rsid w:val="009C45D6"/>
    <w:rsid w:val="009E33FF"/>
    <w:rsid w:val="009F64CD"/>
    <w:rsid w:val="009F7AAA"/>
    <w:rsid w:val="00A14B7A"/>
    <w:rsid w:val="00A168AA"/>
    <w:rsid w:val="00A17C22"/>
    <w:rsid w:val="00A35DDE"/>
    <w:rsid w:val="00A56FF2"/>
    <w:rsid w:val="00A70C62"/>
    <w:rsid w:val="00A768B9"/>
    <w:rsid w:val="00A77764"/>
    <w:rsid w:val="00A82323"/>
    <w:rsid w:val="00AC62BB"/>
    <w:rsid w:val="00AD11ED"/>
    <w:rsid w:val="00AE1B3E"/>
    <w:rsid w:val="00B10135"/>
    <w:rsid w:val="00B14542"/>
    <w:rsid w:val="00B30E2B"/>
    <w:rsid w:val="00B33331"/>
    <w:rsid w:val="00B37A70"/>
    <w:rsid w:val="00B42D8F"/>
    <w:rsid w:val="00B62CDA"/>
    <w:rsid w:val="00B70FA1"/>
    <w:rsid w:val="00B727CD"/>
    <w:rsid w:val="00B87296"/>
    <w:rsid w:val="00B91B50"/>
    <w:rsid w:val="00B92624"/>
    <w:rsid w:val="00BA12AE"/>
    <w:rsid w:val="00BB0A87"/>
    <w:rsid w:val="00BB63F4"/>
    <w:rsid w:val="00BC7AC9"/>
    <w:rsid w:val="00BD6FAD"/>
    <w:rsid w:val="00BE75DF"/>
    <w:rsid w:val="00C010D4"/>
    <w:rsid w:val="00C01320"/>
    <w:rsid w:val="00C07476"/>
    <w:rsid w:val="00C2790D"/>
    <w:rsid w:val="00C33C59"/>
    <w:rsid w:val="00C40FBC"/>
    <w:rsid w:val="00C43876"/>
    <w:rsid w:val="00C6103B"/>
    <w:rsid w:val="00C62FCC"/>
    <w:rsid w:val="00C70840"/>
    <w:rsid w:val="00CB3D06"/>
    <w:rsid w:val="00CC08F0"/>
    <w:rsid w:val="00CC1BBE"/>
    <w:rsid w:val="00CF1AA1"/>
    <w:rsid w:val="00CF2086"/>
    <w:rsid w:val="00D1677D"/>
    <w:rsid w:val="00D16BA1"/>
    <w:rsid w:val="00D35964"/>
    <w:rsid w:val="00D4710F"/>
    <w:rsid w:val="00D5340C"/>
    <w:rsid w:val="00D62681"/>
    <w:rsid w:val="00D95DE2"/>
    <w:rsid w:val="00D966D4"/>
    <w:rsid w:val="00D979D9"/>
    <w:rsid w:val="00DB157F"/>
    <w:rsid w:val="00DB26A9"/>
    <w:rsid w:val="00DD7154"/>
    <w:rsid w:val="00DE03C9"/>
    <w:rsid w:val="00DF310D"/>
    <w:rsid w:val="00E01122"/>
    <w:rsid w:val="00E02376"/>
    <w:rsid w:val="00E1473A"/>
    <w:rsid w:val="00E267D6"/>
    <w:rsid w:val="00E67864"/>
    <w:rsid w:val="00E81EC2"/>
    <w:rsid w:val="00E8223D"/>
    <w:rsid w:val="00EA52B9"/>
    <w:rsid w:val="00EC1DFD"/>
    <w:rsid w:val="00EC64B2"/>
    <w:rsid w:val="00ED5751"/>
    <w:rsid w:val="00ED6EE6"/>
    <w:rsid w:val="00EF0EEB"/>
    <w:rsid w:val="00F039F6"/>
    <w:rsid w:val="00F105D6"/>
    <w:rsid w:val="00F15239"/>
    <w:rsid w:val="00F370AE"/>
    <w:rsid w:val="00F55165"/>
    <w:rsid w:val="00F56048"/>
    <w:rsid w:val="00F73E72"/>
    <w:rsid w:val="00F95148"/>
    <w:rsid w:val="00F97593"/>
    <w:rsid w:val="00FA3999"/>
    <w:rsid w:val="00FA5D3D"/>
    <w:rsid w:val="00FB00F7"/>
    <w:rsid w:val="00FC24F2"/>
    <w:rsid w:val="00FD0AA0"/>
    <w:rsid w:val="00FD24E7"/>
    <w:rsid w:val="00FE2260"/>
    <w:rsid w:val="00FE322D"/>
    <w:rsid w:val="00FE5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0EA92"/>
  <w15:docId w15:val="{64578924-2650-4D8B-8D54-30D19F9B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2624"/>
    <w:pPr>
      <w:widowControl w:val="0"/>
      <w:jc w:val="both"/>
    </w:pPr>
    <w:rPr>
      <w:rFonts w:ascii="Times New Roman" w:hAnsi="Times New Roman"/>
      <w:kern w:val="2"/>
      <w:sz w:val="21"/>
      <w:szCs w:val="24"/>
    </w:rPr>
  </w:style>
  <w:style w:type="paragraph" w:styleId="1">
    <w:name w:val="heading 1"/>
    <w:basedOn w:val="a0"/>
    <w:next w:val="a0"/>
    <w:link w:val="1Char"/>
    <w:qFormat/>
    <w:rsid w:val="00B92624"/>
    <w:pPr>
      <w:keepNext/>
      <w:keepLines/>
      <w:numPr>
        <w:numId w:val="1"/>
      </w:numPr>
      <w:spacing w:beforeLines="100" w:afterLines="100" w:line="360" w:lineRule="auto"/>
      <w:jc w:val="center"/>
      <w:outlineLvl w:val="0"/>
    </w:pPr>
    <w:rPr>
      <w:rFonts w:eastAsia="楷体_GB2312"/>
      <w:b/>
      <w:kern w:val="44"/>
      <w:sz w:val="32"/>
      <w:szCs w:val="20"/>
    </w:rPr>
  </w:style>
  <w:style w:type="paragraph" w:styleId="20">
    <w:name w:val="heading 2"/>
    <w:basedOn w:val="a0"/>
    <w:next w:val="a1"/>
    <w:link w:val="2Char"/>
    <w:qFormat/>
    <w:rsid w:val="00B92624"/>
    <w:pPr>
      <w:keepNext/>
      <w:keepLines/>
      <w:numPr>
        <w:ilvl w:val="1"/>
        <w:numId w:val="1"/>
      </w:numPr>
      <w:tabs>
        <w:tab w:val="clear" w:pos="2434"/>
        <w:tab w:val="num" w:pos="456"/>
      </w:tabs>
      <w:spacing w:beforeLines="100" w:afterLines="100" w:line="360" w:lineRule="auto"/>
      <w:ind w:left="456"/>
      <w:outlineLvl w:val="1"/>
    </w:pPr>
    <w:rPr>
      <w:rFonts w:cs="Arial"/>
      <w:b/>
      <w:sz w:val="24"/>
      <w:szCs w:val="20"/>
    </w:rPr>
  </w:style>
  <w:style w:type="paragraph" w:styleId="3">
    <w:name w:val="heading 3"/>
    <w:aliases w:val="标题样式1"/>
    <w:basedOn w:val="a0"/>
    <w:next w:val="a1"/>
    <w:link w:val="3Char"/>
    <w:qFormat/>
    <w:rsid w:val="00B92624"/>
    <w:pPr>
      <w:keepNext/>
      <w:keepLines/>
      <w:numPr>
        <w:ilvl w:val="2"/>
        <w:numId w:val="1"/>
      </w:numPr>
      <w:spacing w:beforeLines="50" w:afterLines="50" w:line="360" w:lineRule="auto"/>
      <w:outlineLvl w:val="2"/>
    </w:pPr>
    <w:rPr>
      <w:rFonts w:cs="Arial"/>
      <w:b/>
      <w:sz w:val="24"/>
      <w:szCs w:val="20"/>
    </w:rPr>
  </w:style>
  <w:style w:type="paragraph" w:styleId="4">
    <w:name w:val="heading 4"/>
    <w:basedOn w:val="a0"/>
    <w:next w:val="a0"/>
    <w:link w:val="4Char"/>
    <w:qFormat/>
    <w:rsid w:val="00B92624"/>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
    <w:qFormat/>
    <w:rsid w:val="00B92624"/>
    <w:pPr>
      <w:keepNext/>
      <w:keepLines/>
      <w:numPr>
        <w:ilvl w:val="4"/>
        <w:numId w:val="1"/>
      </w:numPr>
      <w:spacing w:before="100" w:beforeAutospacing="1" w:after="100" w:afterAutospacing="1" w:line="360" w:lineRule="auto"/>
      <w:outlineLvl w:val="4"/>
    </w:pPr>
    <w:rPr>
      <w:rFonts w:cs="Arial"/>
      <w:b/>
      <w:sz w:val="24"/>
      <w:szCs w:val="20"/>
    </w:rPr>
  </w:style>
  <w:style w:type="paragraph" w:styleId="6">
    <w:name w:val="heading 6"/>
    <w:basedOn w:val="a0"/>
    <w:next w:val="a1"/>
    <w:link w:val="6Char"/>
    <w:qFormat/>
    <w:rsid w:val="00B92624"/>
    <w:pPr>
      <w:keepNext/>
      <w:keepLines/>
      <w:numPr>
        <w:ilvl w:val="5"/>
        <w:numId w:val="1"/>
      </w:numPr>
      <w:spacing w:before="100" w:beforeAutospacing="1" w:after="100" w:afterAutospacing="1" w:line="360" w:lineRule="auto"/>
      <w:outlineLvl w:val="5"/>
    </w:pPr>
    <w:rPr>
      <w:rFonts w:cs="Arial"/>
      <w:b/>
      <w:szCs w:val="20"/>
    </w:rPr>
  </w:style>
  <w:style w:type="paragraph" w:styleId="7">
    <w:name w:val="heading 7"/>
    <w:basedOn w:val="a0"/>
    <w:next w:val="a0"/>
    <w:link w:val="7Char"/>
    <w:qFormat/>
    <w:rsid w:val="00B92624"/>
    <w:pPr>
      <w:keepNext/>
      <w:keepLines/>
      <w:spacing w:before="240" w:after="64" w:line="320" w:lineRule="auto"/>
      <w:outlineLvl w:val="6"/>
    </w:pPr>
    <w:rPr>
      <w:b/>
      <w:sz w:val="24"/>
      <w:szCs w:val="20"/>
    </w:rPr>
  </w:style>
  <w:style w:type="paragraph" w:styleId="8">
    <w:name w:val="heading 8"/>
    <w:basedOn w:val="a0"/>
    <w:next w:val="a0"/>
    <w:link w:val="8Char"/>
    <w:qFormat/>
    <w:rsid w:val="00B92624"/>
    <w:pPr>
      <w:keepNext/>
      <w:keepLines/>
      <w:spacing w:before="240" w:after="64" w:line="320" w:lineRule="auto"/>
      <w:outlineLvl w:val="7"/>
    </w:pPr>
    <w:rPr>
      <w:rFonts w:ascii="Arial" w:eastAsia="黑体" w:hAnsi="Arial"/>
      <w:sz w:val="24"/>
      <w:szCs w:val="20"/>
    </w:rPr>
  </w:style>
  <w:style w:type="paragraph" w:styleId="9">
    <w:name w:val="heading 9"/>
    <w:basedOn w:val="a0"/>
    <w:next w:val="a0"/>
    <w:link w:val="9Char"/>
    <w:qFormat/>
    <w:rsid w:val="00B92624"/>
    <w:pPr>
      <w:keepNext/>
      <w:keepLines/>
      <w:spacing w:before="240" w:after="64" w:line="320"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0"/>
    <w:link w:val="Char"/>
    <w:uiPriority w:val="99"/>
    <w:unhideWhenUsed/>
    <w:rsid w:val="00B92624"/>
    <w:pPr>
      <w:spacing w:after="120"/>
    </w:pPr>
  </w:style>
  <w:style w:type="character" w:customStyle="1" w:styleId="Char">
    <w:name w:val="正文文本 Char"/>
    <w:basedOn w:val="a2"/>
    <w:link w:val="a5"/>
    <w:uiPriority w:val="99"/>
    <w:rsid w:val="00B92624"/>
    <w:rPr>
      <w:rFonts w:ascii="Times New Roman" w:eastAsia="宋体" w:hAnsi="Times New Roman" w:cs="Times New Roman"/>
      <w:szCs w:val="24"/>
    </w:rPr>
  </w:style>
  <w:style w:type="paragraph" w:styleId="a6">
    <w:name w:val="Body Text First Indent"/>
    <w:basedOn w:val="a5"/>
    <w:link w:val="Char0"/>
    <w:rsid w:val="00B92624"/>
    <w:pPr>
      <w:spacing w:line="300" w:lineRule="auto"/>
      <w:ind w:firstLine="425"/>
    </w:pPr>
    <w:rPr>
      <w:szCs w:val="20"/>
    </w:rPr>
  </w:style>
  <w:style w:type="character" w:customStyle="1" w:styleId="Char0">
    <w:name w:val="正文首行缩进 Char"/>
    <w:basedOn w:val="Char"/>
    <w:link w:val="a6"/>
    <w:rsid w:val="00B92624"/>
    <w:rPr>
      <w:rFonts w:ascii="Times New Roman" w:eastAsia="宋体" w:hAnsi="Times New Roman" w:cs="Times New Roman"/>
      <w:szCs w:val="20"/>
    </w:rPr>
  </w:style>
  <w:style w:type="paragraph" w:styleId="a7">
    <w:name w:val="Title"/>
    <w:basedOn w:val="a5"/>
    <w:next w:val="a5"/>
    <w:link w:val="Char1"/>
    <w:qFormat/>
    <w:rsid w:val="00B92624"/>
    <w:pPr>
      <w:tabs>
        <w:tab w:val="left" w:pos="-540"/>
        <w:tab w:val="num" w:pos="1182"/>
      </w:tabs>
      <w:snapToGrid w:val="0"/>
      <w:spacing w:before="240" w:after="60" w:line="360" w:lineRule="auto"/>
      <w:ind w:left="527" w:hanging="425"/>
      <w:jc w:val="center"/>
      <w:outlineLvl w:val="0"/>
    </w:pPr>
    <w:rPr>
      <w:b/>
      <w:bCs/>
      <w:sz w:val="36"/>
      <w:szCs w:val="20"/>
    </w:rPr>
  </w:style>
  <w:style w:type="character" w:customStyle="1" w:styleId="Char1">
    <w:name w:val="标题 Char"/>
    <w:basedOn w:val="a2"/>
    <w:link w:val="a7"/>
    <w:rsid w:val="00B92624"/>
    <w:rPr>
      <w:rFonts w:ascii="Times New Roman" w:eastAsia="宋体" w:hAnsi="Times New Roman" w:cs="Times New Roman"/>
      <w:b/>
      <w:bCs/>
      <w:sz w:val="36"/>
      <w:szCs w:val="20"/>
    </w:rPr>
  </w:style>
  <w:style w:type="paragraph" w:styleId="a8">
    <w:name w:val="List Paragraph"/>
    <w:basedOn w:val="a0"/>
    <w:qFormat/>
    <w:rsid w:val="00B92624"/>
    <w:pPr>
      <w:widowControl/>
      <w:ind w:firstLine="420"/>
    </w:pPr>
    <w:rPr>
      <w:rFonts w:ascii="Calibri" w:hAnsi="Calibri" w:cs="宋体"/>
      <w:kern w:val="0"/>
      <w:sz w:val="24"/>
    </w:rPr>
  </w:style>
  <w:style w:type="character" w:customStyle="1" w:styleId="1Char">
    <w:name w:val="标题 1 Char"/>
    <w:basedOn w:val="a2"/>
    <w:link w:val="1"/>
    <w:rsid w:val="00B92624"/>
    <w:rPr>
      <w:rFonts w:ascii="Times New Roman" w:eastAsia="楷体_GB2312" w:hAnsi="Times New Roman" w:cs="Times New Roman"/>
      <w:b/>
      <w:kern w:val="44"/>
      <w:sz w:val="32"/>
      <w:szCs w:val="20"/>
    </w:rPr>
  </w:style>
  <w:style w:type="character" w:customStyle="1" w:styleId="2Char">
    <w:name w:val="标题 2 Char"/>
    <w:basedOn w:val="a2"/>
    <w:link w:val="20"/>
    <w:rsid w:val="00B92624"/>
    <w:rPr>
      <w:rFonts w:ascii="Times New Roman" w:eastAsia="宋体" w:hAnsi="Times New Roman" w:cs="Arial"/>
      <w:b/>
      <w:sz w:val="24"/>
      <w:szCs w:val="20"/>
    </w:rPr>
  </w:style>
  <w:style w:type="character" w:customStyle="1" w:styleId="3Char">
    <w:name w:val="标题 3 Char"/>
    <w:aliases w:val="标题样式1 Char"/>
    <w:basedOn w:val="a2"/>
    <w:link w:val="3"/>
    <w:rsid w:val="00B92624"/>
    <w:rPr>
      <w:rFonts w:ascii="Times New Roman" w:eastAsia="宋体" w:hAnsi="Times New Roman" w:cs="Arial"/>
      <w:b/>
      <w:sz w:val="24"/>
      <w:szCs w:val="20"/>
    </w:rPr>
  </w:style>
  <w:style w:type="character" w:customStyle="1" w:styleId="4Char">
    <w:name w:val="标题 4 Char"/>
    <w:basedOn w:val="a2"/>
    <w:link w:val="4"/>
    <w:rsid w:val="00B92624"/>
    <w:rPr>
      <w:rFonts w:ascii="Arial" w:eastAsia="黑体" w:hAnsi="Arial" w:cs="Times New Roman"/>
      <w:b/>
      <w:bCs/>
      <w:sz w:val="28"/>
      <w:szCs w:val="28"/>
    </w:rPr>
  </w:style>
  <w:style w:type="character" w:customStyle="1" w:styleId="5Char">
    <w:name w:val="标题 5 Char"/>
    <w:basedOn w:val="a2"/>
    <w:link w:val="5"/>
    <w:rsid w:val="00B92624"/>
    <w:rPr>
      <w:rFonts w:ascii="Times New Roman" w:eastAsia="宋体" w:hAnsi="Times New Roman" w:cs="Arial"/>
      <w:b/>
      <w:sz w:val="24"/>
      <w:szCs w:val="20"/>
    </w:rPr>
  </w:style>
  <w:style w:type="character" w:customStyle="1" w:styleId="6Char">
    <w:name w:val="标题 6 Char"/>
    <w:basedOn w:val="a2"/>
    <w:link w:val="6"/>
    <w:rsid w:val="00B92624"/>
    <w:rPr>
      <w:rFonts w:ascii="Times New Roman" w:eastAsia="宋体" w:hAnsi="Times New Roman" w:cs="Arial"/>
      <w:b/>
      <w:szCs w:val="20"/>
    </w:rPr>
  </w:style>
  <w:style w:type="character" w:customStyle="1" w:styleId="7Char">
    <w:name w:val="标题 7 Char"/>
    <w:basedOn w:val="a2"/>
    <w:link w:val="7"/>
    <w:rsid w:val="00B92624"/>
    <w:rPr>
      <w:rFonts w:ascii="Times New Roman" w:eastAsia="宋体" w:hAnsi="Times New Roman" w:cs="Times New Roman"/>
      <w:b/>
      <w:sz w:val="24"/>
      <w:szCs w:val="20"/>
    </w:rPr>
  </w:style>
  <w:style w:type="character" w:customStyle="1" w:styleId="8Char">
    <w:name w:val="标题 8 Char"/>
    <w:basedOn w:val="a2"/>
    <w:link w:val="8"/>
    <w:rsid w:val="00B92624"/>
    <w:rPr>
      <w:rFonts w:ascii="Arial" w:eastAsia="黑体" w:hAnsi="Arial" w:cs="Times New Roman"/>
      <w:sz w:val="24"/>
      <w:szCs w:val="20"/>
    </w:rPr>
  </w:style>
  <w:style w:type="character" w:customStyle="1" w:styleId="9Char">
    <w:name w:val="标题 9 Char"/>
    <w:basedOn w:val="a2"/>
    <w:link w:val="9"/>
    <w:rsid w:val="00B92624"/>
    <w:rPr>
      <w:rFonts w:ascii="Arial" w:eastAsia="黑体" w:hAnsi="Arial" w:cs="Times New Roman"/>
      <w:szCs w:val="20"/>
    </w:rPr>
  </w:style>
  <w:style w:type="paragraph" w:styleId="a1">
    <w:name w:val="Normal Indent"/>
    <w:aliases w:val="特点,表正文,正文非缩进,段1,正文缩进1,ALT+Z"/>
    <w:basedOn w:val="a0"/>
    <w:rsid w:val="00B92624"/>
    <w:pPr>
      <w:ind w:firstLineChars="200" w:firstLine="420"/>
    </w:pPr>
  </w:style>
  <w:style w:type="paragraph" w:customStyle="1" w:styleId="xl22">
    <w:name w:val="xl22"/>
    <w:basedOn w:val="a0"/>
    <w:rsid w:val="00B92624"/>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a9">
    <w:name w:val="表格正文"/>
    <w:basedOn w:val="a1"/>
    <w:rsid w:val="00B92624"/>
    <w:pPr>
      <w:spacing w:beforeLines="50"/>
      <w:ind w:firstLineChars="0" w:firstLine="0"/>
      <w:jc w:val="center"/>
    </w:pPr>
    <w:rPr>
      <w:sz w:val="24"/>
      <w:szCs w:val="20"/>
    </w:rPr>
  </w:style>
  <w:style w:type="paragraph" w:styleId="aa">
    <w:name w:val="Balloon Text"/>
    <w:basedOn w:val="a0"/>
    <w:link w:val="Char2"/>
    <w:rsid w:val="00B92624"/>
    <w:rPr>
      <w:sz w:val="18"/>
      <w:szCs w:val="18"/>
    </w:rPr>
  </w:style>
  <w:style w:type="character" w:customStyle="1" w:styleId="Char2">
    <w:name w:val="批注框文本 Char"/>
    <w:basedOn w:val="a2"/>
    <w:link w:val="aa"/>
    <w:rsid w:val="00B92624"/>
    <w:rPr>
      <w:rFonts w:ascii="Times New Roman" w:eastAsia="宋体" w:hAnsi="Times New Roman" w:cs="Times New Roman"/>
      <w:sz w:val="18"/>
      <w:szCs w:val="18"/>
    </w:rPr>
  </w:style>
  <w:style w:type="paragraph" w:styleId="10">
    <w:name w:val="toc 1"/>
    <w:basedOn w:val="a0"/>
    <w:next w:val="a0"/>
    <w:autoRedefine/>
    <w:uiPriority w:val="39"/>
    <w:rsid w:val="00B92624"/>
    <w:pPr>
      <w:tabs>
        <w:tab w:val="right" w:leader="dot" w:pos="8450"/>
      </w:tabs>
      <w:spacing w:afterLines="50"/>
    </w:pPr>
    <w:rPr>
      <w:rFonts w:ascii="黑体" w:eastAsia="黑体" w:hAnsi="宋体"/>
      <w:noProof/>
      <w:sz w:val="24"/>
    </w:rPr>
  </w:style>
  <w:style w:type="paragraph" w:styleId="22">
    <w:name w:val="toc 2"/>
    <w:basedOn w:val="a0"/>
    <w:next w:val="a0"/>
    <w:autoRedefine/>
    <w:rsid w:val="00B92624"/>
    <w:pPr>
      <w:ind w:leftChars="200" w:left="420"/>
    </w:pPr>
  </w:style>
  <w:style w:type="character" w:styleId="ab">
    <w:name w:val="Hyperlink"/>
    <w:basedOn w:val="a2"/>
    <w:uiPriority w:val="99"/>
    <w:rsid w:val="00B92624"/>
    <w:rPr>
      <w:color w:val="0000FF"/>
      <w:u w:val="single"/>
    </w:rPr>
  </w:style>
  <w:style w:type="paragraph" w:styleId="ac">
    <w:name w:val="footer"/>
    <w:basedOn w:val="a0"/>
    <w:link w:val="Char3"/>
    <w:rsid w:val="00B92624"/>
    <w:pPr>
      <w:tabs>
        <w:tab w:val="center" w:pos="4153"/>
        <w:tab w:val="right" w:pos="8306"/>
      </w:tabs>
      <w:snapToGrid w:val="0"/>
      <w:jc w:val="left"/>
    </w:pPr>
    <w:rPr>
      <w:sz w:val="18"/>
      <w:szCs w:val="18"/>
    </w:rPr>
  </w:style>
  <w:style w:type="character" w:customStyle="1" w:styleId="Char3">
    <w:name w:val="页脚 Char"/>
    <w:basedOn w:val="a2"/>
    <w:link w:val="ac"/>
    <w:rsid w:val="00B92624"/>
    <w:rPr>
      <w:rFonts w:ascii="Times New Roman" w:eastAsia="宋体" w:hAnsi="Times New Roman" w:cs="Times New Roman"/>
      <w:sz w:val="18"/>
      <w:szCs w:val="18"/>
    </w:rPr>
  </w:style>
  <w:style w:type="character" w:styleId="ad">
    <w:name w:val="page number"/>
    <w:basedOn w:val="a2"/>
    <w:rsid w:val="00B92624"/>
  </w:style>
  <w:style w:type="paragraph" w:styleId="ae">
    <w:name w:val="Plain Text"/>
    <w:basedOn w:val="a0"/>
    <w:link w:val="Char4"/>
    <w:rsid w:val="00B92624"/>
    <w:pPr>
      <w:widowControl/>
      <w:jc w:val="left"/>
    </w:pPr>
    <w:rPr>
      <w:rFonts w:ascii="Courier New" w:hAnsi="Courier New" w:cs="Courier New"/>
      <w:kern w:val="0"/>
      <w:sz w:val="20"/>
      <w:szCs w:val="20"/>
    </w:rPr>
  </w:style>
  <w:style w:type="character" w:customStyle="1" w:styleId="Char4">
    <w:name w:val="纯文本 Char"/>
    <w:basedOn w:val="a2"/>
    <w:link w:val="ae"/>
    <w:rsid w:val="00B92624"/>
    <w:rPr>
      <w:rFonts w:ascii="Courier New" w:eastAsia="宋体" w:hAnsi="Courier New" w:cs="Courier New"/>
      <w:kern w:val="0"/>
      <w:sz w:val="20"/>
      <w:szCs w:val="20"/>
    </w:rPr>
  </w:style>
  <w:style w:type="paragraph" w:styleId="af">
    <w:name w:val="header"/>
    <w:basedOn w:val="a0"/>
    <w:link w:val="Char5"/>
    <w:rsid w:val="00B9262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2"/>
    <w:link w:val="af"/>
    <w:rsid w:val="00B92624"/>
    <w:rPr>
      <w:rFonts w:ascii="Times New Roman" w:eastAsia="宋体" w:hAnsi="Times New Roman" w:cs="Times New Roman"/>
      <w:sz w:val="18"/>
      <w:szCs w:val="18"/>
    </w:rPr>
  </w:style>
  <w:style w:type="paragraph" w:styleId="af0">
    <w:name w:val="Body Text Indent"/>
    <w:basedOn w:val="a0"/>
    <w:link w:val="Char6"/>
    <w:rsid w:val="00B92624"/>
    <w:pPr>
      <w:widowControl/>
      <w:spacing w:line="360" w:lineRule="auto"/>
      <w:ind w:rightChars="-85" w:right="-178" w:firstLineChars="150" w:firstLine="360"/>
      <w:jc w:val="left"/>
    </w:pPr>
    <w:rPr>
      <w:rFonts w:ascii="宋体" w:hAnsi="宋体"/>
      <w:sz w:val="24"/>
    </w:rPr>
  </w:style>
  <w:style w:type="character" w:customStyle="1" w:styleId="Char6">
    <w:name w:val="正文文本缩进 Char"/>
    <w:basedOn w:val="a2"/>
    <w:link w:val="af0"/>
    <w:rsid w:val="00B92624"/>
    <w:rPr>
      <w:rFonts w:ascii="宋体" w:eastAsia="宋体" w:hAnsi="宋体" w:cs="Times New Roman"/>
      <w:sz w:val="24"/>
      <w:szCs w:val="24"/>
    </w:rPr>
  </w:style>
  <w:style w:type="paragraph" w:styleId="23">
    <w:name w:val="Body Text Indent 2"/>
    <w:basedOn w:val="a0"/>
    <w:link w:val="2Char0"/>
    <w:rsid w:val="00B92624"/>
    <w:pPr>
      <w:widowControl/>
      <w:spacing w:before="100" w:beforeAutospacing="1" w:after="100" w:afterAutospacing="1"/>
      <w:ind w:rightChars="-85" w:right="-178" w:firstLine="480"/>
      <w:outlineLvl w:val="0"/>
    </w:pPr>
    <w:rPr>
      <w:rFonts w:ascii="宋体" w:hAnsi="宋体"/>
      <w:color w:val="000000"/>
      <w:sz w:val="24"/>
    </w:rPr>
  </w:style>
  <w:style w:type="character" w:customStyle="1" w:styleId="2Char0">
    <w:name w:val="正文文本缩进 2 Char"/>
    <w:basedOn w:val="a2"/>
    <w:link w:val="23"/>
    <w:rsid w:val="00B92624"/>
    <w:rPr>
      <w:rFonts w:ascii="宋体" w:eastAsia="宋体" w:hAnsi="宋体" w:cs="Times New Roman"/>
      <w:color w:val="000000"/>
      <w:sz w:val="24"/>
      <w:szCs w:val="24"/>
    </w:rPr>
  </w:style>
  <w:style w:type="paragraph" w:customStyle="1" w:styleId="a">
    <w:name w:val="项目"/>
    <w:basedOn w:val="4"/>
    <w:rsid w:val="00B92624"/>
    <w:pPr>
      <w:numPr>
        <w:ilvl w:val="3"/>
        <w:numId w:val="2"/>
      </w:numPr>
      <w:snapToGrid w:val="0"/>
      <w:spacing w:before="120" w:after="120" w:line="360" w:lineRule="auto"/>
    </w:pPr>
    <w:rPr>
      <w:rFonts w:ascii="Times New Roman" w:eastAsia="楷体_GB2312" w:hAnsi="Times New Roman"/>
      <w:b w:val="0"/>
      <w:sz w:val="24"/>
      <w:szCs w:val="20"/>
    </w:rPr>
  </w:style>
  <w:style w:type="paragraph" w:customStyle="1" w:styleId="af1">
    <w:name w:val="报告署名"/>
    <w:basedOn w:val="a0"/>
    <w:next w:val="a0"/>
    <w:autoRedefine/>
    <w:rsid w:val="00B92624"/>
    <w:pPr>
      <w:spacing w:line="360" w:lineRule="auto"/>
      <w:jc w:val="center"/>
    </w:pPr>
    <w:rPr>
      <w:rFonts w:ascii="宋体" w:hAnsi="宋体"/>
      <w:sz w:val="24"/>
      <w:szCs w:val="20"/>
    </w:rPr>
  </w:style>
  <w:style w:type="character" w:customStyle="1" w:styleId="big1">
    <w:name w:val="big1"/>
    <w:basedOn w:val="a2"/>
    <w:rsid w:val="00B92624"/>
    <w:rPr>
      <w:spacing w:val="360"/>
      <w:sz w:val="22"/>
      <w:szCs w:val="22"/>
    </w:rPr>
  </w:style>
  <w:style w:type="paragraph" w:customStyle="1" w:styleId="21">
    <w:name w:val="列表2"/>
    <w:basedOn w:val="a0"/>
    <w:next w:val="a7"/>
    <w:rsid w:val="00B92624"/>
    <w:pPr>
      <w:numPr>
        <w:numId w:val="3"/>
      </w:numPr>
      <w:tabs>
        <w:tab w:val="clear" w:pos="360"/>
        <w:tab w:val="num" w:pos="1125"/>
      </w:tabs>
      <w:spacing w:line="360" w:lineRule="auto"/>
      <w:ind w:left="1125" w:hanging="1125"/>
    </w:pPr>
    <w:rPr>
      <w:rFonts w:ascii="宋体"/>
      <w:szCs w:val="20"/>
    </w:rPr>
  </w:style>
  <w:style w:type="paragraph" w:styleId="af2">
    <w:name w:val="Normal (Web)"/>
    <w:basedOn w:val="a0"/>
    <w:rsid w:val="00B92624"/>
    <w:pPr>
      <w:widowControl/>
      <w:tabs>
        <w:tab w:val="num" w:pos="360"/>
      </w:tabs>
      <w:spacing w:before="100" w:beforeAutospacing="1" w:after="100" w:afterAutospacing="1"/>
      <w:jc w:val="left"/>
    </w:pPr>
    <w:rPr>
      <w:rFonts w:ascii="Arial Unicode MS" w:eastAsia="Arial Unicode MS" w:hAnsi="Arial Unicode MS" w:cs="Arial Unicode MS"/>
      <w:kern w:val="0"/>
      <w:sz w:val="24"/>
    </w:rPr>
  </w:style>
  <w:style w:type="character" w:customStyle="1" w:styleId="ten51">
    <w:name w:val="ten51"/>
    <w:basedOn w:val="a2"/>
    <w:rsid w:val="00B92624"/>
    <w:rPr>
      <w:sz w:val="21"/>
      <w:szCs w:val="21"/>
    </w:rPr>
  </w:style>
  <w:style w:type="character" w:styleId="af3">
    <w:name w:val="FollowedHyperlink"/>
    <w:basedOn w:val="a2"/>
    <w:uiPriority w:val="99"/>
    <w:rsid w:val="00B92624"/>
    <w:rPr>
      <w:color w:val="800080"/>
      <w:u w:val="single"/>
    </w:rPr>
  </w:style>
  <w:style w:type="paragraph" w:customStyle="1" w:styleId="2">
    <w:name w:val="编号正文2"/>
    <w:basedOn w:val="a0"/>
    <w:rsid w:val="00B92624"/>
    <w:pPr>
      <w:numPr>
        <w:numId w:val="4"/>
      </w:numPr>
      <w:autoSpaceDE w:val="0"/>
      <w:autoSpaceDN w:val="0"/>
      <w:adjustRightInd w:val="0"/>
      <w:spacing w:after="120" w:line="300" w:lineRule="auto"/>
      <w:textAlignment w:val="baseline"/>
    </w:pPr>
    <w:rPr>
      <w:rFonts w:ascii="宋体"/>
      <w:kern w:val="0"/>
      <w:szCs w:val="20"/>
    </w:rPr>
  </w:style>
  <w:style w:type="character" w:customStyle="1" w:styleId="read">
    <w:name w:val="read"/>
    <w:basedOn w:val="a2"/>
    <w:rsid w:val="00B92624"/>
  </w:style>
  <w:style w:type="paragraph" w:styleId="30">
    <w:name w:val="Body Text Indent 3"/>
    <w:basedOn w:val="a0"/>
    <w:link w:val="3Char0"/>
    <w:rsid w:val="00B92624"/>
    <w:pPr>
      <w:spacing w:after="120"/>
      <w:ind w:leftChars="200" w:left="420"/>
    </w:pPr>
    <w:rPr>
      <w:sz w:val="16"/>
      <w:szCs w:val="16"/>
    </w:rPr>
  </w:style>
  <w:style w:type="character" w:customStyle="1" w:styleId="3Char0">
    <w:name w:val="正文文本缩进 3 Char"/>
    <w:basedOn w:val="a2"/>
    <w:link w:val="30"/>
    <w:rsid w:val="00B92624"/>
    <w:rPr>
      <w:rFonts w:ascii="Times New Roman" w:eastAsia="宋体" w:hAnsi="Times New Roman" w:cs="Times New Roman"/>
      <w:sz w:val="16"/>
      <w:szCs w:val="16"/>
    </w:rPr>
  </w:style>
  <w:style w:type="paragraph" w:customStyle="1" w:styleId="CharCharCharCharCharCharChar">
    <w:name w:val="Char Char Char Char Char Char Char"/>
    <w:basedOn w:val="a0"/>
    <w:rsid w:val="00B92624"/>
  </w:style>
  <w:style w:type="paragraph" w:customStyle="1" w:styleId="CharChar">
    <w:name w:val="Char Char"/>
    <w:basedOn w:val="a0"/>
    <w:autoRedefine/>
    <w:rsid w:val="00B92624"/>
    <w:pPr>
      <w:tabs>
        <w:tab w:val="num" w:pos="840"/>
      </w:tabs>
      <w:ind w:left="840" w:hanging="360"/>
    </w:pPr>
    <w:rPr>
      <w:sz w:val="24"/>
    </w:rPr>
  </w:style>
  <w:style w:type="paragraph" w:customStyle="1" w:styleId="Char7">
    <w:name w:val="Char"/>
    <w:basedOn w:val="a0"/>
    <w:rsid w:val="00B92624"/>
  </w:style>
  <w:style w:type="table" w:styleId="af4">
    <w:name w:val="Table Grid"/>
    <w:basedOn w:val="a3"/>
    <w:rsid w:val="00B92624"/>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65">
    <w:name w:val="EmailStyle65"/>
    <w:basedOn w:val="a2"/>
    <w:semiHidden/>
    <w:rsid w:val="00B92624"/>
    <w:rPr>
      <w:rFonts w:ascii="宋体" w:eastAsia="宋体"/>
      <w:b w:val="0"/>
      <w:bCs w:val="0"/>
      <w:i w:val="0"/>
      <w:iCs w:val="0"/>
      <w:strike w:val="0"/>
      <w:color w:val="0000FF"/>
      <w:sz w:val="21"/>
      <w:szCs w:val="21"/>
      <w:u w:val="none"/>
    </w:rPr>
  </w:style>
  <w:style w:type="paragraph" w:styleId="af5">
    <w:name w:val="Date"/>
    <w:basedOn w:val="a0"/>
    <w:next w:val="a0"/>
    <w:link w:val="Char8"/>
    <w:rsid w:val="00B92624"/>
    <w:pPr>
      <w:ind w:leftChars="2500" w:left="100"/>
    </w:pPr>
  </w:style>
  <w:style w:type="character" w:customStyle="1" w:styleId="Char8">
    <w:name w:val="日期 Char"/>
    <w:basedOn w:val="a2"/>
    <w:link w:val="af5"/>
    <w:rsid w:val="00B92624"/>
    <w:rPr>
      <w:rFonts w:ascii="Times New Roman" w:eastAsia="宋体" w:hAnsi="Times New Roman" w:cs="Times New Roman"/>
      <w:szCs w:val="24"/>
    </w:rPr>
  </w:style>
  <w:style w:type="paragraph" w:customStyle="1" w:styleId="ParaCharCharCharCharCharChar">
    <w:name w:val="默认段落字体 Para Char Char Char Char Char Char"/>
    <w:basedOn w:val="a0"/>
    <w:autoRedefine/>
    <w:rsid w:val="00B92624"/>
    <w:pPr>
      <w:tabs>
        <w:tab w:val="num" w:pos="840"/>
      </w:tabs>
      <w:ind w:left="840" w:hanging="360"/>
    </w:pPr>
    <w:rPr>
      <w:sz w:val="24"/>
    </w:rPr>
  </w:style>
  <w:style w:type="paragraph" w:customStyle="1" w:styleId="CharCharCharCharCharCharCharCharChar1CharCharCharChar">
    <w:name w:val="Char Char Char Char Char Char Char Char Char1 Char Char Char Char"/>
    <w:basedOn w:val="a0"/>
    <w:autoRedefine/>
    <w:rsid w:val="00B92624"/>
    <w:pPr>
      <w:tabs>
        <w:tab w:val="num" w:pos="840"/>
      </w:tabs>
      <w:ind w:left="840" w:hanging="360"/>
    </w:pPr>
    <w:rPr>
      <w:sz w:val="24"/>
    </w:rPr>
  </w:style>
  <w:style w:type="paragraph" w:customStyle="1" w:styleId="1Char0">
    <w:name w:val="1 Char"/>
    <w:basedOn w:val="a0"/>
    <w:autoRedefine/>
    <w:semiHidden/>
    <w:rsid w:val="00B92624"/>
    <w:pPr>
      <w:tabs>
        <w:tab w:val="num" w:pos="360"/>
      </w:tabs>
    </w:pPr>
    <w:rPr>
      <w:sz w:val="24"/>
    </w:rPr>
  </w:style>
  <w:style w:type="character" w:styleId="af6">
    <w:name w:val="annotation reference"/>
    <w:basedOn w:val="a2"/>
    <w:rsid w:val="00B92624"/>
    <w:rPr>
      <w:sz w:val="21"/>
      <w:szCs w:val="21"/>
    </w:rPr>
  </w:style>
  <w:style w:type="paragraph" w:styleId="af7">
    <w:name w:val="annotation text"/>
    <w:basedOn w:val="a0"/>
    <w:link w:val="Char9"/>
    <w:rsid w:val="00B92624"/>
    <w:pPr>
      <w:jc w:val="left"/>
    </w:pPr>
  </w:style>
  <w:style w:type="character" w:customStyle="1" w:styleId="Char9">
    <w:name w:val="批注文字 Char"/>
    <w:basedOn w:val="a2"/>
    <w:link w:val="af7"/>
    <w:rsid w:val="00B92624"/>
    <w:rPr>
      <w:rFonts w:ascii="Times New Roman" w:eastAsia="宋体" w:hAnsi="Times New Roman" w:cs="Times New Roman"/>
      <w:szCs w:val="24"/>
    </w:rPr>
  </w:style>
  <w:style w:type="paragraph" w:styleId="af8">
    <w:name w:val="annotation subject"/>
    <w:basedOn w:val="af7"/>
    <w:next w:val="af7"/>
    <w:link w:val="Chara"/>
    <w:rsid w:val="00B92624"/>
    <w:rPr>
      <w:b/>
      <w:bCs/>
    </w:rPr>
  </w:style>
  <w:style w:type="character" w:customStyle="1" w:styleId="Chara">
    <w:name w:val="批注主题 Char"/>
    <w:basedOn w:val="Char9"/>
    <w:link w:val="af8"/>
    <w:rsid w:val="00B92624"/>
    <w:rPr>
      <w:rFonts w:ascii="Times New Roman" w:eastAsia="宋体" w:hAnsi="Times New Roman" w:cs="Times New Roman"/>
      <w:b/>
      <w:bCs/>
      <w:szCs w:val="24"/>
    </w:rPr>
  </w:style>
  <w:style w:type="paragraph" w:customStyle="1" w:styleId="CharCharChar">
    <w:name w:val="Char Char Char"/>
    <w:basedOn w:val="a0"/>
    <w:rsid w:val="00B92624"/>
  </w:style>
  <w:style w:type="paragraph" w:customStyle="1" w:styleId="Char10">
    <w:name w:val="Char1"/>
    <w:basedOn w:val="a0"/>
    <w:rsid w:val="00B92624"/>
  </w:style>
  <w:style w:type="paragraph" w:customStyle="1" w:styleId="Default">
    <w:name w:val="Default"/>
    <w:rsid w:val="00B92624"/>
    <w:pPr>
      <w:widowControl w:val="0"/>
      <w:autoSpaceDE w:val="0"/>
      <w:autoSpaceDN w:val="0"/>
      <w:adjustRightInd w:val="0"/>
    </w:pPr>
    <w:rPr>
      <w:rFonts w:ascii="宋体" w:hAnsi="Times New Roman" w:cs="宋体"/>
      <w:color w:val="000000"/>
      <w:sz w:val="24"/>
      <w:szCs w:val="24"/>
    </w:rPr>
  </w:style>
  <w:style w:type="paragraph" w:styleId="31">
    <w:name w:val="Body Text 3"/>
    <w:basedOn w:val="a0"/>
    <w:link w:val="3Char1"/>
    <w:rsid w:val="00B92624"/>
    <w:pPr>
      <w:spacing w:line="360" w:lineRule="auto"/>
    </w:pPr>
    <w:rPr>
      <w:rFonts w:ascii="仿宋_GB2312" w:eastAsia="仿宋_GB2312" w:hAnsi="Arial"/>
    </w:rPr>
  </w:style>
  <w:style w:type="character" w:customStyle="1" w:styleId="3Char1">
    <w:name w:val="正文文本 3 Char"/>
    <w:basedOn w:val="a2"/>
    <w:link w:val="31"/>
    <w:rsid w:val="00B92624"/>
    <w:rPr>
      <w:rFonts w:ascii="仿宋_GB2312" w:eastAsia="仿宋_GB2312" w:hAnsi="Arial" w:cs="Times New Roman"/>
      <w:szCs w:val="24"/>
    </w:r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0"/>
    <w:rsid w:val="00B92624"/>
  </w:style>
  <w:style w:type="paragraph" w:customStyle="1" w:styleId="CharCharCharChar1CharCharChar">
    <w:name w:val="Char Char Char Char1 Char Char Char"/>
    <w:basedOn w:val="a0"/>
    <w:rsid w:val="00B92624"/>
  </w:style>
  <w:style w:type="paragraph" w:customStyle="1" w:styleId="ParaChar">
    <w:name w:val="默认段落字体 Para Char"/>
    <w:basedOn w:val="a0"/>
    <w:autoRedefine/>
    <w:rsid w:val="00B92624"/>
    <w:pPr>
      <w:tabs>
        <w:tab w:val="num" w:pos="840"/>
      </w:tabs>
      <w:ind w:left="840" w:hanging="420"/>
    </w:pPr>
    <w:rPr>
      <w:sz w:val="24"/>
    </w:rPr>
  </w:style>
  <w:style w:type="paragraph" w:styleId="af9">
    <w:name w:val="Revision"/>
    <w:hidden/>
    <w:rsid w:val="00B92624"/>
    <w:rPr>
      <w:rFonts w:ascii="Times New Roman" w:hAnsi="Times New Roman"/>
      <w:kern w:val="2"/>
      <w:sz w:val="21"/>
      <w:szCs w:val="24"/>
    </w:rPr>
  </w:style>
  <w:style w:type="character" w:customStyle="1" w:styleId="unnamed11">
    <w:name w:val="unnamed11"/>
    <w:basedOn w:val="a2"/>
    <w:rsid w:val="00B92624"/>
    <w:rPr>
      <w:rFonts w:ascii="宋体" w:eastAsia="宋体" w:hAnsi="宋体" w:hint="eastAsia"/>
      <w:sz w:val="18"/>
      <w:szCs w:val="18"/>
    </w:rPr>
  </w:style>
  <w:style w:type="paragraph" w:customStyle="1" w:styleId="CharCharCharCharCharCharChar0">
    <w:name w:val="Char Char Char Char Char Char Char"/>
    <w:basedOn w:val="a0"/>
    <w:rsid w:val="00B92624"/>
  </w:style>
  <w:style w:type="paragraph" w:customStyle="1" w:styleId="Charb">
    <w:name w:val="Char"/>
    <w:basedOn w:val="a0"/>
    <w:rsid w:val="00B92624"/>
  </w:style>
  <w:style w:type="paragraph" w:customStyle="1" w:styleId="CharChar0">
    <w:name w:val="Char Char"/>
    <w:basedOn w:val="a0"/>
    <w:autoRedefine/>
    <w:rsid w:val="00B92624"/>
    <w:pPr>
      <w:tabs>
        <w:tab w:val="num" w:pos="840"/>
      </w:tabs>
      <w:ind w:left="840" w:hanging="360"/>
    </w:pPr>
    <w:rPr>
      <w:sz w:val="24"/>
    </w:rPr>
  </w:style>
  <w:style w:type="character" w:styleId="afa">
    <w:name w:val="Strong"/>
    <w:basedOn w:val="a2"/>
    <w:qFormat/>
    <w:rsid w:val="00B92624"/>
    <w:rPr>
      <w:b/>
      <w:bCs/>
    </w:rPr>
  </w:style>
  <w:style w:type="character" w:customStyle="1" w:styleId="txtcontent11">
    <w:name w:val="txtcontent11"/>
    <w:basedOn w:val="a2"/>
    <w:rsid w:val="00B92624"/>
    <w:rPr>
      <w:rFonts w:ascii="ˎ̥" w:hAnsi="ˎ̥" w:hint="default"/>
      <w:b w:val="0"/>
      <w:bCs w:val="0"/>
      <w:color w:val="000000"/>
      <w:sz w:val="21"/>
      <w:szCs w:val="21"/>
    </w:rPr>
  </w:style>
  <w:style w:type="paragraph" w:customStyle="1" w:styleId="ParaCharCharCharCharCharCharChar">
    <w:name w:val="默认段落字体 Para Char Char Char Char Char Char Char"/>
    <w:basedOn w:val="a0"/>
    <w:rsid w:val="00B92624"/>
    <w:pPr>
      <w:widowControl/>
      <w:jc w:val="left"/>
    </w:pPr>
    <w:rPr>
      <w:rFonts w:ascii="Tahoma" w:hAnsi="Tahoma"/>
      <w:color w:val="000000"/>
      <w:kern w:val="0"/>
      <w:sz w:val="24"/>
      <w:szCs w:val="20"/>
    </w:rPr>
  </w:style>
  <w:style w:type="paragraph" w:customStyle="1" w:styleId="CharCharChar1">
    <w:name w:val="Char Char Char1"/>
    <w:basedOn w:val="a0"/>
    <w:rsid w:val="00B92624"/>
    <w:rPr>
      <w:szCs w:val="20"/>
    </w:rPr>
  </w:style>
  <w:style w:type="paragraph" w:customStyle="1" w:styleId="11">
    <w:name w:val="1"/>
    <w:basedOn w:val="a0"/>
    <w:next w:val="30"/>
    <w:rsid w:val="00B92624"/>
    <w:pPr>
      <w:adjustRightInd w:val="0"/>
      <w:snapToGrid w:val="0"/>
      <w:ind w:firstLineChars="200" w:firstLine="480"/>
    </w:pPr>
    <w:rPr>
      <w:rFonts w:ascii="仿宋_GB2312" w:eastAsia="仿宋_GB2312" w:hAnsi="宋体"/>
      <w:color w:val="000000"/>
      <w:sz w:val="24"/>
      <w:szCs w:val="20"/>
    </w:rPr>
  </w:style>
  <w:style w:type="character" w:customStyle="1" w:styleId="heigh1801">
    <w:name w:val="heigh1801"/>
    <w:basedOn w:val="a2"/>
    <w:rsid w:val="00B92624"/>
  </w:style>
  <w:style w:type="paragraph" w:customStyle="1" w:styleId="Char11">
    <w:name w:val="Char1"/>
    <w:basedOn w:val="a0"/>
    <w:rsid w:val="00B92624"/>
  </w:style>
  <w:style w:type="paragraph" w:customStyle="1" w:styleId="CharCharChar0">
    <w:name w:val="Char Char Char"/>
    <w:basedOn w:val="a0"/>
    <w:rsid w:val="00B92624"/>
  </w:style>
  <w:style w:type="paragraph" w:customStyle="1" w:styleId="CharCharCharChar1CharCharChar0">
    <w:name w:val="Char Char Char Char1 Char Char Char"/>
    <w:basedOn w:val="a0"/>
    <w:rsid w:val="00B92624"/>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0"/>
    <w:rsid w:val="00B92624"/>
  </w:style>
  <w:style w:type="character" w:customStyle="1" w:styleId="Charc">
    <w:name w:val="文档结构图 Char"/>
    <w:basedOn w:val="a2"/>
    <w:link w:val="afb"/>
    <w:rsid w:val="00B92624"/>
    <w:rPr>
      <w:szCs w:val="24"/>
      <w:shd w:val="clear" w:color="auto" w:fill="000080"/>
    </w:rPr>
  </w:style>
  <w:style w:type="paragraph" w:styleId="afb">
    <w:name w:val="Document Map"/>
    <w:basedOn w:val="a0"/>
    <w:link w:val="Charc"/>
    <w:unhideWhenUsed/>
    <w:rsid w:val="00B92624"/>
    <w:pPr>
      <w:shd w:val="clear" w:color="auto" w:fill="000080"/>
      <w:tabs>
        <w:tab w:val="left" w:pos="420"/>
      </w:tabs>
    </w:pPr>
    <w:rPr>
      <w:rFonts w:ascii="Calibri" w:hAnsi="Calibri"/>
    </w:rPr>
  </w:style>
  <w:style w:type="character" w:customStyle="1" w:styleId="Char12">
    <w:name w:val="文档结构图 Char1"/>
    <w:basedOn w:val="a2"/>
    <w:rsid w:val="00B92624"/>
    <w:rPr>
      <w:rFonts w:ascii="宋体" w:eastAsia="宋体" w:hAnsi="Times New Roman" w:cs="Times New Roman"/>
      <w:sz w:val="18"/>
      <w:szCs w:val="18"/>
    </w:rPr>
  </w:style>
  <w:style w:type="paragraph" w:customStyle="1" w:styleId="c">
    <w:name w:val="c_"/>
    <w:rsid w:val="00B92624"/>
    <w:pPr>
      <w:widowControl w:val="0"/>
      <w:tabs>
        <w:tab w:val="left" w:pos="420"/>
      </w:tabs>
      <w:autoSpaceDE w:val="0"/>
      <w:autoSpaceDN w:val="0"/>
      <w:adjustRightInd w:val="0"/>
      <w:jc w:val="both"/>
    </w:pPr>
    <w:rPr>
      <w:rFonts w:ascii="五" w:eastAsia="五"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513">
      <w:bodyDiv w:val="1"/>
      <w:marLeft w:val="0"/>
      <w:marRight w:val="0"/>
      <w:marTop w:val="0"/>
      <w:marBottom w:val="0"/>
      <w:divBdr>
        <w:top w:val="none" w:sz="0" w:space="0" w:color="auto"/>
        <w:left w:val="none" w:sz="0" w:space="0" w:color="auto"/>
        <w:bottom w:val="none" w:sz="0" w:space="0" w:color="auto"/>
        <w:right w:val="none" w:sz="0" w:space="0" w:color="auto"/>
      </w:divBdr>
    </w:div>
    <w:div w:id="1936471473">
      <w:bodyDiv w:val="1"/>
      <w:marLeft w:val="0"/>
      <w:marRight w:val="0"/>
      <w:marTop w:val="0"/>
      <w:marBottom w:val="0"/>
      <w:divBdr>
        <w:top w:val="none" w:sz="0" w:space="0" w:color="auto"/>
        <w:left w:val="none" w:sz="0" w:space="0" w:color="auto"/>
        <w:bottom w:val="none" w:sz="0" w:space="0" w:color="auto"/>
        <w:right w:val="none" w:sz="0" w:space="0" w:color="auto"/>
      </w:divBdr>
      <w:divsChild>
        <w:div w:id="509292750">
          <w:marLeft w:val="0"/>
          <w:marRight w:val="0"/>
          <w:marTop w:val="0"/>
          <w:marBottom w:val="0"/>
          <w:divBdr>
            <w:top w:val="none" w:sz="0" w:space="0" w:color="auto"/>
            <w:left w:val="single" w:sz="6" w:space="0" w:color="BCBCBC"/>
            <w:bottom w:val="none" w:sz="0" w:space="0" w:color="auto"/>
            <w:right w:val="single" w:sz="6" w:space="0" w:color="BCBCBC"/>
          </w:divBdr>
          <w:divsChild>
            <w:div w:id="13696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8</Pages>
  <Words>929</Words>
  <Characters>5298</Characters>
  <Application>Microsoft Office Word</Application>
  <DocSecurity>0</DocSecurity>
  <Lines>44</Lines>
  <Paragraphs>12</Paragraphs>
  <ScaleCrop>false</ScaleCrop>
  <Company>Microsoft</Company>
  <LinksUpToDate>false</LinksUpToDate>
  <CharactersWithSpaces>6215</CharactersWithSpaces>
  <SharedDoc>false</SharedDoc>
  <HLinks>
    <vt:vector size="6" baseType="variant">
      <vt:variant>
        <vt:i4>5701711</vt:i4>
      </vt:variant>
      <vt:variant>
        <vt:i4>0</vt:i4>
      </vt:variant>
      <vt:variant>
        <vt:i4>0</vt:i4>
      </vt:variant>
      <vt:variant>
        <vt:i4>5</vt:i4>
      </vt:variant>
      <vt:variant>
        <vt:lpwstr>http://www.jyfund.com/page/px120913083148055000.html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 Leying</dc:creator>
  <cp:lastModifiedBy>吴文斐</cp:lastModifiedBy>
  <cp:revision>29</cp:revision>
  <dcterms:created xsi:type="dcterms:W3CDTF">2015-08-17T07:35:00Z</dcterms:created>
  <dcterms:modified xsi:type="dcterms:W3CDTF">2017-01-09T06:13:00Z</dcterms:modified>
</cp:coreProperties>
</file>