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二〇一六年十月二十五日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185713" w:rsidRDefault="006F3C5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25,261,861.24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13A06" w:rsidRPr="008640AE" w:rsidTr="00C13A06">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C13A06" w:rsidRPr="008640AE" w:rsidTr="00C13A0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-534,735.71</w:t>
            </w:r>
          </w:p>
        </w:tc>
      </w:tr>
      <w:tr w:rsidR="00C13A06" w:rsidRPr="008640AE" w:rsidTr="00C13A0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1,849,621.77</w:t>
            </w:r>
          </w:p>
        </w:tc>
      </w:tr>
      <w:tr w:rsidR="00C13A06" w:rsidRPr="008640AE" w:rsidTr="00C13A0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0.0718</w:t>
            </w:r>
          </w:p>
        </w:tc>
      </w:tr>
      <w:tr w:rsidR="00C13A06" w:rsidRPr="008640AE" w:rsidTr="00C13A0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30,090,588.34</w:t>
            </w:r>
          </w:p>
        </w:tc>
      </w:tr>
      <w:tr w:rsidR="00C13A06" w:rsidRPr="008640AE" w:rsidTr="00C13A06">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1.191</w:t>
            </w:r>
          </w:p>
        </w:tc>
      </w:tr>
    </w:tbl>
    <w:p w:rsidR="00185713" w:rsidRDefault="006F3C5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185713">
        <w:trPr>
          <w:jc w:val="center"/>
        </w:trPr>
        <w:tc>
          <w:tcPr>
            <w:tcW w:w="1701" w:type="dxa"/>
            <w:vAlign w:val="center"/>
          </w:tcPr>
          <w:p w:rsidR="00185713" w:rsidRDefault="006F3C53">
            <w:pPr>
              <w:jc w:val="left"/>
            </w:pPr>
            <w:r>
              <w:rPr>
                <w:color w:val="000000"/>
                <w:sz w:val="24"/>
              </w:rPr>
              <w:t>过去三个月</w:t>
            </w:r>
          </w:p>
        </w:tc>
        <w:tc>
          <w:tcPr>
            <w:tcW w:w="1194" w:type="dxa"/>
            <w:vAlign w:val="center"/>
          </w:tcPr>
          <w:p w:rsidR="00185713" w:rsidRDefault="006F3C53">
            <w:pPr>
              <w:jc w:val="right"/>
            </w:pPr>
            <w:r>
              <w:rPr>
                <w:color w:val="000000"/>
                <w:sz w:val="24"/>
              </w:rPr>
              <w:t>6.34%</w:t>
            </w:r>
          </w:p>
        </w:tc>
        <w:tc>
          <w:tcPr>
            <w:tcW w:w="1194" w:type="dxa"/>
            <w:vAlign w:val="center"/>
          </w:tcPr>
          <w:p w:rsidR="00185713" w:rsidRDefault="006F3C53">
            <w:pPr>
              <w:jc w:val="right"/>
            </w:pPr>
            <w:r>
              <w:rPr>
                <w:color w:val="000000"/>
                <w:sz w:val="24"/>
              </w:rPr>
              <w:t>0.79%</w:t>
            </w:r>
          </w:p>
        </w:tc>
        <w:tc>
          <w:tcPr>
            <w:tcW w:w="1194" w:type="dxa"/>
            <w:vAlign w:val="center"/>
          </w:tcPr>
          <w:p w:rsidR="00185713" w:rsidRDefault="006F3C53">
            <w:pPr>
              <w:jc w:val="right"/>
            </w:pPr>
            <w:r>
              <w:rPr>
                <w:color w:val="000000"/>
                <w:sz w:val="24"/>
              </w:rPr>
              <w:t>6.19%</w:t>
            </w:r>
          </w:p>
        </w:tc>
        <w:tc>
          <w:tcPr>
            <w:tcW w:w="1343" w:type="dxa"/>
            <w:vAlign w:val="center"/>
          </w:tcPr>
          <w:p w:rsidR="00185713" w:rsidRDefault="006F3C53">
            <w:pPr>
              <w:jc w:val="right"/>
            </w:pPr>
            <w:r>
              <w:rPr>
                <w:color w:val="000000"/>
                <w:sz w:val="24"/>
              </w:rPr>
              <w:t>0.81%</w:t>
            </w:r>
          </w:p>
        </w:tc>
        <w:tc>
          <w:tcPr>
            <w:tcW w:w="1194" w:type="dxa"/>
            <w:vAlign w:val="center"/>
          </w:tcPr>
          <w:p w:rsidR="00185713" w:rsidRDefault="006F3C53">
            <w:pPr>
              <w:jc w:val="right"/>
            </w:pPr>
            <w:r>
              <w:rPr>
                <w:color w:val="000000"/>
                <w:sz w:val="24"/>
              </w:rPr>
              <w:t>0.15%</w:t>
            </w:r>
          </w:p>
        </w:tc>
        <w:tc>
          <w:tcPr>
            <w:tcW w:w="1048" w:type="dxa"/>
            <w:vAlign w:val="center"/>
          </w:tcPr>
          <w:p w:rsidR="00185713" w:rsidRDefault="006F3C53">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185713">
        <w:trPr>
          <w:jc w:val="center"/>
        </w:trPr>
        <w:tc>
          <w:tcPr>
            <w:tcW w:w="846" w:type="dxa"/>
            <w:vAlign w:val="center"/>
          </w:tcPr>
          <w:p w:rsidR="00185713" w:rsidRDefault="006F3C53">
            <w:pPr>
              <w:jc w:val="center"/>
            </w:pPr>
            <w:r>
              <w:rPr>
                <w:color w:val="000000"/>
                <w:sz w:val="24"/>
              </w:rPr>
              <w:t>蔡铮</w:t>
            </w:r>
          </w:p>
        </w:tc>
        <w:tc>
          <w:tcPr>
            <w:tcW w:w="845" w:type="dxa"/>
            <w:vAlign w:val="center"/>
          </w:tcPr>
          <w:p w:rsidR="00185713" w:rsidRDefault="006F3C53" w:rsidP="00C13A06">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sidR="00C13A06">
              <w:rPr>
                <w:rFonts w:hint="eastAsia"/>
                <w:color w:val="000000"/>
                <w:sz w:val="24"/>
              </w:rPr>
              <w:t>(</w:t>
            </w:r>
            <w:r w:rsidR="00C13A06">
              <w:rPr>
                <w:color w:val="000000"/>
                <w:sz w:val="24"/>
              </w:rPr>
              <w:t>LOF</w:t>
            </w:r>
            <w:r w:rsidR="00C13A06">
              <w:rPr>
                <w:rFonts w:hint="eastAsia"/>
                <w:color w:val="000000"/>
                <w:sz w:val="24"/>
              </w:rPr>
              <w:t>)</w:t>
            </w:r>
            <w:r>
              <w:rPr>
                <w:color w:val="000000"/>
                <w:sz w:val="24"/>
              </w:rPr>
              <w:t>的基金经理，公司量化投资部副总经理</w:t>
            </w:r>
          </w:p>
        </w:tc>
        <w:tc>
          <w:tcPr>
            <w:tcW w:w="1549" w:type="dxa"/>
            <w:vAlign w:val="center"/>
          </w:tcPr>
          <w:p w:rsidR="00185713" w:rsidRDefault="006F3C53">
            <w:pPr>
              <w:jc w:val="center"/>
            </w:pPr>
            <w:r>
              <w:rPr>
                <w:color w:val="000000"/>
                <w:sz w:val="24"/>
              </w:rPr>
              <w:t>2015-04-22</w:t>
            </w:r>
          </w:p>
        </w:tc>
        <w:tc>
          <w:tcPr>
            <w:tcW w:w="1548" w:type="dxa"/>
            <w:vAlign w:val="center"/>
          </w:tcPr>
          <w:p w:rsidR="00185713" w:rsidRDefault="006F3C53">
            <w:pPr>
              <w:jc w:val="center"/>
            </w:pPr>
            <w:r>
              <w:rPr>
                <w:color w:val="000000"/>
                <w:sz w:val="24"/>
              </w:rPr>
              <w:t>-</w:t>
            </w:r>
          </w:p>
        </w:tc>
        <w:tc>
          <w:tcPr>
            <w:tcW w:w="1407" w:type="dxa"/>
            <w:vAlign w:val="center"/>
          </w:tcPr>
          <w:p w:rsidR="00185713" w:rsidRDefault="006F3C53">
            <w:pPr>
              <w:jc w:val="center"/>
            </w:pPr>
            <w:r>
              <w:rPr>
                <w:color w:val="000000"/>
                <w:sz w:val="24"/>
              </w:rPr>
              <w:t>7</w:t>
            </w:r>
            <w:r>
              <w:rPr>
                <w:color w:val="000000"/>
                <w:sz w:val="24"/>
              </w:rPr>
              <w:t>年</w:t>
            </w:r>
          </w:p>
        </w:tc>
        <w:tc>
          <w:tcPr>
            <w:tcW w:w="2673" w:type="dxa"/>
            <w:vAlign w:val="center"/>
          </w:tcPr>
          <w:p w:rsidR="00185713" w:rsidRDefault="006F3C53" w:rsidP="00C13A06">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sidR="00A65C0D">
              <w:rPr>
                <w:rFonts w:hint="eastAsia"/>
                <w:color w:val="000000"/>
                <w:sz w:val="24"/>
              </w:rPr>
              <w:t>。</w:t>
            </w:r>
            <w:r w:rsidR="00A65C0D" w:rsidRPr="00A65C0D">
              <w:rPr>
                <w:rFonts w:hint="eastAsia"/>
                <w:color w:val="000000"/>
                <w:sz w:val="24"/>
              </w:rPr>
              <w:t>2015</w:t>
            </w:r>
            <w:r w:rsidR="00A65C0D" w:rsidRPr="00A65C0D">
              <w:rPr>
                <w:rFonts w:hint="eastAsia"/>
                <w:color w:val="000000"/>
                <w:sz w:val="24"/>
              </w:rPr>
              <w:t>年</w:t>
            </w:r>
            <w:r w:rsidR="00A65C0D" w:rsidRPr="00A65C0D">
              <w:rPr>
                <w:rFonts w:hint="eastAsia"/>
                <w:color w:val="000000"/>
                <w:sz w:val="24"/>
              </w:rPr>
              <w:t>8</w:t>
            </w:r>
            <w:r w:rsidR="00A65C0D" w:rsidRPr="00A65C0D">
              <w:rPr>
                <w:rFonts w:hint="eastAsia"/>
                <w:color w:val="000000"/>
                <w:sz w:val="24"/>
              </w:rPr>
              <w:t>月</w:t>
            </w:r>
            <w:r w:rsidR="00A65C0D" w:rsidRPr="00A65C0D">
              <w:rPr>
                <w:rFonts w:hint="eastAsia"/>
                <w:color w:val="000000"/>
                <w:sz w:val="24"/>
              </w:rPr>
              <w:t>13</w:t>
            </w:r>
            <w:r w:rsidR="00A65C0D" w:rsidRPr="00A65C0D">
              <w:rPr>
                <w:rFonts w:hint="eastAsia"/>
                <w:color w:val="000000"/>
                <w:sz w:val="24"/>
              </w:rPr>
              <w:t>日至</w:t>
            </w:r>
            <w:r w:rsidR="00A65C0D" w:rsidRPr="00A65C0D">
              <w:rPr>
                <w:rFonts w:hint="eastAsia"/>
                <w:color w:val="000000"/>
                <w:sz w:val="24"/>
              </w:rPr>
              <w:t>2016</w:t>
            </w:r>
            <w:r w:rsidR="00A65C0D" w:rsidRPr="00A65C0D">
              <w:rPr>
                <w:rFonts w:hint="eastAsia"/>
                <w:color w:val="000000"/>
                <w:sz w:val="24"/>
              </w:rPr>
              <w:t>年</w:t>
            </w:r>
            <w:r w:rsidR="00A65C0D" w:rsidRPr="00A65C0D">
              <w:rPr>
                <w:rFonts w:hint="eastAsia"/>
                <w:color w:val="000000"/>
                <w:sz w:val="24"/>
              </w:rPr>
              <w:t>7</w:t>
            </w:r>
            <w:r w:rsidR="00A65C0D" w:rsidRPr="00A65C0D">
              <w:rPr>
                <w:rFonts w:hint="eastAsia"/>
                <w:color w:val="000000"/>
                <w:sz w:val="24"/>
              </w:rPr>
              <w:t>月</w:t>
            </w:r>
            <w:r w:rsidR="00A65C0D" w:rsidRPr="00A65C0D">
              <w:rPr>
                <w:rFonts w:hint="eastAsia"/>
                <w:color w:val="000000"/>
                <w:sz w:val="24"/>
              </w:rPr>
              <w:t>18</w:t>
            </w:r>
            <w:r w:rsidR="00A65C0D" w:rsidRPr="00A65C0D">
              <w:rPr>
                <w:rFonts w:hint="eastAsia"/>
                <w:color w:val="000000"/>
                <w:sz w:val="24"/>
              </w:rPr>
              <w:t>日担任交银施罗德中证环境治理指数分级证券投资基金基金经理。</w:t>
            </w:r>
          </w:p>
        </w:tc>
      </w:tr>
      <w:tr w:rsidR="00185713">
        <w:trPr>
          <w:jc w:val="center"/>
        </w:trPr>
        <w:tc>
          <w:tcPr>
            <w:tcW w:w="846" w:type="dxa"/>
            <w:vAlign w:val="center"/>
          </w:tcPr>
          <w:p w:rsidR="00185713" w:rsidRDefault="006F3C53">
            <w:pPr>
              <w:jc w:val="center"/>
            </w:pPr>
            <w:r>
              <w:rPr>
                <w:color w:val="000000"/>
                <w:sz w:val="24"/>
              </w:rPr>
              <w:t>陈俊华</w:t>
            </w:r>
          </w:p>
        </w:tc>
        <w:tc>
          <w:tcPr>
            <w:tcW w:w="845" w:type="dxa"/>
            <w:vAlign w:val="center"/>
          </w:tcPr>
          <w:p w:rsidR="00185713" w:rsidRDefault="006F3C53">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185713" w:rsidRDefault="006F3C53">
            <w:pPr>
              <w:jc w:val="center"/>
            </w:pPr>
            <w:r>
              <w:rPr>
                <w:color w:val="000000"/>
                <w:sz w:val="24"/>
              </w:rPr>
              <w:t>2015-11-21</w:t>
            </w:r>
          </w:p>
        </w:tc>
        <w:tc>
          <w:tcPr>
            <w:tcW w:w="1548" w:type="dxa"/>
            <w:vAlign w:val="center"/>
          </w:tcPr>
          <w:p w:rsidR="00185713" w:rsidRDefault="006F3C53">
            <w:pPr>
              <w:jc w:val="center"/>
            </w:pPr>
            <w:r>
              <w:rPr>
                <w:color w:val="000000"/>
                <w:sz w:val="24"/>
              </w:rPr>
              <w:t>-</w:t>
            </w:r>
          </w:p>
        </w:tc>
        <w:tc>
          <w:tcPr>
            <w:tcW w:w="1407" w:type="dxa"/>
            <w:vAlign w:val="center"/>
          </w:tcPr>
          <w:p w:rsidR="00185713" w:rsidRDefault="006F3C53">
            <w:pPr>
              <w:jc w:val="center"/>
            </w:pPr>
            <w:r>
              <w:rPr>
                <w:color w:val="000000"/>
                <w:sz w:val="24"/>
              </w:rPr>
              <w:t>11</w:t>
            </w:r>
            <w:r>
              <w:rPr>
                <w:color w:val="000000"/>
                <w:sz w:val="24"/>
              </w:rPr>
              <w:t>年</w:t>
            </w:r>
          </w:p>
        </w:tc>
        <w:tc>
          <w:tcPr>
            <w:tcW w:w="2673" w:type="dxa"/>
            <w:vAlign w:val="center"/>
          </w:tcPr>
          <w:p w:rsidR="00185713" w:rsidRDefault="006F3C53">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185713">
        <w:trPr>
          <w:jc w:val="center"/>
        </w:trPr>
        <w:tc>
          <w:tcPr>
            <w:tcW w:w="846" w:type="dxa"/>
            <w:vAlign w:val="center"/>
          </w:tcPr>
          <w:p w:rsidR="00185713" w:rsidRDefault="006F3C53">
            <w:pPr>
              <w:jc w:val="center"/>
            </w:pPr>
            <w:r>
              <w:rPr>
                <w:color w:val="000000"/>
                <w:sz w:val="24"/>
              </w:rPr>
              <w:t>周中</w:t>
            </w:r>
          </w:p>
        </w:tc>
        <w:tc>
          <w:tcPr>
            <w:tcW w:w="845" w:type="dxa"/>
            <w:vAlign w:val="center"/>
          </w:tcPr>
          <w:p w:rsidR="00185713" w:rsidRDefault="006F3C53">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185713" w:rsidRDefault="006F3C53">
            <w:pPr>
              <w:jc w:val="center"/>
            </w:pPr>
            <w:r>
              <w:rPr>
                <w:color w:val="000000"/>
                <w:sz w:val="24"/>
              </w:rPr>
              <w:t>2015-12-12</w:t>
            </w:r>
          </w:p>
        </w:tc>
        <w:tc>
          <w:tcPr>
            <w:tcW w:w="1548" w:type="dxa"/>
            <w:vAlign w:val="center"/>
          </w:tcPr>
          <w:p w:rsidR="00185713" w:rsidRDefault="006F3C53">
            <w:pPr>
              <w:jc w:val="center"/>
            </w:pPr>
            <w:r>
              <w:rPr>
                <w:color w:val="000000"/>
                <w:sz w:val="24"/>
              </w:rPr>
              <w:t>-</w:t>
            </w:r>
          </w:p>
        </w:tc>
        <w:tc>
          <w:tcPr>
            <w:tcW w:w="1407" w:type="dxa"/>
            <w:vAlign w:val="center"/>
          </w:tcPr>
          <w:p w:rsidR="00185713" w:rsidRDefault="006F3C53">
            <w:pPr>
              <w:jc w:val="center"/>
            </w:pPr>
            <w:r>
              <w:rPr>
                <w:color w:val="000000"/>
                <w:sz w:val="24"/>
              </w:rPr>
              <w:t>7</w:t>
            </w:r>
            <w:r>
              <w:rPr>
                <w:color w:val="000000"/>
                <w:sz w:val="24"/>
              </w:rPr>
              <w:t>年</w:t>
            </w:r>
          </w:p>
        </w:tc>
        <w:tc>
          <w:tcPr>
            <w:tcW w:w="2673" w:type="dxa"/>
            <w:vAlign w:val="center"/>
          </w:tcPr>
          <w:p w:rsidR="00185713" w:rsidRDefault="006F3C53">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185713">
        <w:trPr>
          <w:jc w:val="center"/>
        </w:trPr>
        <w:tc>
          <w:tcPr>
            <w:tcW w:w="2070" w:type="dxa"/>
            <w:vAlign w:val="center"/>
          </w:tcPr>
          <w:p w:rsidR="00185713" w:rsidRDefault="006F3C53">
            <w:pPr>
              <w:jc w:val="center"/>
            </w:pPr>
            <w:r>
              <w:rPr>
                <w:color w:val="000000"/>
                <w:sz w:val="24"/>
              </w:rPr>
              <w:t>Simon Webber</w:t>
            </w:r>
          </w:p>
        </w:tc>
        <w:tc>
          <w:tcPr>
            <w:tcW w:w="2465" w:type="dxa"/>
            <w:vAlign w:val="center"/>
          </w:tcPr>
          <w:p w:rsidR="00185713" w:rsidRDefault="006F3C53">
            <w:pPr>
              <w:jc w:val="center"/>
            </w:pPr>
            <w:r>
              <w:rPr>
                <w:color w:val="000000"/>
                <w:sz w:val="24"/>
              </w:rPr>
              <w:t>施罗德集团多区域（全球及国际）股票投资主管、全球和国际股票基金经理、全球气候变化股票基金经理</w:t>
            </w:r>
          </w:p>
        </w:tc>
        <w:tc>
          <w:tcPr>
            <w:tcW w:w="2116" w:type="dxa"/>
            <w:vAlign w:val="center"/>
          </w:tcPr>
          <w:p w:rsidR="00185713" w:rsidRDefault="006F3C53">
            <w:pPr>
              <w:jc w:val="center"/>
            </w:pPr>
            <w:r>
              <w:rPr>
                <w:color w:val="000000"/>
                <w:sz w:val="24"/>
              </w:rPr>
              <w:t>17</w:t>
            </w:r>
            <w:r>
              <w:rPr>
                <w:color w:val="000000"/>
                <w:sz w:val="24"/>
              </w:rPr>
              <w:t>年</w:t>
            </w:r>
          </w:p>
        </w:tc>
        <w:tc>
          <w:tcPr>
            <w:tcW w:w="2217" w:type="dxa"/>
            <w:vAlign w:val="center"/>
          </w:tcPr>
          <w:p w:rsidR="00185713" w:rsidRDefault="006F3C53">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185713" w:rsidRDefault="006F3C5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5713" w:rsidRDefault="006F3C5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5713" w:rsidRDefault="006F3C5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ED5531" w:rsidRPr="00ED5531" w:rsidRDefault="00ED5531" w:rsidP="00CC335C">
      <w:pPr>
        <w:spacing w:before="29" w:line="288" w:lineRule="auto"/>
        <w:ind w:firstLine="420"/>
        <w:rPr>
          <w:color w:val="000000"/>
          <w:sz w:val="24"/>
        </w:rPr>
      </w:pPr>
      <w:r w:rsidRPr="00ED5531">
        <w:rPr>
          <w:rFonts w:hint="eastAsia"/>
          <w:color w:val="000000"/>
          <w:sz w:val="24"/>
        </w:rPr>
        <w:t>三季度全球市场整体表现不俗。二季度末全球市场受到英国脱欧影响出现大幅调整，三季度全球主要市场均出现不同程度的反弹，部分国家创出新高，充裕的流动性将市场的波动幅度进一步压缩。但是我们也看到一些值得忧虑的事情，全国宽松货币政策的拐点似乎正在浮现，欧央行和日本央行没有进一步推出更为宽松的货币政策，中国央行的相关行动也开始趋稳健。我们认为全球的流动性风险可能在四季度对市场产生负面影响。大宗商品价格在三季度末也进入了箱体震荡，未来价格进一步上涨的动能在减弱。</w:t>
      </w:r>
    </w:p>
    <w:p w:rsidR="00ED5531" w:rsidRPr="00ED5531" w:rsidRDefault="00ED5531" w:rsidP="00CC335C">
      <w:pPr>
        <w:spacing w:before="29" w:line="288" w:lineRule="auto"/>
        <w:ind w:firstLine="420"/>
        <w:rPr>
          <w:color w:val="000000"/>
          <w:sz w:val="24"/>
        </w:rPr>
      </w:pPr>
      <w:r w:rsidRPr="00ED5531">
        <w:rPr>
          <w:rFonts w:hint="eastAsia"/>
          <w:color w:val="000000"/>
          <w:sz w:val="24"/>
        </w:rPr>
        <w:t>三季度本基金保持中性仓位。个股方面我们依然重点配置于基本面见底回升并且估值比较合理的股票，并且更加看重公司的市场份额和行业地位是否稳固以及是否有定价权。</w:t>
      </w:r>
    </w:p>
    <w:p w:rsidR="00ED5531" w:rsidRDefault="00ED5531" w:rsidP="005546C0">
      <w:pPr>
        <w:spacing w:before="29" w:line="288" w:lineRule="auto"/>
        <w:ind w:firstLineChars="200" w:firstLine="480"/>
        <w:rPr>
          <w:color w:val="000000"/>
          <w:sz w:val="24"/>
        </w:rPr>
      </w:pPr>
      <w:r w:rsidRPr="00ED5531">
        <w:rPr>
          <w:rFonts w:hint="eastAsia"/>
          <w:color w:val="000000"/>
          <w:sz w:val="24"/>
        </w:rPr>
        <w:t>展望</w:t>
      </w:r>
      <w:r w:rsidRPr="00ED5531">
        <w:rPr>
          <w:rFonts w:hint="eastAsia"/>
          <w:color w:val="000000"/>
          <w:sz w:val="24"/>
        </w:rPr>
        <w:t>2016</w:t>
      </w:r>
      <w:r w:rsidRPr="00ED5531">
        <w:rPr>
          <w:rFonts w:hint="eastAsia"/>
          <w:color w:val="000000"/>
          <w:sz w:val="24"/>
        </w:rPr>
        <w:t>年四季度，我们预计全球经济增长速度依然不乐观，潜在的政治风险和流动性风险也使得自然资源类股票面临一定的外部不确定性。防范风险依然是我们在未来一个阶段的重点。长期来看，我们依然认为全球大宗商品和自然资源类资产处于长周期的底部区域，未来震荡向上的可能性较大。本基金将重点考察并持有具有长期供给缺口或者需求存在爆发可能的自然资源类资产。此外考虑到深港通预期开通将为香港市场带来更多的内地资金，我们认为一些</w:t>
      </w:r>
      <w:r w:rsidRPr="00ED5531">
        <w:rPr>
          <w:rFonts w:hint="eastAsia"/>
          <w:color w:val="000000"/>
          <w:sz w:val="24"/>
        </w:rPr>
        <w:t>H</w:t>
      </w:r>
      <w:r w:rsidRPr="00ED5531">
        <w:rPr>
          <w:rFonts w:hint="eastAsia"/>
          <w:color w:val="000000"/>
          <w:sz w:val="24"/>
        </w:rPr>
        <w:t>股折价较高的自然资源类股票在四季度市场表现值得期待。</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 xml:space="preserve">1.191 </w:t>
      </w:r>
      <w:r w:rsidRPr="008640AE">
        <w:rPr>
          <w:color w:val="000000"/>
          <w:sz w:val="24"/>
        </w:rPr>
        <w:t>元，本报告期份额净值增长率为</w:t>
      </w:r>
      <w:r w:rsidRPr="008640AE">
        <w:rPr>
          <w:color w:val="000000"/>
          <w:sz w:val="24"/>
        </w:rPr>
        <w:t>6.34%</w:t>
      </w:r>
      <w:r w:rsidRPr="008640AE">
        <w:rPr>
          <w:color w:val="000000"/>
          <w:sz w:val="24"/>
        </w:rPr>
        <w:t>，同期业绩比较基准增长率为</w:t>
      </w:r>
      <w:r w:rsidRPr="008640AE">
        <w:rPr>
          <w:color w:val="000000"/>
          <w:sz w:val="24"/>
        </w:rPr>
        <w:t>6.19%</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截至本报告期末，本基金已经连续六十个工作日以上出现基金资产净值低于五千万元的情形，基金管理人已向中国证券监督管理委员会进行了报告，拟通过终止基金合同等方式解决。</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23,428,348.49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76.82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23,428,348.49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76.82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7,007,289.70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22.98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62,298.99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0.20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30,497,937.18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85713">
        <w:trPr>
          <w:jc w:val="center"/>
        </w:trPr>
        <w:tc>
          <w:tcPr>
            <w:tcW w:w="2484" w:type="dxa"/>
            <w:vAlign w:val="center"/>
          </w:tcPr>
          <w:p w:rsidR="00185713" w:rsidRDefault="006F3C53">
            <w:pPr>
              <w:jc w:val="left"/>
            </w:pPr>
            <w:r>
              <w:rPr>
                <w:color w:val="000000"/>
                <w:sz w:val="24"/>
              </w:rPr>
              <w:t>香港</w:t>
            </w:r>
          </w:p>
        </w:tc>
        <w:tc>
          <w:tcPr>
            <w:tcW w:w="3214" w:type="dxa"/>
            <w:vAlign w:val="center"/>
          </w:tcPr>
          <w:p w:rsidR="00185713" w:rsidRDefault="006F3C53">
            <w:pPr>
              <w:jc w:val="right"/>
            </w:pPr>
            <w:r>
              <w:rPr>
                <w:color w:val="000000"/>
                <w:sz w:val="24"/>
              </w:rPr>
              <w:t>23,428,348.49</w:t>
            </w:r>
          </w:p>
        </w:tc>
        <w:tc>
          <w:tcPr>
            <w:tcW w:w="3170" w:type="dxa"/>
            <w:vAlign w:val="center"/>
          </w:tcPr>
          <w:p w:rsidR="00185713" w:rsidRDefault="006F3C53">
            <w:pPr>
              <w:jc w:val="right"/>
            </w:pPr>
            <w:r>
              <w:rPr>
                <w:color w:val="000000"/>
                <w:sz w:val="24"/>
              </w:rPr>
              <w:t>77.86</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23,428,348.49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77.86</w:t>
            </w:r>
          </w:p>
        </w:tc>
      </w:tr>
    </w:tbl>
    <w:p w:rsidR="00185713" w:rsidRDefault="006F3C5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85713">
        <w:trPr>
          <w:jc w:val="center"/>
        </w:trPr>
        <w:tc>
          <w:tcPr>
            <w:tcW w:w="2904" w:type="dxa"/>
            <w:vAlign w:val="center"/>
          </w:tcPr>
          <w:p w:rsidR="00185713" w:rsidRDefault="006F3C53">
            <w:pPr>
              <w:jc w:val="left"/>
            </w:pPr>
            <w:r>
              <w:rPr>
                <w:color w:val="000000"/>
                <w:sz w:val="24"/>
              </w:rPr>
              <w:t>材料</w:t>
            </w:r>
          </w:p>
        </w:tc>
        <w:tc>
          <w:tcPr>
            <w:tcW w:w="2657" w:type="dxa"/>
            <w:vAlign w:val="center"/>
          </w:tcPr>
          <w:p w:rsidR="00185713" w:rsidRDefault="006F3C53">
            <w:pPr>
              <w:jc w:val="right"/>
            </w:pPr>
            <w:r>
              <w:rPr>
                <w:color w:val="000000"/>
                <w:sz w:val="24"/>
              </w:rPr>
              <w:t>6,130,693.55</w:t>
            </w:r>
          </w:p>
        </w:tc>
        <w:tc>
          <w:tcPr>
            <w:tcW w:w="3307" w:type="dxa"/>
            <w:vAlign w:val="center"/>
          </w:tcPr>
          <w:p w:rsidR="00185713" w:rsidRDefault="006F3C53">
            <w:pPr>
              <w:jc w:val="right"/>
            </w:pPr>
            <w:r>
              <w:rPr>
                <w:color w:val="000000"/>
                <w:sz w:val="24"/>
              </w:rPr>
              <w:t>20.37</w:t>
            </w:r>
          </w:p>
        </w:tc>
      </w:tr>
      <w:tr w:rsidR="00185713">
        <w:trPr>
          <w:jc w:val="center"/>
        </w:trPr>
        <w:tc>
          <w:tcPr>
            <w:tcW w:w="2904" w:type="dxa"/>
            <w:vAlign w:val="center"/>
          </w:tcPr>
          <w:p w:rsidR="00185713" w:rsidRDefault="006F3C53">
            <w:pPr>
              <w:jc w:val="left"/>
            </w:pPr>
            <w:r>
              <w:rPr>
                <w:color w:val="000000"/>
                <w:sz w:val="24"/>
              </w:rPr>
              <w:t>工业</w:t>
            </w:r>
          </w:p>
        </w:tc>
        <w:tc>
          <w:tcPr>
            <w:tcW w:w="2657" w:type="dxa"/>
            <w:vAlign w:val="center"/>
          </w:tcPr>
          <w:p w:rsidR="00185713" w:rsidRDefault="006F3C53">
            <w:pPr>
              <w:jc w:val="right"/>
            </w:pPr>
            <w:r>
              <w:rPr>
                <w:color w:val="000000"/>
                <w:sz w:val="24"/>
              </w:rPr>
              <w:t>3,162,755.72</w:t>
            </w:r>
          </w:p>
        </w:tc>
        <w:tc>
          <w:tcPr>
            <w:tcW w:w="3307" w:type="dxa"/>
            <w:vAlign w:val="center"/>
          </w:tcPr>
          <w:p w:rsidR="00185713" w:rsidRDefault="006F3C53">
            <w:pPr>
              <w:jc w:val="right"/>
            </w:pPr>
            <w:r>
              <w:rPr>
                <w:color w:val="000000"/>
                <w:sz w:val="24"/>
              </w:rPr>
              <w:t>10.51</w:t>
            </w:r>
          </w:p>
        </w:tc>
      </w:tr>
      <w:tr w:rsidR="00185713">
        <w:trPr>
          <w:jc w:val="center"/>
        </w:trPr>
        <w:tc>
          <w:tcPr>
            <w:tcW w:w="2904" w:type="dxa"/>
            <w:vAlign w:val="center"/>
          </w:tcPr>
          <w:p w:rsidR="00185713" w:rsidRDefault="006F3C53">
            <w:pPr>
              <w:jc w:val="left"/>
            </w:pPr>
            <w:r>
              <w:rPr>
                <w:color w:val="000000"/>
                <w:sz w:val="24"/>
              </w:rPr>
              <w:t>非必需消费品</w:t>
            </w:r>
          </w:p>
        </w:tc>
        <w:tc>
          <w:tcPr>
            <w:tcW w:w="2657" w:type="dxa"/>
            <w:vAlign w:val="center"/>
          </w:tcPr>
          <w:p w:rsidR="00185713" w:rsidRDefault="006F3C53">
            <w:pPr>
              <w:jc w:val="right"/>
            </w:pPr>
            <w:r>
              <w:rPr>
                <w:color w:val="000000"/>
                <w:sz w:val="24"/>
              </w:rPr>
              <w:t>3,099,092.90</w:t>
            </w:r>
          </w:p>
        </w:tc>
        <w:tc>
          <w:tcPr>
            <w:tcW w:w="3307" w:type="dxa"/>
            <w:vAlign w:val="center"/>
          </w:tcPr>
          <w:p w:rsidR="00185713" w:rsidRDefault="006F3C53">
            <w:pPr>
              <w:jc w:val="right"/>
            </w:pPr>
            <w:r>
              <w:rPr>
                <w:color w:val="000000"/>
                <w:sz w:val="24"/>
              </w:rPr>
              <w:t>10.30</w:t>
            </w:r>
          </w:p>
        </w:tc>
      </w:tr>
      <w:tr w:rsidR="00185713">
        <w:trPr>
          <w:jc w:val="center"/>
        </w:trPr>
        <w:tc>
          <w:tcPr>
            <w:tcW w:w="2904" w:type="dxa"/>
            <w:vAlign w:val="center"/>
          </w:tcPr>
          <w:p w:rsidR="00185713" w:rsidRDefault="006F3C53">
            <w:pPr>
              <w:jc w:val="left"/>
            </w:pPr>
            <w:r>
              <w:rPr>
                <w:color w:val="000000"/>
                <w:sz w:val="24"/>
              </w:rPr>
              <w:t>金融</w:t>
            </w:r>
          </w:p>
        </w:tc>
        <w:tc>
          <w:tcPr>
            <w:tcW w:w="2657" w:type="dxa"/>
            <w:vAlign w:val="center"/>
          </w:tcPr>
          <w:p w:rsidR="00185713" w:rsidRDefault="006F3C53">
            <w:pPr>
              <w:jc w:val="right"/>
            </w:pPr>
            <w:r>
              <w:rPr>
                <w:color w:val="000000"/>
                <w:sz w:val="24"/>
              </w:rPr>
              <w:t>2,442,241.18</w:t>
            </w:r>
          </w:p>
        </w:tc>
        <w:tc>
          <w:tcPr>
            <w:tcW w:w="3307" w:type="dxa"/>
            <w:vAlign w:val="center"/>
          </w:tcPr>
          <w:p w:rsidR="00185713" w:rsidRDefault="006F3C53">
            <w:pPr>
              <w:jc w:val="right"/>
            </w:pPr>
            <w:r>
              <w:rPr>
                <w:color w:val="000000"/>
                <w:sz w:val="24"/>
              </w:rPr>
              <w:t>8.12</w:t>
            </w:r>
          </w:p>
        </w:tc>
      </w:tr>
      <w:tr w:rsidR="00185713">
        <w:trPr>
          <w:jc w:val="center"/>
        </w:trPr>
        <w:tc>
          <w:tcPr>
            <w:tcW w:w="2904" w:type="dxa"/>
            <w:vAlign w:val="center"/>
          </w:tcPr>
          <w:p w:rsidR="00185713" w:rsidRDefault="006F3C53">
            <w:pPr>
              <w:jc w:val="left"/>
            </w:pPr>
            <w:r>
              <w:rPr>
                <w:color w:val="000000"/>
                <w:sz w:val="24"/>
              </w:rPr>
              <w:t>能源</w:t>
            </w:r>
          </w:p>
        </w:tc>
        <w:tc>
          <w:tcPr>
            <w:tcW w:w="2657" w:type="dxa"/>
            <w:vAlign w:val="center"/>
          </w:tcPr>
          <w:p w:rsidR="00185713" w:rsidRDefault="006F3C53">
            <w:pPr>
              <w:jc w:val="right"/>
            </w:pPr>
            <w:r>
              <w:rPr>
                <w:color w:val="000000"/>
                <w:sz w:val="24"/>
              </w:rPr>
              <w:t>2,273,994.84</w:t>
            </w:r>
          </w:p>
        </w:tc>
        <w:tc>
          <w:tcPr>
            <w:tcW w:w="3307" w:type="dxa"/>
            <w:vAlign w:val="center"/>
          </w:tcPr>
          <w:p w:rsidR="00185713" w:rsidRDefault="006F3C53">
            <w:pPr>
              <w:jc w:val="right"/>
            </w:pPr>
            <w:r>
              <w:rPr>
                <w:color w:val="000000"/>
                <w:sz w:val="24"/>
              </w:rPr>
              <w:t>7.56</w:t>
            </w:r>
          </w:p>
        </w:tc>
      </w:tr>
      <w:tr w:rsidR="00185713">
        <w:trPr>
          <w:jc w:val="center"/>
        </w:trPr>
        <w:tc>
          <w:tcPr>
            <w:tcW w:w="2904" w:type="dxa"/>
            <w:vAlign w:val="center"/>
          </w:tcPr>
          <w:p w:rsidR="00185713" w:rsidRDefault="006F3C53">
            <w:pPr>
              <w:jc w:val="left"/>
            </w:pPr>
            <w:r>
              <w:rPr>
                <w:color w:val="000000"/>
                <w:sz w:val="24"/>
              </w:rPr>
              <w:t>信息技术</w:t>
            </w:r>
          </w:p>
        </w:tc>
        <w:tc>
          <w:tcPr>
            <w:tcW w:w="2657" w:type="dxa"/>
            <w:vAlign w:val="center"/>
          </w:tcPr>
          <w:p w:rsidR="00185713" w:rsidRDefault="006F3C53">
            <w:pPr>
              <w:jc w:val="right"/>
            </w:pPr>
            <w:r>
              <w:rPr>
                <w:color w:val="000000"/>
                <w:sz w:val="24"/>
              </w:rPr>
              <w:t>1,839,946.83</w:t>
            </w:r>
          </w:p>
        </w:tc>
        <w:tc>
          <w:tcPr>
            <w:tcW w:w="3307" w:type="dxa"/>
            <w:vAlign w:val="center"/>
          </w:tcPr>
          <w:p w:rsidR="00185713" w:rsidRDefault="006F3C53">
            <w:pPr>
              <w:jc w:val="right"/>
            </w:pPr>
            <w:r>
              <w:rPr>
                <w:color w:val="000000"/>
                <w:sz w:val="24"/>
              </w:rPr>
              <w:t>6.11</w:t>
            </w:r>
          </w:p>
        </w:tc>
      </w:tr>
      <w:tr w:rsidR="00185713">
        <w:trPr>
          <w:jc w:val="center"/>
        </w:trPr>
        <w:tc>
          <w:tcPr>
            <w:tcW w:w="2904" w:type="dxa"/>
            <w:vAlign w:val="center"/>
          </w:tcPr>
          <w:p w:rsidR="00185713" w:rsidRDefault="006F3C53">
            <w:pPr>
              <w:jc w:val="left"/>
            </w:pPr>
            <w:r>
              <w:rPr>
                <w:color w:val="000000"/>
                <w:sz w:val="24"/>
              </w:rPr>
              <w:t>公共事业</w:t>
            </w:r>
          </w:p>
        </w:tc>
        <w:tc>
          <w:tcPr>
            <w:tcW w:w="2657" w:type="dxa"/>
            <w:vAlign w:val="center"/>
          </w:tcPr>
          <w:p w:rsidR="00185713" w:rsidRDefault="006F3C53">
            <w:pPr>
              <w:jc w:val="right"/>
            </w:pPr>
            <w:r>
              <w:rPr>
                <w:color w:val="000000"/>
                <w:sz w:val="24"/>
              </w:rPr>
              <w:t>1,635,106.48</w:t>
            </w:r>
          </w:p>
        </w:tc>
        <w:tc>
          <w:tcPr>
            <w:tcW w:w="3307" w:type="dxa"/>
            <w:vAlign w:val="center"/>
          </w:tcPr>
          <w:p w:rsidR="00185713" w:rsidRDefault="006F3C53">
            <w:pPr>
              <w:jc w:val="right"/>
            </w:pPr>
            <w:r>
              <w:rPr>
                <w:color w:val="000000"/>
                <w:sz w:val="24"/>
              </w:rPr>
              <w:t>5.43</w:t>
            </w:r>
          </w:p>
        </w:tc>
      </w:tr>
      <w:tr w:rsidR="00185713">
        <w:trPr>
          <w:jc w:val="center"/>
        </w:trPr>
        <w:tc>
          <w:tcPr>
            <w:tcW w:w="2904" w:type="dxa"/>
            <w:vAlign w:val="center"/>
          </w:tcPr>
          <w:p w:rsidR="00185713" w:rsidRDefault="006F3C53">
            <w:pPr>
              <w:jc w:val="left"/>
            </w:pPr>
            <w:r>
              <w:rPr>
                <w:color w:val="000000"/>
                <w:sz w:val="24"/>
              </w:rPr>
              <w:t>不动产</w:t>
            </w:r>
          </w:p>
        </w:tc>
        <w:tc>
          <w:tcPr>
            <w:tcW w:w="2657" w:type="dxa"/>
            <w:vAlign w:val="center"/>
          </w:tcPr>
          <w:p w:rsidR="00185713" w:rsidRDefault="006F3C53">
            <w:pPr>
              <w:jc w:val="right"/>
            </w:pPr>
            <w:r>
              <w:rPr>
                <w:color w:val="000000"/>
                <w:sz w:val="24"/>
              </w:rPr>
              <w:t>1,215,437.76</w:t>
            </w:r>
          </w:p>
        </w:tc>
        <w:tc>
          <w:tcPr>
            <w:tcW w:w="3307" w:type="dxa"/>
            <w:vAlign w:val="center"/>
          </w:tcPr>
          <w:p w:rsidR="00185713" w:rsidRDefault="006F3C53">
            <w:pPr>
              <w:jc w:val="right"/>
            </w:pPr>
            <w:r>
              <w:rPr>
                <w:color w:val="000000"/>
                <w:sz w:val="24"/>
              </w:rPr>
              <w:t>4.04</w:t>
            </w:r>
          </w:p>
        </w:tc>
      </w:tr>
      <w:tr w:rsidR="00185713">
        <w:trPr>
          <w:jc w:val="center"/>
        </w:trPr>
        <w:tc>
          <w:tcPr>
            <w:tcW w:w="2904" w:type="dxa"/>
            <w:vAlign w:val="center"/>
          </w:tcPr>
          <w:p w:rsidR="00185713" w:rsidRDefault="006F3C53">
            <w:pPr>
              <w:jc w:val="left"/>
            </w:pPr>
            <w:r>
              <w:rPr>
                <w:color w:val="000000"/>
                <w:sz w:val="24"/>
              </w:rPr>
              <w:t>保健</w:t>
            </w:r>
          </w:p>
        </w:tc>
        <w:tc>
          <w:tcPr>
            <w:tcW w:w="2657" w:type="dxa"/>
            <w:vAlign w:val="center"/>
          </w:tcPr>
          <w:p w:rsidR="00185713" w:rsidRDefault="006F3C53">
            <w:pPr>
              <w:jc w:val="right"/>
            </w:pPr>
            <w:r>
              <w:rPr>
                <w:color w:val="000000"/>
                <w:sz w:val="24"/>
              </w:rPr>
              <w:t>1,002,245.36</w:t>
            </w:r>
          </w:p>
        </w:tc>
        <w:tc>
          <w:tcPr>
            <w:tcW w:w="3307" w:type="dxa"/>
            <w:vAlign w:val="center"/>
          </w:tcPr>
          <w:p w:rsidR="00185713" w:rsidRDefault="006F3C53">
            <w:pPr>
              <w:jc w:val="right"/>
            </w:pPr>
            <w:r>
              <w:rPr>
                <w:color w:val="000000"/>
                <w:sz w:val="24"/>
              </w:rPr>
              <w:t>3.33</w:t>
            </w:r>
          </w:p>
        </w:tc>
      </w:tr>
      <w:tr w:rsidR="00185713">
        <w:trPr>
          <w:jc w:val="center"/>
        </w:trPr>
        <w:tc>
          <w:tcPr>
            <w:tcW w:w="2904" w:type="dxa"/>
            <w:vAlign w:val="center"/>
          </w:tcPr>
          <w:p w:rsidR="00185713" w:rsidRDefault="006F3C53">
            <w:pPr>
              <w:jc w:val="left"/>
            </w:pPr>
            <w:r>
              <w:rPr>
                <w:color w:val="000000"/>
                <w:sz w:val="24"/>
              </w:rPr>
              <w:t>必需消费品</w:t>
            </w:r>
          </w:p>
        </w:tc>
        <w:tc>
          <w:tcPr>
            <w:tcW w:w="2657" w:type="dxa"/>
            <w:vAlign w:val="center"/>
          </w:tcPr>
          <w:p w:rsidR="00185713" w:rsidRDefault="006F3C53">
            <w:pPr>
              <w:jc w:val="right"/>
            </w:pPr>
            <w:r>
              <w:rPr>
                <w:color w:val="000000"/>
                <w:sz w:val="24"/>
              </w:rPr>
              <w:t>626,833.87</w:t>
            </w:r>
          </w:p>
        </w:tc>
        <w:tc>
          <w:tcPr>
            <w:tcW w:w="3307" w:type="dxa"/>
            <w:vAlign w:val="center"/>
          </w:tcPr>
          <w:p w:rsidR="00185713" w:rsidRDefault="006F3C53">
            <w:pPr>
              <w:jc w:val="right"/>
            </w:pPr>
            <w:r>
              <w:rPr>
                <w:color w:val="000000"/>
                <w:sz w:val="24"/>
              </w:rPr>
              <w:t>2.08</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23,428,348.49</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77.86</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185713">
        <w:trPr>
          <w:jc w:val="center"/>
        </w:trPr>
        <w:tc>
          <w:tcPr>
            <w:tcW w:w="1243" w:type="dxa"/>
            <w:vAlign w:val="center"/>
          </w:tcPr>
          <w:p w:rsidR="00185713" w:rsidRDefault="006F3C53">
            <w:pPr>
              <w:jc w:val="center"/>
            </w:pPr>
            <w:r>
              <w:rPr>
                <w:color w:val="000000"/>
                <w:sz w:val="24"/>
              </w:rPr>
              <w:t>1</w:t>
            </w:r>
          </w:p>
        </w:tc>
        <w:tc>
          <w:tcPr>
            <w:tcW w:w="971" w:type="dxa"/>
            <w:vAlign w:val="center"/>
          </w:tcPr>
          <w:p w:rsidR="00185713" w:rsidRDefault="006F3C53">
            <w:pPr>
              <w:jc w:val="center"/>
            </w:pPr>
            <w:r>
              <w:rPr>
                <w:color w:val="000000"/>
                <w:sz w:val="24"/>
              </w:rPr>
              <w:t>HONG KONG EXCHANGES</w:t>
            </w:r>
          </w:p>
        </w:tc>
        <w:tc>
          <w:tcPr>
            <w:tcW w:w="993" w:type="dxa"/>
            <w:vAlign w:val="center"/>
          </w:tcPr>
          <w:p w:rsidR="00185713" w:rsidRDefault="006F3C53">
            <w:pPr>
              <w:jc w:val="center"/>
            </w:pPr>
            <w:r>
              <w:rPr>
                <w:color w:val="000000"/>
                <w:sz w:val="24"/>
              </w:rPr>
              <w:t>香港交易所</w:t>
            </w:r>
          </w:p>
        </w:tc>
        <w:tc>
          <w:tcPr>
            <w:tcW w:w="725" w:type="dxa"/>
            <w:vAlign w:val="center"/>
          </w:tcPr>
          <w:p w:rsidR="00185713" w:rsidRDefault="006F3C53">
            <w:pPr>
              <w:jc w:val="center"/>
            </w:pPr>
            <w:r>
              <w:rPr>
                <w:color w:val="000000"/>
                <w:sz w:val="24"/>
              </w:rPr>
              <w:t>388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8,000</w:t>
            </w:r>
          </w:p>
        </w:tc>
        <w:tc>
          <w:tcPr>
            <w:tcW w:w="975" w:type="dxa"/>
            <w:vAlign w:val="center"/>
          </w:tcPr>
          <w:p w:rsidR="00185713" w:rsidRDefault="006F3C53">
            <w:pPr>
              <w:jc w:val="right"/>
            </w:pPr>
            <w:r>
              <w:rPr>
                <w:color w:val="000000"/>
                <w:sz w:val="24"/>
              </w:rPr>
              <w:t>1,403,832.33</w:t>
            </w:r>
          </w:p>
        </w:tc>
        <w:tc>
          <w:tcPr>
            <w:tcW w:w="1175" w:type="dxa"/>
            <w:vAlign w:val="center"/>
          </w:tcPr>
          <w:p w:rsidR="00185713" w:rsidRDefault="006F3C53">
            <w:pPr>
              <w:jc w:val="right"/>
            </w:pPr>
            <w:r>
              <w:rPr>
                <w:color w:val="000000"/>
                <w:sz w:val="24"/>
              </w:rPr>
              <w:t>4.67</w:t>
            </w:r>
          </w:p>
        </w:tc>
      </w:tr>
      <w:tr w:rsidR="00185713">
        <w:trPr>
          <w:jc w:val="center"/>
        </w:trPr>
        <w:tc>
          <w:tcPr>
            <w:tcW w:w="1243" w:type="dxa"/>
            <w:vAlign w:val="center"/>
          </w:tcPr>
          <w:p w:rsidR="00185713" w:rsidRDefault="006F3C53">
            <w:pPr>
              <w:jc w:val="center"/>
            </w:pPr>
            <w:r>
              <w:rPr>
                <w:color w:val="000000"/>
                <w:sz w:val="24"/>
              </w:rPr>
              <w:t>2</w:t>
            </w:r>
          </w:p>
        </w:tc>
        <w:tc>
          <w:tcPr>
            <w:tcW w:w="971" w:type="dxa"/>
            <w:vAlign w:val="center"/>
          </w:tcPr>
          <w:p w:rsidR="00185713" w:rsidRDefault="006F3C53">
            <w:pPr>
              <w:jc w:val="center"/>
            </w:pPr>
            <w:r>
              <w:rPr>
                <w:color w:val="000000"/>
                <w:sz w:val="24"/>
              </w:rPr>
              <w:t>Yanzhou Coal Mining-H</w:t>
            </w:r>
          </w:p>
        </w:tc>
        <w:tc>
          <w:tcPr>
            <w:tcW w:w="993" w:type="dxa"/>
            <w:vAlign w:val="center"/>
          </w:tcPr>
          <w:p w:rsidR="00185713" w:rsidRDefault="006F3C53">
            <w:pPr>
              <w:jc w:val="center"/>
            </w:pPr>
            <w:r>
              <w:rPr>
                <w:color w:val="000000"/>
                <w:sz w:val="24"/>
              </w:rPr>
              <w:t>兖州煤业</w:t>
            </w:r>
          </w:p>
        </w:tc>
        <w:tc>
          <w:tcPr>
            <w:tcW w:w="725" w:type="dxa"/>
            <w:vAlign w:val="center"/>
          </w:tcPr>
          <w:p w:rsidR="00185713" w:rsidRDefault="006F3C53">
            <w:pPr>
              <w:jc w:val="center"/>
            </w:pPr>
            <w:r>
              <w:rPr>
                <w:color w:val="000000"/>
                <w:sz w:val="24"/>
              </w:rPr>
              <w:t>1171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300,000</w:t>
            </w:r>
          </w:p>
        </w:tc>
        <w:tc>
          <w:tcPr>
            <w:tcW w:w="975" w:type="dxa"/>
            <w:vAlign w:val="center"/>
          </w:tcPr>
          <w:p w:rsidR="00185713" w:rsidRDefault="006F3C53">
            <w:pPr>
              <w:jc w:val="right"/>
            </w:pPr>
            <w:r>
              <w:rPr>
                <w:color w:val="000000"/>
                <w:sz w:val="24"/>
              </w:rPr>
              <w:t>1,348,381.64</w:t>
            </w:r>
          </w:p>
        </w:tc>
        <w:tc>
          <w:tcPr>
            <w:tcW w:w="1175" w:type="dxa"/>
            <w:vAlign w:val="center"/>
          </w:tcPr>
          <w:p w:rsidR="00185713" w:rsidRDefault="006F3C53">
            <w:pPr>
              <w:jc w:val="right"/>
            </w:pPr>
            <w:r>
              <w:rPr>
                <w:color w:val="000000"/>
                <w:sz w:val="24"/>
              </w:rPr>
              <w:t>4.48</w:t>
            </w:r>
          </w:p>
        </w:tc>
      </w:tr>
      <w:tr w:rsidR="00185713">
        <w:trPr>
          <w:jc w:val="center"/>
        </w:trPr>
        <w:tc>
          <w:tcPr>
            <w:tcW w:w="1243" w:type="dxa"/>
            <w:vAlign w:val="center"/>
          </w:tcPr>
          <w:p w:rsidR="00185713" w:rsidRDefault="006F3C53">
            <w:pPr>
              <w:jc w:val="center"/>
            </w:pPr>
            <w:r>
              <w:rPr>
                <w:color w:val="000000"/>
                <w:sz w:val="24"/>
              </w:rPr>
              <w:t>3</w:t>
            </w:r>
          </w:p>
        </w:tc>
        <w:tc>
          <w:tcPr>
            <w:tcW w:w="971" w:type="dxa"/>
            <w:vAlign w:val="center"/>
          </w:tcPr>
          <w:p w:rsidR="00185713" w:rsidRDefault="006F3C53">
            <w:pPr>
              <w:jc w:val="center"/>
            </w:pPr>
            <w:r>
              <w:rPr>
                <w:color w:val="000000"/>
                <w:sz w:val="24"/>
              </w:rPr>
              <w:t>TENCENT HOLDINGS LTD</w:t>
            </w:r>
          </w:p>
        </w:tc>
        <w:tc>
          <w:tcPr>
            <w:tcW w:w="993" w:type="dxa"/>
            <w:vAlign w:val="center"/>
          </w:tcPr>
          <w:p w:rsidR="00185713" w:rsidRDefault="006F3C53">
            <w:pPr>
              <w:jc w:val="center"/>
            </w:pPr>
            <w:r>
              <w:rPr>
                <w:color w:val="000000"/>
                <w:sz w:val="24"/>
              </w:rPr>
              <w:t>腾讯控股</w:t>
            </w:r>
          </w:p>
        </w:tc>
        <w:tc>
          <w:tcPr>
            <w:tcW w:w="725" w:type="dxa"/>
            <w:vAlign w:val="center"/>
          </w:tcPr>
          <w:p w:rsidR="00185713" w:rsidRDefault="006F3C53">
            <w:pPr>
              <w:jc w:val="center"/>
            </w:pPr>
            <w:r>
              <w:rPr>
                <w:color w:val="000000"/>
                <w:sz w:val="24"/>
              </w:rPr>
              <w:t>700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7,300</w:t>
            </w:r>
          </w:p>
        </w:tc>
        <w:tc>
          <w:tcPr>
            <w:tcW w:w="975" w:type="dxa"/>
            <w:vAlign w:val="center"/>
          </w:tcPr>
          <w:p w:rsidR="00185713" w:rsidRDefault="006F3C53">
            <w:pPr>
              <w:jc w:val="right"/>
            </w:pPr>
            <w:r>
              <w:rPr>
                <w:color w:val="000000"/>
                <w:sz w:val="24"/>
              </w:rPr>
              <w:t>1,338,824.15</w:t>
            </w:r>
          </w:p>
        </w:tc>
        <w:tc>
          <w:tcPr>
            <w:tcW w:w="1175" w:type="dxa"/>
            <w:vAlign w:val="center"/>
          </w:tcPr>
          <w:p w:rsidR="00185713" w:rsidRDefault="006F3C53">
            <w:pPr>
              <w:jc w:val="right"/>
            </w:pPr>
            <w:r>
              <w:rPr>
                <w:color w:val="000000"/>
                <w:sz w:val="24"/>
              </w:rPr>
              <w:t>4.45</w:t>
            </w:r>
          </w:p>
        </w:tc>
      </w:tr>
      <w:tr w:rsidR="00185713">
        <w:trPr>
          <w:jc w:val="center"/>
        </w:trPr>
        <w:tc>
          <w:tcPr>
            <w:tcW w:w="1243" w:type="dxa"/>
            <w:vAlign w:val="center"/>
          </w:tcPr>
          <w:p w:rsidR="00185713" w:rsidRDefault="006F3C53">
            <w:pPr>
              <w:jc w:val="center"/>
            </w:pPr>
            <w:r>
              <w:rPr>
                <w:color w:val="000000"/>
                <w:sz w:val="24"/>
              </w:rPr>
              <w:t>4</w:t>
            </w:r>
          </w:p>
        </w:tc>
        <w:tc>
          <w:tcPr>
            <w:tcW w:w="971" w:type="dxa"/>
            <w:vAlign w:val="center"/>
          </w:tcPr>
          <w:p w:rsidR="00185713" w:rsidRDefault="006F3C53">
            <w:pPr>
              <w:jc w:val="center"/>
            </w:pPr>
            <w:r>
              <w:rPr>
                <w:color w:val="000000"/>
                <w:sz w:val="24"/>
              </w:rPr>
              <w:t>BEIJING URBAN CONSTRUCTION-H</w:t>
            </w:r>
          </w:p>
        </w:tc>
        <w:tc>
          <w:tcPr>
            <w:tcW w:w="993" w:type="dxa"/>
            <w:vAlign w:val="center"/>
          </w:tcPr>
          <w:p w:rsidR="00185713" w:rsidRDefault="006F3C53">
            <w:pPr>
              <w:jc w:val="center"/>
            </w:pPr>
            <w:r>
              <w:rPr>
                <w:color w:val="000000"/>
                <w:sz w:val="24"/>
              </w:rPr>
              <w:t>城建设计</w:t>
            </w:r>
          </w:p>
        </w:tc>
        <w:tc>
          <w:tcPr>
            <w:tcW w:w="725" w:type="dxa"/>
            <w:vAlign w:val="center"/>
          </w:tcPr>
          <w:p w:rsidR="00185713" w:rsidRDefault="006F3C53">
            <w:pPr>
              <w:jc w:val="center"/>
            </w:pPr>
            <w:r>
              <w:rPr>
                <w:color w:val="000000"/>
                <w:sz w:val="24"/>
              </w:rPr>
              <w:t>1599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300,000</w:t>
            </w:r>
          </w:p>
        </w:tc>
        <w:tc>
          <w:tcPr>
            <w:tcW w:w="975" w:type="dxa"/>
            <w:vAlign w:val="center"/>
          </w:tcPr>
          <w:p w:rsidR="00185713" w:rsidRDefault="006F3C53">
            <w:pPr>
              <w:jc w:val="right"/>
            </w:pPr>
            <w:r>
              <w:rPr>
                <w:color w:val="000000"/>
                <w:sz w:val="24"/>
              </w:rPr>
              <w:t>1,250,223.59</w:t>
            </w:r>
          </w:p>
        </w:tc>
        <w:tc>
          <w:tcPr>
            <w:tcW w:w="1175" w:type="dxa"/>
            <w:vAlign w:val="center"/>
          </w:tcPr>
          <w:p w:rsidR="00185713" w:rsidRDefault="006F3C53">
            <w:pPr>
              <w:jc w:val="right"/>
            </w:pPr>
            <w:r>
              <w:rPr>
                <w:color w:val="000000"/>
                <w:sz w:val="24"/>
              </w:rPr>
              <w:t>4.15</w:t>
            </w:r>
          </w:p>
        </w:tc>
      </w:tr>
      <w:tr w:rsidR="00185713">
        <w:trPr>
          <w:jc w:val="center"/>
        </w:trPr>
        <w:tc>
          <w:tcPr>
            <w:tcW w:w="1243" w:type="dxa"/>
            <w:vAlign w:val="center"/>
          </w:tcPr>
          <w:p w:rsidR="00185713" w:rsidRDefault="006F3C53">
            <w:pPr>
              <w:jc w:val="center"/>
            </w:pPr>
            <w:r>
              <w:rPr>
                <w:color w:val="000000"/>
                <w:sz w:val="24"/>
              </w:rPr>
              <w:t>5</w:t>
            </w:r>
          </w:p>
        </w:tc>
        <w:tc>
          <w:tcPr>
            <w:tcW w:w="971" w:type="dxa"/>
            <w:vAlign w:val="center"/>
          </w:tcPr>
          <w:p w:rsidR="00185713" w:rsidRDefault="006F3C53">
            <w:pPr>
              <w:jc w:val="center"/>
            </w:pPr>
            <w:r>
              <w:rPr>
                <w:color w:val="000000"/>
                <w:sz w:val="24"/>
              </w:rPr>
              <w:t>CHINA RESOURCES CEMENT</w:t>
            </w:r>
          </w:p>
        </w:tc>
        <w:tc>
          <w:tcPr>
            <w:tcW w:w="993" w:type="dxa"/>
            <w:vAlign w:val="center"/>
          </w:tcPr>
          <w:p w:rsidR="00185713" w:rsidRDefault="006F3C53">
            <w:pPr>
              <w:jc w:val="center"/>
            </w:pPr>
            <w:r>
              <w:rPr>
                <w:color w:val="000000"/>
                <w:sz w:val="24"/>
              </w:rPr>
              <w:t>华润水泥控股</w:t>
            </w:r>
          </w:p>
        </w:tc>
        <w:tc>
          <w:tcPr>
            <w:tcW w:w="725" w:type="dxa"/>
            <w:vAlign w:val="center"/>
          </w:tcPr>
          <w:p w:rsidR="00185713" w:rsidRDefault="006F3C53">
            <w:pPr>
              <w:jc w:val="center"/>
            </w:pPr>
            <w:r>
              <w:rPr>
                <w:color w:val="000000"/>
                <w:sz w:val="24"/>
              </w:rPr>
              <w:t>1313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450,000</w:t>
            </w:r>
          </w:p>
        </w:tc>
        <w:tc>
          <w:tcPr>
            <w:tcW w:w="975" w:type="dxa"/>
            <w:vAlign w:val="center"/>
          </w:tcPr>
          <w:p w:rsidR="00185713" w:rsidRDefault="006F3C53">
            <w:pPr>
              <w:jc w:val="right"/>
            </w:pPr>
            <w:r>
              <w:rPr>
                <w:color w:val="000000"/>
                <w:sz w:val="24"/>
              </w:rPr>
              <w:t>1,201,144.57</w:t>
            </w:r>
          </w:p>
        </w:tc>
        <w:tc>
          <w:tcPr>
            <w:tcW w:w="1175" w:type="dxa"/>
            <w:vAlign w:val="center"/>
          </w:tcPr>
          <w:p w:rsidR="00185713" w:rsidRDefault="006F3C53">
            <w:pPr>
              <w:jc w:val="right"/>
            </w:pPr>
            <w:r>
              <w:rPr>
                <w:color w:val="000000"/>
                <w:sz w:val="24"/>
              </w:rPr>
              <w:t>3.99</w:t>
            </w:r>
          </w:p>
        </w:tc>
      </w:tr>
      <w:tr w:rsidR="00185713">
        <w:trPr>
          <w:jc w:val="center"/>
        </w:trPr>
        <w:tc>
          <w:tcPr>
            <w:tcW w:w="1243" w:type="dxa"/>
            <w:vAlign w:val="center"/>
          </w:tcPr>
          <w:p w:rsidR="00185713" w:rsidRDefault="006F3C53">
            <w:pPr>
              <w:jc w:val="center"/>
            </w:pPr>
            <w:r>
              <w:rPr>
                <w:color w:val="000000"/>
                <w:sz w:val="24"/>
              </w:rPr>
              <w:t>6</w:t>
            </w:r>
          </w:p>
        </w:tc>
        <w:tc>
          <w:tcPr>
            <w:tcW w:w="971" w:type="dxa"/>
            <w:vAlign w:val="center"/>
          </w:tcPr>
          <w:p w:rsidR="00185713" w:rsidRDefault="006F3C53">
            <w:pPr>
              <w:jc w:val="center"/>
            </w:pPr>
            <w:r>
              <w:rPr>
                <w:color w:val="000000"/>
                <w:sz w:val="24"/>
              </w:rPr>
              <w:t>XINJIANG GOLDWIND SCI&amp;TEC-H</w:t>
            </w:r>
          </w:p>
        </w:tc>
        <w:tc>
          <w:tcPr>
            <w:tcW w:w="993" w:type="dxa"/>
            <w:vAlign w:val="center"/>
          </w:tcPr>
          <w:p w:rsidR="00185713" w:rsidRDefault="006F3C53">
            <w:pPr>
              <w:jc w:val="center"/>
            </w:pPr>
            <w:r>
              <w:rPr>
                <w:color w:val="000000"/>
                <w:sz w:val="24"/>
              </w:rPr>
              <w:t>金风科技</w:t>
            </w:r>
          </w:p>
        </w:tc>
        <w:tc>
          <w:tcPr>
            <w:tcW w:w="725" w:type="dxa"/>
            <w:vAlign w:val="center"/>
          </w:tcPr>
          <w:p w:rsidR="00185713" w:rsidRDefault="006F3C53">
            <w:pPr>
              <w:jc w:val="center"/>
            </w:pPr>
            <w:r>
              <w:rPr>
                <w:color w:val="000000"/>
                <w:sz w:val="24"/>
              </w:rPr>
              <w:t>2208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120,000</w:t>
            </w:r>
          </w:p>
        </w:tc>
        <w:tc>
          <w:tcPr>
            <w:tcW w:w="975" w:type="dxa"/>
            <w:vAlign w:val="center"/>
          </w:tcPr>
          <w:p w:rsidR="00185713" w:rsidRDefault="006F3C53">
            <w:pPr>
              <w:jc w:val="right"/>
            </w:pPr>
            <w:r>
              <w:rPr>
                <w:color w:val="000000"/>
                <w:sz w:val="24"/>
              </w:rPr>
              <w:t>1,196,494.98</w:t>
            </w:r>
          </w:p>
        </w:tc>
        <w:tc>
          <w:tcPr>
            <w:tcW w:w="1175" w:type="dxa"/>
            <w:vAlign w:val="center"/>
          </w:tcPr>
          <w:p w:rsidR="00185713" w:rsidRDefault="006F3C53">
            <w:pPr>
              <w:jc w:val="right"/>
            </w:pPr>
            <w:r>
              <w:rPr>
                <w:color w:val="000000"/>
                <w:sz w:val="24"/>
              </w:rPr>
              <w:t>3.98</w:t>
            </w:r>
          </w:p>
        </w:tc>
      </w:tr>
      <w:tr w:rsidR="00185713">
        <w:trPr>
          <w:jc w:val="center"/>
        </w:trPr>
        <w:tc>
          <w:tcPr>
            <w:tcW w:w="1243" w:type="dxa"/>
            <w:vAlign w:val="center"/>
          </w:tcPr>
          <w:p w:rsidR="00185713" w:rsidRDefault="006F3C53">
            <w:pPr>
              <w:jc w:val="center"/>
            </w:pPr>
            <w:r>
              <w:rPr>
                <w:color w:val="000000"/>
                <w:sz w:val="24"/>
              </w:rPr>
              <w:t>7</w:t>
            </w:r>
          </w:p>
        </w:tc>
        <w:tc>
          <w:tcPr>
            <w:tcW w:w="971" w:type="dxa"/>
            <w:vAlign w:val="center"/>
          </w:tcPr>
          <w:p w:rsidR="00185713" w:rsidRDefault="006F3C53">
            <w:pPr>
              <w:jc w:val="center"/>
            </w:pPr>
            <w:r>
              <w:rPr>
                <w:color w:val="000000"/>
                <w:sz w:val="24"/>
              </w:rPr>
              <w:t>GREAT WALL MOTOR COMPANY-H</w:t>
            </w:r>
          </w:p>
        </w:tc>
        <w:tc>
          <w:tcPr>
            <w:tcW w:w="993" w:type="dxa"/>
            <w:vAlign w:val="center"/>
          </w:tcPr>
          <w:p w:rsidR="00185713" w:rsidRDefault="006F3C53">
            <w:pPr>
              <w:jc w:val="center"/>
            </w:pPr>
            <w:r>
              <w:rPr>
                <w:color w:val="000000"/>
                <w:sz w:val="24"/>
              </w:rPr>
              <w:t>长城汽车</w:t>
            </w:r>
          </w:p>
        </w:tc>
        <w:tc>
          <w:tcPr>
            <w:tcW w:w="725" w:type="dxa"/>
            <w:vAlign w:val="center"/>
          </w:tcPr>
          <w:p w:rsidR="00185713" w:rsidRDefault="006F3C53">
            <w:pPr>
              <w:jc w:val="center"/>
            </w:pPr>
            <w:r>
              <w:rPr>
                <w:color w:val="000000"/>
                <w:sz w:val="24"/>
              </w:rPr>
              <w:t>2333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180,000</w:t>
            </w:r>
          </w:p>
        </w:tc>
        <w:tc>
          <w:tcPr>
            <w:tcW w:w="975" w:type="dxa"/>
            <w:vAlign w:val="center"/>
          </w:tcPr>
          <w:p w:rsidR="00185713" w:rsidRDefault="006F3C53">
            <w:pPr>
              <w:jc w:val="right"/>
            </w:pPr>
            <w:r>
              <w:rPr>
                <w:color w:val="000000"/>
                <w:sz w:val="24"/>
              </w:rPr>
              <w:t>1,170,147.29</w:t>
            </w:r>
          </w:p>
        </w:tc>
        <w:tc>
          <w:tcPr>
            <w:tcW w:w="1175" w:type="dxa"/>
            <w:vAlign w:val="center"/>
          </w:tcPr>
          <w:p w:rsidR="00185713" w:rsidRDefault="006F3C53">
            <w:pPr>
              <w:jc w:val="right"/>
            </w:pPr>
            <w:r>
              <w:rPr>
                <w:color w:val="000000"/>
                <w:sz w:val="24"/>
              </w:rPr>
              <w:t>3.89</w:t>
            </w:r>
          </w:p>
        </w:tc>
      </w:tr>
      <w:tr w:rsidR="00185713">
        <w:trPr>
          <w:jc w:val="center"/>
        </w:trPr>
        <w:tc>
          <w:tcPr>
            <w:tcW w:w="1243" w:type="dxa"/>
            <w:vAlign w:val="center"/>
          </w:tcPr>
          <w:p w:rsidR="00185713" w:rsidRDefault="006F3C53">
            <w:pPr>
              <w:jc w:val="center"/>
            </w:pPr>
            <w:r>
              <w:rPr>
                <w:color w:val="000000"/>
                <w:sz w:val="24"/>
              </w:rPr>
              <w:t>8</w:t>
            </w:r>
          </w:p>
        </w:tc>
        <w:tc>
          <w:tcPr>
            <w:tcW w:w="971" w:type="dxa"/>
            <w:vAlign w:val="center"/>
          </w:tcPr>
          <w:p w:rsidR="00185713" w:rsidRDefault="006F3C53">
            <w:pPr>
              <w:jc w:val="center"/>
            </w:pPr>
            <w:r>
              <w:rPr>
                <w:color w:val="000000"/>
                <w:sz w:val="24"/>
              </w:rPr>
              <w:t>CHINA HONGQIAO GROUP LTD</w:t>
            </w:r>
          </w:p>
        </w:tc>
        <w:tc>
          <w:tcPr>
            <w:tcW w:w="993" w:type="dxa"/>
            <w:vAlign w:val="center"/>
          </w:tcPr>
          <w:p w:rsidR="00185713" w:rsidRDefault="006F3C53">
            <w:pPr>
              <w:jc w:val="center"/>
            </w:pPr>
            <w:r>
              <w:rPr>
                <w:color w:val="000000"/>
                <w:sz w:val="24"/>
              </w:rPr>
              <w:t>中国宏桥</w:t>
            </w:r>
          </w:p>
        </w:tc>
        <w:tc>
          <w:tcPr>
            <w:tcW w:w="725" w:type="dxa"/>
            <w:vAlign w:val="center"/>
          </w:tcPr>
          <w:p w:rsidR="00185713" w:rsidRDefault="006F3C53">
            <w:pPr>
              <w:jc w:val="center"/>
            </w:pPr>
            <w:r>
              <w:rPr>
                <w:color w:val="000000"/>
                <w:sz w:val="24"/>
              </w:rPr>
              <w:t>1378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193,500</w:t>
            </w:r>
          </w:p>
        </w:tc>
        <w:tc>
          <w:tcPr>
            <w:tcW w:w="975" w:type="dxa"/>
            <w:vAlign w:val="center"/>
          </w:tcPr>
          <w:p w:rsidR="00185713" w:rsidRDefault="006F3C53">
            <w:pPr>
              <w:jc w:val="right"/>
            </w:pPr>
            <w:r>
              <w:rPr>
                <w:color w:val="000000"/>
                <w:sz w:val="24"/>
              </w:rPr>
              <w:t>1,162,940.42</w:t>
            </w:r>
          </w:p>
        </w:tc>
        <w:tc>
          <w:tcPr>
            <w:tcW w:w="1175" w:type="dxa"/>
            <w:vAlign w:val="center"/>
          </w:tcPr>
          <w:p w:rsidR="00185713" w:rsidRDefault="006F3C53">
            <w:pPr>
              <w:jc w:val="right"/>
            </w:pPr>
            <w:r>
              <w:rPr>
                <w:color w:val="000000"/>
                <w:sz w:val="24"/>
              </w:rPr>
              <w:t>3.86</w:t>
            </w:r>
          </w:p>
        </w:tc>
      </w:tr>
      <w:tr w:rsidR="00185713">
        <w:trPr>
          <w:jc w:val="center"/>
        </w:trPr>
        <w:tc>
          <w:tcPr>
            <w:tcW w:w="1243" w:type="dxa"/>
            <w:vAlign w:val="center"/>
          </w:tcPr>
          <w:p w:rsidR="00185713" w:rsidRDefault="006F3C53">
            <w:pPr>
              <w:jc w:val="center"/>
            </w:pPr>
            <w:r>
              <w:rPr>
                <w:color w:val="000000"/>
                <w:sz w:val="24"/>
              </w:rPr>
              <w:t>9</w:t>
            </w:r>
          </w:p>
        </w:tc>
        <w:tc>
          <w:tcPr>
            <w:tcW w:w="971" w:type="dxa"/>
            <w:vAlign w:val="center"/>
          </w:tcPr>
          <w:p w:rsidR="00185713" w:rsidRDefault="006F3C53">
            <w:pPr>
              <w:jc w:val="center"/>
            </w:pPr>
            <w:r>
              <w:rPr>
                <w:color w:val="000000"/>
                <w:sz w:val="24"/>
              </w:rPr>
              <w:t>CHINA MOLYBDENUM CO LTD-H</w:t>
            </w:r>
          </w:p>
        </w:tc>
        <w:tc>
          <w:tcPr>
            <w:tcW w:w="993" w:type="dxa"/>
            <w:vAlign w:val="center"/>
          </w:tcPr>
          <w:p w:rsidR="00185713" w:rsidRDefault="006F3C53">
            <w:pPr>
              <w:jc w:val="center"/>
            </w:pPr>
            <w:r>
              <w:rPr>
                <w:color w:val="000000"/>
                <w:sz w:val="24"/>
              </w:rPr>
              <w:t>洛阳钼业</w:t>
            </w:r>
          </w:p>
        </w:tc>
        <w:tc>
          <w:tcPr>
            <w:tcW w:w="725" w:type="dxa"/>
            <w:vAlign w:val="center"/>
          </w:tcPr>
          <w:p w:rsidR="00185713" w:rsidRDefault="006F3C53">
            <w:pPr>
              <w:jc w:val="center"/>
            </w:pPr>
            <w:r>
              <w:rPr>
                <w:color w:val="000000"/>
                <w:sz w:val="24"/>
              </w:rPr>
              <w:t>3993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849,000</w:t>
            </w:r>
          </w:p>
        </w:tc>
        <w:tc>
          <w:tcPr>
            <w:tcW w:w="975" w:type="dxa"/>
            <w:vAlign w:val="center"/>
          </w:tcPr>
          <w:p w:rsidR="00185713" w:rsidRDefault="006F3C53">
            <w:pPr>
              <w:jc w:val="right"/>
            </w:pPr>
            <w:r>
              <w:rPr>
                <w:color w:val="000000"/>
                <w:sz w:val="24"/>
              </w:rPr>
              <w:t>1,162,320.48</w:t>
            </w:r>
          </w:p>
        </w:tc>
        <w:tc>
          <w:tcPr>
            <w:tcW w:w="1175" w:type="dxa"/>
            <w:vAlign w:val="center"/>
          </w:tcPr>
          <w:p w:rsidR="00185713" w:rsidRDefault="006F3C53">
            <w:pPr>
              <w:jc w:val="right"/>
            </w:pPr>
            <w:r>
              <w:rPr>
                <w:color w:val="000000"/>
                <w:sz w:val="24"/>
              </w:rPr>
              <w:t>3.86</w:t>
            </w:r>
          </w:p>
        </w:tc>
      </w:tr>
      <w:tr w:rsidR="00185713">
        <w:trPr>
          <w:jc w:val="center"/>
        </w:trPr>
        <w:tc>
          <w:tcPr>
            <w:tcW w:w="1243" w:type="dxa"/>
            <w:vAlign w:val="center"/>
          </w:tcPr>
          <w:p w:rsidR="00185713" w:rsidRDefault="006F3C53">
            <w:pPr>
              <w:jc w:val="center"/>
            </w:pPr>
            <w:r>
              <w:rPr>
                <w:color w:val="000000"/>
                <w:sz w:val="24"/>
              </w:rPr>
              <w:t>10</w:t>
            </w:r>
          </w:p>
        </w:tc>
        <w:tc>
          <w:tcPr>
            <w:tcW w:w="971" w:type="dxa"/>
            <w:vAlign w:val="center"/>
          </w:tcPr>
          <w:p w:rsidR="00185713" w:rsidRDefault="006F3C53">
            <w:pPr>
              <w:jc w:val="center"/>
            </w:pPr>
            <w:r>
              <w:rPr>
                <w:color w:val="000000"/>
                <w:sz w:val="24"/>
              </w:rPr>
              <w:t>PING AN INSURANCE GR</w:t>
            </w:r>
          </w:p>
        </w:tc>
        <w:tc>
          <w:tcPr>
            <w:tcW w:w="993" w:type="dxa"/>
            <w:vAlign w:val="center"/>
          </w:tcPr>
          <w:p w:rsidR="00185713" w:rsidRDefault="006F3C53">
            <w:pPr>
              <w:jc w:val="center"/>
            </w:pPr>
            <w:r>
              <w:rPr>
                <w:color w:val="000000"/>
                <w:sz w:val="24"/>
              </w:rPr>
              <w:t>中国平安</w:t>
            </w:r>
          </w:p>
        </w:tc>
        <w:tc>
          <w:tcPr>
            <w:tcW w:w="725" w:type="dxa"/>
            <w:vAlign w:val="center"/>
          </w:tcPr>
          <w:p w:rsidR="00185713" w:rsidRDefault="006F3C53">
            <w:pPr>
              <w:jc w:val="center"/>
            </w:pPr>
            <w:r>
              <w:rPr>
                <w:color w:val="000000"/>
                <w:sz w:val="24"/>
              </w:rPr>
              <w:t>2318 HK</w:t>
            </w:r>
          </w:p>
        </w:tc>
        <w:tc>
          <w:tcPr>
            <w:tcW w:w="747" w:type="dxa"/>
            <w:vAlign w:val="center"/>
          </w:tcPr>
          <w:p w:rsidR="00185713" w:rsidRDefault="006F3C53">
            <w:pPr>
              <w:jc w:val="center"/>
            </w:pPr>
            <w:r>
              <w:rPr>
                <w:color w:val="000000"/>
                <w:sz w:val="24"/>
              </w:rPr>
              <w:t>香港证券交易所</w:t>
            </w:r>
          </w:p>
        </w:tc>
        <w:tc>
          <w:tcPr>
            <w:tcW w:w="975" w:type="dxa"/>
            <w:vAlign w:val="center"/>
          </w:tcPr>
          <w:p w:rsidR="00185713" w:rsidRDefault="006F3C53">
            <w:pPr>
              <w:jc w:val="center"/>
            </w:pPr>
            <w:r>
              <w:rPr>
                <w:color w:val="000000"/>
                <w:sz w:val="24"/>
              </w:rPr>
              <w:t>香港</w:t>
            </w:r>
          </w:p>
        </w:tc>
        <w:tc>
          <w:tcPr>
            <w:tcW w:w="1175" w:type="dxa"/>
            <w:vAlign w:val="center"/>
          </w:tcPr>
          <w:p w:rsidR="00185713" w:rsidRDefault="006F3C53">
            <w:pPr>
              <w:jc w:val="right"/>
            </w:pPr>
            <w:r>
              <w:rPr>
                <w:color w:val="000000"/>
                <w:sz w:val="24"/>
              </w:rPr>
              <w:t>30,000</w:t>
            </w:r>
          </w:p>
        </w:tc>
        <w:tc>
          <w:tcPr>
            <w:tcW w:w="975" w:type="dxa"/>
            <w:vAlign w:val="center"/>
          </w:tcPr>
          <w:p w:rsidR="00185713" w:rsidRDefault="006F3C53">
            <w:pPr>
              <w:jc w:val="right"/>
            </w:pPr>
            <w:r>
              <w:rPr>
                <w:color w:val="000000"/>
                <w:sz w:val="24"/>
              </w:rPr>
              <w:t>1,038,408.85</w:t>
            </w:r>
          </w:p>
        </w:tc>
        <w:tc>
          <w:tcPr>
            <w:tcW w:w="1175" w:type="dxa"/>
            <w:vAlign w:val="center"/>
          </w:tcPr>
          <w:p w:rsidR="00185713" w:rsidRDefault="006F3C53">
            <w:pPr>
              <w:jc w:val="right"/>
            </w:pPr>
            <w:r>
              <w:rPr>
                <w:color w:val="000000"/>
                <w:sz w:val="24"/>
              </w:rPr>
              <w:t>3.45</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8D3D3B"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21EDE"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30,087.61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104.57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32,106.81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62,298.99</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26,260,072.06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941,069.92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1,939,280.74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25,261,861.24</w:t>
            </w:r>
          </w:p>
        </w:tc>
      </w:tr>
    </w:tbl>
    <w:p w:rsidR="00185713" w:rsidRDefault="006F3C5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185713" w:rsidRDefault="006F3C53">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185713" w:rsidRDefault="006F3C53">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185713" w:rsidRDefault="006F3C53">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185713" w:rsidRDefault="006F3C53">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185713" w:rsidRDefault="006F3C53">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185713" w:rsidRDefault="006F3C5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bookmarkStart w:id="0" w:name="_GoBack"/>
      <w:bookmarkEnd w:id="0"/>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75" w:rsidRDefault="00B72775">
      <w:r>
        <w:separator/>
      </w:r>
    </w:p>
  </w:endnote>
  <w:endnote w:type="continuationSeparator" w:id="0">
    <w:p w:rsidR="00B72775" w:rsidRDefault="00B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CC335C">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CC335C">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75" w:rsidRDefault="00B72775">
      <w:r>
        <w:separator/>
      </w:r>
    </w:p>
  </w:footnote>
  <w:footnote w:type="continuationSeparator" w:id="0">
    <w:p w:rsidR="00B72775" w:rsidRDefault="00B72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571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840"/>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3C53"/>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5C0D"/>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47F5D"/>
    <w:rsid w:val="00B518C3"/>
    <w:rsid w:val="00B55185"/>
    <w:rsid w:val="00B6104F"/>
    <w:rsid w:val="00B61923"/>
    <w:rsid w:val="00B621D6"/>
    <w:rsid w:val="00B62914"/>
    <w:rsid w:val="00B64F6B"/>
    <w:rsid w:val="00B65D6F"/>
    <w:rsid w:val="00B67552"/>
    <w:rsid w:val="00B67C23"/>
    <w:rsid w:val="00B67CAC"/>
    <w:rsid w:val="00B72775"/>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3A06"/>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35C"/>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5531"/>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16DE5DC-6EEE-4D98-897C-D7F2F255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105</TotalTime>
  <Pages>14</Pages>
  <Words>1162</Words>
  <Characters>6630</Characters>
  <Application>Microsoft Office Word</Application>
  <DocSecurity>0</DocSecurity>
  <Lines>55</Lines>
  <Paragraphs>15</Paragraphs>
  <ScaleCrop>false</ScaleCrop>
  <Company>TRT. Ltd. Co.</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241</cp:revision>
  <cp:lastPrinted>2007-07-19T00:46:00Z</cp:lastPrinted>
  <dcterms:created xsi:type="dcterms:W3CDTF">2013-08-01T05:26:00Z</dcterms:created>
  <dcterms:modified xsi:type="dcterms:W3CDTF">2016-10-20T11:05:00Z</dcterms:modified>
</cp:coreProperties>
</file>