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二〇一六年十月二十五日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43363E">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CC7DCD" w:rsidRDefault="005A26E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498,293,275.45</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820F4" w:rsidRPr="008640AE" w:rsidTr="002820F4">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2820F4" w:rsidRPr="008640AE" w:rsidTr="002820F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6,664,200.03</w:t>
            </w:r>
          </w:p>
        </w:tc>
      </w:tr>
      <w:tr w:rsidR="002820F4" w:rsidRPr="008640AE" w:rsidTr="002820F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98,040,357.19</w:t>
            </w:r>
          </w:p>
        </w:tc>
      </w:tr>
      <w:tr w:rsidR="002820F4" w:rsidRPr="008640AE" w:rsidTr="002820F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0.1832</w:t>
            </w:r>
          </w:p>
        </w:tc>
      </w:tr>
      <w:tr w:rsidR="002820F4" w:rsidRPr="008640AE" w:rsidTr="002820F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521,182,772.44</w:t>
            </w:r>
          </w:p>
        </w:tc>
      </w:tr>
      <w:tr w:rsidR="002820F4" w:rsidRPr="008640AE" w:rsidTr="002820F4">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1.046</w:t>
            </w:r>
          </w:p>
        </w:tc>
      </w:tr>
    </w:tbl>
    <w:p w:rsidR="00CC7DCD" w:rsidRDefault="005A26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CC7DCD">
        <w:trPr>
          <w:jc w:val="center"/>
        </w:trPr>
        <w:tc>
          <w:tcPr>
            <w:tcW w:w="1701" w:type="dxa"/>
            <w:vAlign w:val="center"/>
          </w:tcPr>
          <w:p w:rsidR="00CC7DCD" w:rsidRDefault="005A26EE">
            <w:pPr>
              <w:jc w:val="left"/>
            </w:pPr>
            <w:r>
              <w:rPr>
                <w:color w:val="000000"/>
                <w:sz w:val="24"/>
              </w:rPr>
              <w:t>过去三个月</w:t>
            </w:r>
          </w:p>
        </w:tc>
        <w:tc>
          <w:tcPr>
            <w:tcW w:w="1194" w:type="dxa"/>
            <w:vAlign w:val="center"/>
          </w:tcPr>
          <w:p w:rsidR="00CC7DCD" w:rsidRDefault="005A26EE">
            <w:pPr>
              <w:jc w:val="right"/>
            </w:pPr>
            <w:r>
              <w:rPr>
                <w:color w:val="000000"/>
                <w:sz w:val="24"/>
              </w:rPr>
              <w:t>21.06%</w:t>
            </w:r>
          </w:p>
        </w:tc>
        <w:tc>
          <w:tcPr>
            <w:tcW w:w="1194" w:type="dxa"/>
            <w:vAlign w:val="center"/>
          </w:tcPr>
          <w:p w:rsidR="00CC7DCD" w:rsidRDefault="005A26EE">
            <w:pPr>
              <w:jc w:val="right"/>
            </w:pPr>
            <w:r>
              <w:rPr>
                <w:color w:val="000000"/>
                <w:sz w:val="24"/>
              </w:rPr>
              <w:t>1.01%</w:t>
            </w:r>
          </w:p>
        </w:tc>
        <w:tc>
          <w:tcPr>
            <w:tcW w:w="1194" w:type="dxa"/>
            <w:vAlign w:val="center"/>
          </w:tcPr>
          <w:p w:rsidR="00CC7DCD" w:rsidRDefault="005A26EE">
            <w:pPr>
              <w:jc w:val="right"/>
            </w:pPr>
            <w:r>
              <w:rPr>
                <w:color w:val="000000"/>
                <w:sz w:val="24"/>
              </w:rPr>
              <w:t>20.93%</w:t>
            </w:r>
          </w:p>
        </w:tc>
        <w:tc>
          <w:tcPr>
            <w:tcW w:w="1343" w:type="dxa"/>
            <w:vAlign w:val="center"/>
          </w:tcPr>
          <w:p w:rsidR="00CC7DCD" w:rsidRDefault="005A26EE">
            <w:pPr>
              <w:jc w:val="right"/>
            </w:pPr>
            <w:r>
              <w:rPr>
                <w:color w:val="000000"/>
                <w:sz w:val="24"/>
              </w:rPr>
              <w:t>1.34%</w:t>
            </w:r>
          </w:p>
        </w:tc>
        <w:tc>
          <w:tcPr>
            <w:tcW w:w="1194" w:type="dxa"/>
            <w:vAlign w:val="center"/>
          </w:tcPr>
          <w:p w:rsidR="00CC7DCD" w:rsidRDefault="005A26EE">
            <w:pPr>
              <w:jc w:val="right"/>
            </w:pPr>
            <w:r>
              <w:rPr>
                <w:color w:val="000000"/>
                <w:sz w:val="24"/>
              </w:rPr>
              <w:t>0.13%</w:t>
            </w:r>
          </w:p>
        </w:tc>
        <w:tc>
          <w:tcPr>
            <w:tcW w:w="1048" w:type="dxa"/>
            <w:vAlign w:val="center"/>
          </w:tcPr>
          <w:p w:rsidR="00CC7DCD" w:rsidRDefault="005A26EE">
            <w:pPr>
              <w:jc w:val="right"/>
            </w:pPr>
            <w:r>
              <w:rPr>
                <w:color w:val="000000"/>
                <w:sz w:val="24"/>
              </w:rPr>
              <w:t>-0.33%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注：本基金基金合同生效日为</w:t>
      </w:r>
      <w:r w:rsidRPr="008640AE">
        <w:rPr>
          <w:color w:val="000000"/>
          <w:sz w:val="24"/>
        </w:rPr>
        <w:t>2015</w:t>
      </w:r>
      <w:r w:rsidRPr="008640AE">
        <w:rPr>
          <w:color w:val="000000"/>
          <w:sz w:val="24"/>
        </w:rPr>
        <w:t>年</w:t>
      </w:r>
      <w:r w:rsidRPr="008640AE">
        <w:rPr>
          <w:color w:val="000000"/>
          <w:sz w:val="24"/>
        </w:rPr>
        <w:t>5</w:t>
      </w:r>
      <w:r w:rsidRPr="008640AE">
        <w:rPr>
          <w:color w:val="000000"/>
          <w:sz w:val="24"/>
        </w:rPr>
        <w:t>月</w:t>
      </w:r>
      <w:r w:rsidRPr="008640AE">
        <w:rPr>
          <w:color w:val="000000"/>
          <w:sz w:val="24"/>
        </w:rPr>
        <w:t>27</w:t>
      </w:r>
      <w:r w:rsidRPr="008640AE">
        <w:rPr>
          <w:color w:val="000000"/>
          <w:sz w:val="24"/>
        </w:rPr>
        <w:t>日，截至报告期期末，本基金已完成建仓但报告期期末距建仓结束未满一年。本基金建仓期为自基金合同生效日起的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CC7DCD">
        <w:trPr>
          <w:jc w:val="center"/>
        </w:trPr>
        <w:tc>
          <w:tcPr>
            <w:tcW w:w="846" w:type="dxa"/>
            <w:vAlign w:val="center"/>
          </w:tcPr>
          <w:p w:rsidR="00CC7DCD" w:rsidRDefault="005A26EE">
            <w:pPr>
              <w:jc w:val="center"/>
            </w:pPr>
            <w:r>
              <w:rPr>
                <w:color w:val="000000"/>
                <w:sz w:val="24"/>
              </w:rPr>
              <w:t>蔡铮</w:t>
            </w:r>
          </w:p>
        </w:tc>
        <w:tc>
          <w:tcPr>
            <w:tcW w:w="845" w:type="dxa"/>
            <w:vAlign w:val="center"/>
          </w:tcPr>
          <w:p w:rsidR="00CC7DCD" w:rsidRDefault="005A26EE" w:rsidP="002820F4">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sidR="002820F4">
              <w:rPr>
                <w:rFonts w:hint="eastAsia"/>
                <w:color w:val="000000"/>
                <w:sz w:val="24"/>
              </w:rPr>
              <w:t>（</w:t>
            </w:r>
            <w:r w:rsidR="002820F4">
              <w:rPr>
                <w:rFonts w:hint="eastAsia"/>
                <w:color w:val="000000"/>
                <w:sz w:val="24"/>
              </w:rPr>
              <w:t>LOF</w:t>
            </w:r>
            <w:r w:rsidR="002820F4">
              <w:rPr>
                <w:rFonts w:hint="eastAsia"/>
                <w:color w:val="000000"/>
                <w:sz w:val="24"/>
              </w:rPr>
              <w:t>）</w:t>
            </w:r>
            <w:r>
              <w:rPr>
                <w:color w:val="000000"/>
                <w:sz w:val="24"/>
              </w:rPr>
              <w:t>的基金经理，公司量化投资部副总经理</w:t>
            </w:r>
          </w:p>
        </w:tc>
        <w:tc>
          <w:tcPr>
            <w:tcW w:w="1549" w:type="dxa"/>
            <w:vAlign w:val="center"/>
          </w:tcPr>
          <w:p w:rsidR="00CC7DCD" w:rsidRDefault="005A26EE">
            <w:pPr>
              <w:jc w:val="center"/>
            </w:pPr>
            <w:r>
              <w:rPr>
                <w:color w:val="000000"/>
                <w:sz w:val="24"/>
              </w:rPr>
              <w:t>2015-05-27</w:t>
            </w:r>
          </w:p>
        </w:tc>
        <w:tc>
          <w:tcPr>
            <w:tcW w:w="1548" w:type="dxa"/>
            <w:vAlign w:val="center"/>
          </w:tcPr>
          <w:p w:rsidR="00CC7DCD" w:rsidRDefault="005A26EE">
            <w:pPr>
              <w:jc w:val="center"/>
            </w:pPr>
            <w:r>
              <w:rPr>
                <w:color w:val="000000"/>
                <w:sz w:val="24"/>
              </w:rPr>
              <w:t>-</w:t>
            </w:r>
          </w:p>
        </w:tc>
        <w:tc>
          <w:tcPr>
            <w:tcW w:w="1407" w:type="dxa"/>
            <w:vAlign w:val="center"/>
          </w:tcPr>
          <w:p w:rsidR="00CC7DCD" w:rsidRDefault="005A26EE">
            <w:pPr>
              <w:jc w:val="center"/>
            </w:pPr>
            <w:r>
              <w:rPr>
                <w:color w:val="000000"/>
                <w:sz w:val="24"/>
              </w:rPr>
              <w:t>7</w:t>
            </w:r>
            <w:r>
              <w:rPr>
                <w:color w:val="000000"/>
                <w:sz w:val="24"/>
              </w:rPr>
              <w:t>年</w:t>
            </w:r>
          </w:p>
        </w:tc>
        <w:tc>
          <w:tcPr>
            <w:tcW w:w="2673" w:type="dxa"/>
            <w:vAlign w:val="center"/>
          </w:tcPr>
          <w:p w:rsidR="00CC7DCD" w:rsidRDefault="005A26EE">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bookmarkStart w:id="0" w:name="_GoBack"/>
            <w:r w:rsidR="00F00955">
              <w:rPr>
                <w:rFonts w:hint="eastAsia"/>
                <w:color w:val="000000"/>
                <w:sz w:val="24"/>
              </w:rPr>
              <w:t>。</w:t>
            </w:r>
            <w:r w:rsidR="00F00955">
              <w:rPr>
                <w:color w:val="000000"/>
                <w:sz w:val="24"/>
              </w:rPr>
              <w:t>2015</w:t>
            </w:r>
            <w:r w:rsidR="00F00955">
              <w:rPr>
                <w:rFonts w:hint="eastAsia"/>
                <w:color w:val="000000"/>
                <w:sz w:val="24"/>
              </w:rPr>
              <w:t>年</w:t>
            </w:r>
            <w:r w:rsidR="00F00955">
              <w:rPr>
                <w:color w:val="000000"/>
                <w:sz w:val="24"/>
              </w:rPr>
              <w:t>8</w:t>
            </w:r>
            <w:r w:rsidR="00F00955">
              <w:rPr>
                <w:rFonts w:hint="eastAsia"/>
                <w:color w:val="000000"/>
                <w:sz w:val="24"/>
              </w:rPr>
              <w:t>月</w:t>
            </w:r>
            <w:r w:rsidR="00F00955">
              <w:rPr>
                <w:color w:val="000000"/>
                <w:sz w:val="24"/>
              </w:rPr>
              <w:t>13</w:t>
            </w:r>
            <w:r w:rsidR="00F00955">
              <w:rPr>
                <w:rFonts w:hint="eastAsia"/>
                <w:color w:val="000000"/>
                <w:sz w:val="24"/>
              </w:rPr>
              <w:t>日至</w:t>
            </w:r>
            <w:r w:rsidR="00F00955">
              <w:rPr>
                <w:color w:val="000000"/>
                <w:sz w:val="24"/>
              </w:rPr>
              <w:t>2016</w:t>
            </w:r>
            <w:r w:rsidR="00F00955">
              <w:rPr>
                <w:rFonts w:hint="eastAsia"/>
                <w:color w:val="000000"/>
                <w:sz w:val="24"/>
              </w:rPr>
              <w:t>年</w:t>
            </w:r>
            <w:r w:rsidR="00F00955">
              <w:rPr>
                <w:color w:val="000000"/>
                <w:sz w:val="24"/>
              </w:rPr>
              <w:t>7</w:t>
            </w:r>
            <w:r w:rsidR="00F00955">
              <w:rPr>
                <w:rFonts w:hint="eastAsia"/>
                <w:color w:val="000000"/>
                <w:sz w:val="24"/>
              </w:rPr>
              <w:t>月</w:t>
            </w:r>
            <w:r w:rsidR="00F00955">
              <w:rPr>
                <w:color w:val="000000"/>
                <w:sz w:val="24"/>
              </w:rPr>
              <w:t>18</w:t>
            </w:r>
            <w:r w:rsidR="00F00955">
              <w:rPr>
                <w:rFonts w:hint="eastAsia"/>
                <w:color w:val="000000"/>
                <w:sz w:val="24"/>
              </w:rPr>
              <w:t>日担任交银施罗德中证环境治理指数分级证券投资基金基金经理。</w:t>
            </w:r>
            <w:bookmarkEnd w:id="0"/>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CC7DCD" w:rsidRDefault="005A26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7DCD" w:rsidRDefault="005A26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7DCD" w:rsidRDefault="005A26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00195D4D" w:rsidRPr="008640AE">
        <w:rPr>
          <w:b/>
          <w:color w:val="000000"/>
          <w:kern w:val="0"/>
          <w:sz w:val="24"/>
        </w:rPr>
        <w:t xml:space="preserve"> </w:t>
      </w:r>
      <w:r w:rsidRPr="008640AE">
        <w:rPr>
          <w:b/>
          <w:color w:val="000000"/>
          <w:kern w:val="0"/>
          <w:sz w:val="24"/>
        </w:rPr>
        <w:t>报告期内基金的投资策略和业绩表现说明</w:t>
      </w:r>
    </w:p>
    <w:p w:rsidR="0088334F" w:rsidRPr="0088334F" w:rsidRDefault="0088334F" w:rsidP="0088334F">
      <w:pPr>
        <w:spacing w:before="29" w:line="288" w:lineRule="auto"/>
        <w:ind w:firstLineChars="200" w:firstLine="480"/>
        <w:rPr>
          <w:color w:val="000000"/>
          <w:sz w:val="24"/>
        </w:rPr>
      </w:pPr>
      <w:r w:rsidRPr="0088334F">
        <w:rPr>
          <w:rFonts w:hint="eastAsia"/>
          <w:color w:val="000000"/>
          <w:sz w:val="24"/>
        </w:rPr>
        <w:t>2016</w:t>
      </w:r>
      <w:r w:rsidRPr="0088334F">
        <w:rPr>
          <w:rFonts w:hint="eastAsia"/>
          <w:color w:val="000000"/>
          <w:sz w:val="24"/>
        </w:rPr>
        <w:t>年三季度，国内宏观经济略有回升，通胀预期有所消退，货币政策仍然保持相对宽松的局面，但经济基本面对资本市场的支持力度较为有限。与此相比，海外市场三季度内表现强劲，受到英国脱欧影响，二季度末全球市场出现大幅调整，而在三季度全球主要市场均出现一定的上涨，充裕的流动性将市场的波动幅度进一步压缩。作为跟踪中证海外中国互联网指数的指数基金，在本季度获得了可观的涨幅。</w:t>
      </w:r>
    </w:p>
    <w:p w:rsidR="0088334F" w:rsidRDefault="0088334F" w:rsidP="0088334F">
      <w:pPr>
        <w:spacing w:before="29" w:line="288" w:lineRule="auto"/>
        <w:ind w:firstLineChars="200" w:firstLine="480"/>
        <w:rPr>
          <w:color w:val="000000"/>
          <w:sz w:val="24"/>
        </w:rPr>
      </w:pPr>
      <w:r w:rsidRPr="0088334F">
        <w:rPr>
          <w:rFonts w:hint="eastAsia"/>
          <w:color w:val="000000"/>
          <w:sz w:val="24"/>
        </w:rPr>
        <w:t>展望四季度，在海外整体经济没有稳步向上的环境下，美联储加息进度持续低于预期，加上整体流动性最宽松阶段似乎已过，我们总体持较为谨慎的看法。</w:t>
      </w:r>
    </w:p>
    <w:p w:rsidR="00FD7298" w:rsidRPr="008640AE" w:rsidRDefault="00B0116D" w:rsidP="0088334F">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1.046</w:t>
      </w:r>
      <w:r w:rsidRPr="008640AE">
        <w:rPr>
          <w:color w:val="000000"/>
          <w:sz w:val="24"/>
        </w:rPr>
        <w:t>元，本报告期份额净值增长率为</w:t>
      </w:r>
      <w:r w:rsidRPr="008640AE">
        <w:rPr>
          <w:color w:val="000000"/>
          <w:sz w:val="24"/>
        </w:rPr>
        <w:t>21.06%</w:t>
      </w:r>
      <w:r w:rsidRPr="008640AE">
        <w:rPr>
          <w:color w:val="000000"/>
          <w:sz w:val="24"/>
        </w:rPr>
        <w:t>，同期业绩比较基准增长率为</w:t>
      </w:r>
      <w:r w:rsidRPr="008640AE">
        <w:rPr>
          <w:color w:val="000000"/>
          <w:sz w:val="24"/>
        </w:rPr>
        <w:t>20.93%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470,115,566.12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82.08</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123,397,492.86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21.54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346,718,073.26</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60.53</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84,993,729.50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14.84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17,652,064.23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3.08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572,761,359.85</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CC7DCD">
        <w:trPr>
          <w:jc w:val="center"/>
        </w:trPr>
        <w:tc>
          <w:tcPr>
            <w:tcW w:w="2484" w:type="dxa"/>
            <w:vAlign w:val="center"/>
          </w:tcPr>
          <w:p w:rsidR="00CC7DCD" w:rsidRDefault="005A26EE">
            <w:pPr>
              <w:jc w:val="left"/>
            </w:pPr>
            <w:r>
              <w:rPr>
                <w:color w:val="000000"/>
                <w:sz w:val="24"/>
              </w:rPr>
              <w:t>美国</w:t>
            </w:r>
          </w:p>
        </w:tc>
        <w:tc>
          <w:tcPr>
            <w:tcW w:w="3214" w:type="dxa"/>
            <w:vAlign w:val="center"/>
          </w:tcPr>
          <w:p w:rsidR="00CC7DCD" w:rsidRDefault="005A26EE">
            <w:pPr>
              <w:jc w:val="right"/>
            </w:pPr>
            <w:r>
              <w:rPr>
                <w:color w:val="000000"/>
                <w:sz w:val="24"/>
              </w:rPr>
              <w:t>380,052,526.39</w:t>
            </w:r>
          </w:p>
        </w:tc>
        <w:tc>
          <w:tcPr>
            <w:tcW w:w="3170" w:type="dxa"/>
            <w:vAlign w:val="center"/>
          </w:tcPr>
          <w:p w:rsidR="00CC7DCD" w:rsidRDefault="005A26EE">
            <w:pPr>
              <w:jc w:val="right"/>
            </w:pPr>
            <w:r>
              <w:rPr>
                <w:color w:val="000000"/>
                <w:sz w:val="24"/>
              </w:rPr>
              <w:t>72.92</w:t>
            </w:r>
          </w:p>
        </w:tc>
      </w:tr>
      <w:tr w:rsidR="00CC7DCD">
        <w:trPr>
          <w:jc w:val="center"/>
        </w:trPr>
        <w:tc>
          <w:tcPr>
            <w:tcW w:w="2484" w:type="dxa"/>
            <w:vAlign w:val="center"/>
          </w:tcPr>
          <w:p w:rsidR="00CC7DCD" w:rsidRDefault="005A26EE">
            <w:pPr>
              <w:jc w:val="left"/>
            </w:pPr>
            <w:r>
              <w:rPr>
                <w:color w:val="000000"/>
                <w:sz w:val="24"/>
              </w:rPr>
              <w:t>香港</w:t>
            </w:r>
          </w:p>
        </w:tc>
        <w:tc>
          <w:tcPr>
            <w:tcW w:w="3214" w:type="dxa"/>
            <w:vAlign w:val="center"/>
          </w:tcPr>
          <w:p w:rsidR="00CC7DCD" w:rsidRDefault="005A26EE">
            <w:pPr>
              <w:jc w:val="right"/>
            </w:pPr>
            <w:r>
              <w:rPr>
                <w:color w:val="000000"/>
                <w:sz w:val="24"/>
              </w:rPr>
              <w:t>90,063,039.73</w:t>
            </w:r>
          </w:p>
        </w:tc>
        <w:tc>
          <w:tcPr>
            <w:tcW w:w="3170" w:type="dxa"/>
            <w:vAlign w:val="center"/>
          </w:tcPr>
          <w:p w:rsidR="00CC7DCD" w:rsidRDefault="005A26EE">
            <w:pPr>
              <w:jc w:val="right"/>
            </w:pPr>
            <w:r>
              <w:rPr>
                <w:color w:val="000000"/>
                <w:sz w:val="24"/>
              </w:rPr>
              <w:t>17.28</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470,115,566.12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90.20</w:t>
            </w:r>
          </w:p>
        </w:tc>
      </w:tr>
    </w:tbl>
    <w:p w:rsidR="00CC7DCD" w:rsidRDefault="005A26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CC7DCD">
        <w:tc>
          <w:tcPr>
            <w:tcW w:w="2787" w:type="dxa"/>
            <w:vAlign w:val="center"/>
          </w:tcPr>
          <w:p w:rsidR="00CC7DCD" w:rsidRDefault="005A26EE">
            <w:pPr>
              <w:jc w:val="left"/>
            </w:pPr>
            <w:r>
              <w:rPr>
                <w:color w:val="000000"/>
                <w:sz w:val="24"/>
              </w:rPr>
              <w:t>信息技术</w:t>
            </w:r>
          </w:p>
        </w:tc>
        <w:tc>
          <w:tcPr>
            <w:tcW w:w="2976" w:type="dxa"/>
            <w:vAlign w:val="center"/>
          </w:tcPr>
          <w:p w:rsidR="00CC7DCD" w:rsidRDefault="005A26EE">
            <w:pPr>
              <w:jc w:val="right"/>
            </w:pPr>
            <w:r>
              <w:rPr>
                <w:color w:val="000000"/>
                <w:sz w:val="24"/>
              </w:rPr>
              <w:t>345,621,242.31</w:t>
            </w:r>
          </w:p>
        </w:tc>
        <w:tc>
          <w:tcPr>
            <w:tcW w:w="3261" w:type="dxa"/>
            <w:vAlign w:val="center"/>
          </w:tcPr>
          <w:p w:rsidR="00CC7DCD" w:rsidRDefault="005A26EE">
            <w:pPr>
              <w:jc w:val="right"/>
            </w:pPr>
            <w:r>
              <w:rPr>
                <w:color w:val="000000"/>
                <w:sz w:val="24"/>
              </w:rPr>
              <w:t>66.31</w:t>
            </w:r>
          </w:p>
        </w:tc>
      </w:tr>
      <w:tr w:rsidR="00CC7DCD">
        <w:tc>
          <w:tcPr>
            <w:tcW w:w="2787" w:type="dxa"/>
            <w:vAlign w:val="center"/>
          </w:tcPr>
          <w:p w:rsidR="00CC7DCD" w:rsidRDefault="005A26EE">
            <w:pPr>
              <w:jc w:val="left"/>
            </w:pPr>
            <w:r>
              <w:rPr>
                <w:color w:val="000000"/>
                <w:sz w:val="24"/>
              </w:rPr>
              <w:t>非必需消费品</w:t>
            </w:r>
          </w:p>
        </w:tc>
        <w:tc>
          <w:tcPr>
            <w:tcW w:w="2976" w:type="dxa"/>
            <w:vAlign w:val="center"/>
          </w:tcPr>
          <w:p w:rsidR="00CC7DCD" w:rsidRDefault="005A26EE">
            <w:pPr>
              <w:jc w:val="right"/>
            </w:pPr>
            <w:r>
              <w:rPr>
                <w:color w:val="000000"/>
                <w:sz w:val="24"/>
              </w:rPr>
              <w:t>117,047,161.12</w:t>
            </w:r>
          </w:p>
        </w:tc>
        <w:tc>
          <w:tcPr>
            <w:tcW w:w="3261" w:type="dxa"/>
            <w:vAlign w:val="center"/>
          </w:tcPr>
          <w:p w:rsidR="00CC7DCD" w:rsidRDefault="005A26EE">
            <w:pPr>
              <w:jc w:val="right"/>
            </w:pPr>
            <w:r>
              <w:rPr>
                <w:color w:val="000000"/>
                <w:sz w:val="24"/>
              </w:rPr>
              <w:t>22.46</w:t>
            </w:r>
          </w:p>
        </w:tc>
      </w:tr>
      <w:tr w:rsidR="00CC7DCD">
        <w:tc>
          <w:tcPr>
            <w:tcW w:w="2787" w:type="dxa"/>
            <w:vAlign w:val="center"/>
          </w:tcPr>
          <w:p w:rsidR="00CC7DCD" w:rsidRDefault="005A26EE">
            <w:pPr>
              <w:jc w:val="left"/>
            </w:pPr>
            <w:r>
              <w:rPr>
                <w:color w:val="000000"/>
                <w:sz w:val="24"/>
              </w:rPr>
              <w:t>工业</w:t>
            </w:r>
          </w:p>
        </w:tc>
        <w:tc>
          <w:tcPr>
            <w:tcW w:w="2976" w:type="dxa"/>
            <w:vAlign w:val="center"/>
          </w:tcPr>
          <w:p w:rsidR="00CC7DCD" w:rsidRDefault="005A26EE">
            <w:pPr>
              <w:jc w:val="right"/>
            </w:pPr>
            <w:r>
              <w:rPr>
                <w:color w:val="000000"/>
                <w:sz w:val="24"/>
              </w:rPr>
              <w:t>7,447,162.69</w:t>
            </w:r>
          </w:p>
        </w:tc>
        <w:tc>
          <w:tcPr>
            <w:tcW w:w="3261" w:type="dxa"/>
            <w:vAlign w:val="center"/>
          </w:tcPr>
          <w:p w:rsidR="00CC7DCD" w:rsidRDefault="005A26EE">
            <w:pPr>
              <w:jc w:val="right"/>
            </w:pPr>
            <w:r>
              <w:rPr>
                <w:color w:val="000000"/>
                <w:sz w:val="24"/>
              </w:rPr>
              <w:t>1.43</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470,115,566.12</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90.20</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 xml:space="preserve"> </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7"/>
        <w:gridCol w:w="1915"/>
        <w:gridCol w:w="964"/>
        <w:gridCol w:w="909"/>
        <w:gridCol w:w="622"/>
        <w:gridCol w:w="738"/>
        <w:gridCol w:w="1008"/>
        <w:gridCol w:w="1596"/>
        <w:gridCol w:w="968"/>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CC7DCD">
        <w:tc>
          <w:tcPr>
            <w:tcW w:w="0" w:type="auto"/>
            <w:vAlign w:val="center"/>
          </w:tcPr>
          <w:p w:rsidR="00CC7DCD" w:rsidRDefault="005A26EE">
            <w:pPr>
              <w:jc w:val="center"/>
            </w:pPr>
            <w:r>
              <w:rPr>
                <w:color w:val="000000"/>
                <w:sz w:val="24"/>
              </w:rPr>
              <w:t>1</w:t>
            </w:r>
          </w:p>
        </w:tc>
        <w:tc>
          <w:tcPr>
            <w:tcW w:w="0" w:type="auto"/>
            <w:vAlign w:val="center"/>
          </w:tcPr>
          <w:p w:rsidR="00CC7DCD" w:rsidRDefault="005A26EE">
            <w:pPr>
              <w:jc w:val="center"/>
            </w:pPr>
            <w:r>
              <w:rPr>
                <w:color w:val="000000"/>
                <w:sz w:val="24"/>
              </w:rPr>
              <w:t>ALIBABA GROUP HOLDING-SP ADR</w:t>
            </w:r>
          </w:p>
        </w:tc>
        <w:tc>
          <w:tcPr>
            <w:tcW w:w="0" w:type="auto"/>
            <w:vAlign w:val="center"/>
          </w:tcPr>
          <w:p w:rsidR="00CC7DCD" w:rsidRDefault="005A26EE">
            <w:pPr>
              <w:jc w:val="center"/>
            </w:pPr>
            <w:r>
              <w:rPr>
                <w:color w:val="000000"/>
                <w:sz w:val="24"/>
              </w:rPr>
              <w:t>阿里巴巴集团控股有限公司</w:t>
            </w:r>
          </w:p>
        </w:tc>
        <w:tc>
          <w:tcPr>
            <w:tcW w:w="0" w:type="auto"/>
            <w:vAlign w:val="center"/>
          </w:tcPr>
          <w:p w:rsidR="00CC7DCD" w:rsidRDefault="005A26EE">
            <w:pPr>
              <w:jc w:val="center"/>
            </w:pPr>
            <w:r>
              <w:rPr>
                <w:color w:val="000000"/>
                <w:sz w:val="24"/>
              </w:rPr>
              <w:t>BABA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74,319</w:t>
            </w:r>
          </w:p>
        </w:tc>
        <w:tc>
          <w:tcPr>
            <w:tcW w:w="0" w:type="auto"/>
            <w:vAlign w:val="center"/>
          </w:tcPr>
          <w:p w:rsidR="00CC7DCD" w:rsidRDefault="005A26EE">
            <w:pPr>
              <w:jc w:val="right"/>
            </w:pPr>
            <w:r>
              <w:rPr>
                <w:color w:val="000000"/>
                <w:sz w:val="24"/>
              </w:rPr>
              <w:t>52,502,245.97</w:t>
            </w:r>
          </w:p>
        </w:tc>
        <w:tc>
          <w:tcPr>
            <w:tcW w:w="0" w:type="auto"/>
            <w:vAlign w:val="center"/>
          </w:tcPr>
          <w:p w:rsidR="00CC7DCD" w:rsidRDefault="005A26EE">
            <w:pPr>
              <w:jc w:val="right"/>
            </w:pPr>
            <w:r>
              <w:rPr>
                <w:color w:val="000000"/>
                <w:sz w:val="24"/>
              </w:rPr>
              <w:t>10.07</w:t>
            </w:r>
          </w:p>
        </w:tc>
      </w:tr>
      <w:tr w:rsidR="00CC7DCD">
        <w:tc>
          <w:tcPr>
            <w:tcW w:w="0" w:type="auto"/>
            <w:vAlign w:val="center"/>
          </w:tcPr>
          <w:p w:rsidR="00CC7DCD" w:rsidRDefault="005A26EE">
            <w:pPr>
              <w:jc w:val="center"/>
            </w:pPr>
            <w:r>
              <w:rPr>
                <w:color w:val="000000"/>
                <w:sz w:val="24"/>
              </w:rPr>
              <w:t>2</w:t>
            </w:r>
          </w:p>
        </w:tc>
        <w:tc>
          <w:tcPr>
            <w:tcW w:w="0" w:type="auto"/>
            <w:vAlign w:val="center"/>
          </w:tcPr>
          <w:p w:rsidR="00CC7DCD" w:rsidRDefault="005A26EE">
            <w:pPr>
              <w:jc w:val="center"/>
            </w:pPr>
            <w:r>
              <w:rPr>
                <w:color w:val="000000"/>
                <w:sz w:val="24"/>
              </w:rPr>
              <w:t>Tencent Holdings Ltd</w:t>
            </w:r>
          </w:p>
        </w:tc>
        <w:tc>
          <w:tcPr>
            <w:tcW w:w="0" w:type="auto"/>
            <w:vAlign w:val="center"/>
          </w:tcPr>
          <w:p w:rsidR="00CC7DCD" w:rsidRDefault="005A26EE">
            <w:pPr>
              <w:jc w:val="center"/>
            </w:pPr>
            <w:r>
              <w:rPr>
                <w:color w:val="000000"/>
                <w:sz w:val="24"/>
              </w:rPr>
              <w:t>腾讯控股</w:t>
            </w:r>
          </w:p>
        </w:tc>
        <w:tc>
          <w:tcPr>
            <w:tcW w:w="0" w:type="auto"/>
            <w:vAlign w:val="center"/>
          </w:tcPr>
          <w:p w:rsidR="00CC7DCD" w:rsidRDefault="005A26EE">
            <w:pPr>
              <w:jc w:val="center"/>
            </w:pPr>
            <w:r>
              <w:rPr>
                <w:color w:val="000000"/>
                <w:sz w:val="24"/>
              </w:rPr>
              <w:t>700 HK</w:t>
            </w:r>
          </w:p>
        </w:tc>
        <w:tc>
          <w:tcPr>
            <w:tcW w:w="0" w:type="auto"/>
            <w:vAlign w:val="center"/>
          </w:tcPr>
          <w:p w:rsidR="00CC7DCD" w:rsidRDefault="005A26EE">
            <w:pPr>
              <w:jc w:val="center"/>
            </w:pPr>
            <w:r>
              <w:rPr>
                <w:color w:val="000000"/>
                <w:sz w:val="24"/>
              </w:rPr>
              <w:t>香港证券交易所</w:t>
            </w:r>
          </w:p>
        </w:tc>
        <w:tc>
          <w:tcPr>
            <w:tcW w:w="0" w:type="auto"/>
            <w:vAlign w:val="center"/>
          </w:tcPr>
          <w:p w:rsidR="00CC7DCD" w:rsidRDefault="005A26EE">
            <w:pPr>
              <w:jc w:val="center"/>
            </w:pPr>
            <w:r>
              <w:rPr>
                <w:color w:val="000000"/>
                <w:sz w:val="24"/>
              </w:rPr>
              <w:t>香港</w:t>
            </w:r>
          </w:p>
        </w:tc>
        <w:tc>
          <w:tcPr>
            <w:tcW w:w="0" w:type="auto"/>
            <w:vAlign w:val="center"/>
          </w:tcPr>
          <w:p w:rsidR="00CC7DCD" w:rsidRDefault="005A26EE">
            <w:pPr>
              <w:jc w:val="right"/>
            </w:pPr>
            <w:r>
              <w:rPr>
                <w:color w:val="000000"/>
                <w:sz w:val="24"/>
              </w:rPr>
              <w:t>277,600</w:t>
            </w:r>
          </w:p>
        </w:tc>
        <w:tc>
          <w:tcPr>
            <w:tcW w:w="0" w:type="auto"/>
            <w:vAlign w:val="center"/>
          </w:tcPr>
          <w:p w:rsidR="00CC7DCD" w:rsidRDefault="005A26EE">
            <w:pPr>
              <w:jc w:val="right"/>
            </w:pPr>
            <w:r>
              <w:rPr>
                <w:color w:val="000000"/>
                <w:sz w:val="24"/>
              </w:rPr>
              <w:t>50,911,997.76</w:t>
            </w:r>
          </w:p>
        </w:tc>
        <w:tc>
          <w:tcPr>
            <w:tcW w:w="0" w:type="auto"/>
            <w:vAlign w:val="center"/>
          </w:tcPr>
          <w:p w:rsidR="00CC7DCD" w:rsidRDefault="005A26EE">
            <w:pPr>
              <w:jc w:val="right"/>
            </w:pPr>
            <w:r>
              <w:rPr>
                <w:color w:val="000000"/>
                <w:sz w:val="24"/>
              </w:rPr>
              <w:t>9.77</w:t>
            </w:r>
          </w:p>
        </w:tc>
      </w:tr>
      <w:tr w:rsidR="00CC7DCD">
        <w:tc>
          <w:tcPr>
            <w:tcW w:w="0" w:type="auto"/>
            <w:vAlign w:val="center"/>
          </w:tcPr>
          <w:p w:rsidR="00CC7DCD" w:rsidRDefault="005A26EE">
            <w:pPr>
              <w:jc w:val="center"/>
            </w:pPr>
            <w:r>
              <w:rPr>
                <w:color w:val="000000"/>
                <w:sz w:val="24"/>
              </w:rPr>
              <w:t>3</w:t>
            </w:r>
          </w:p>
        </w:tc>
        <w:tc>
          <w:tcPr>
            <w:tcW w:w="0" w:type="auto"/>
            <w:vAlign w:val="center"/>
          </w:tcPr>
          <w:p w:rsidR="00CC7DCD" w:rsidRDefault="005A26EE">
            <w:pPr>
              <w:jc w:val="center"/>
            </w:pPr>
            <w:r>
              <w:rPr>
                <w:color w:val="000000"/>
                <w:sz w:val="24"/>
              </w:rPr>
              <w:t>NetEase INC-ADR</w:t>
            </w:r>
          </w:p>
        </w:tc>
        <w:tc>
          <w:tcPr>
            <w:tcW w:w="0" w:type="auto"/>
            <w:vAlign w:val="center"/>
          </w:tcPr>
          <w:p w:rsidR="00CC7DCD" w:rsidRDefault="005A26EE">
            <w:pPr>
              <w:jc w:val="center"/>
            </w:pPr>
            <w:r>
              <w:rPr>
                <w:color w:val="000000"/>
                <w:sz w:val="24"/>
              </w:rPr>
              <w:t>网易公司</w:t>
            </w:r>
          </w:p>
        </w:tc>
        <w:tc>
          <w:tcPr>
            <w:tcW w:w="0" w:type="auto"/>
            <w:vAlign w:val="center"/>
          </w:tcPr>
          <w:p w:rsidR="00CC7DCD" w:rsidRDefault="005A26EE">
            <w:pPr>
              <w:jc w:val="center"/>
            </w:pPr>
            <w:r>
              <w:rPr>
                <w:color w:val="000000"/>
                <w:sz w:val="24"/>
              </w:rPr>
              <w:t>NTES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21,774</w:t>
            </w:r>
          </w:p>
        </w:tc>
        <w:tc>
          <w:tcPr>
            <w:tcW w:w="0" w:type="auto"/>
            <w:vAlign w:val="center"/>
          </w:tcPr>
          <w:p w:rsidR="00CC7DCD" w:rsidRDefault="005A26EE">
            <w:pPr>
              <w:jc w:val="right"/>
            </w:pPr>
            <w:r>
              <w:rPr>
                <w:color w:val="000000"/>
                <w:sz w:val="24"/>
              </w:rPr>
              <w:t>35,009,994.01</w:t>
            </w:r>
          </w:p>
        </w:tc>
        <w:tc>
          <w:tcPr>
            <w:tcW w:w="0" w:type="auto"/>
            <w:vAlign w:val="center"/>
          </w:tcPr>
          <w:p w:rsidR="00CC7DCD" w:rsidRDefault="005A26EE">
            <w:pPr>
              <w:jc w:val="right"/>
            </w:pPr>
            <w:r>
              <w:rPr>
                <w:color w:val="000000"/>
                <w:sz w:val="24"/>
              </w:rPr>
              <w:t>6.72</w:t>
            </w:r>
          </w:p>
        </w:tc>
      </w:tr>
      <w:tr w:rsidR="00CC7DCD">
        <w:tc>
          <w:tcPr>
            <w:tcW w:w="0" w:type="auto"/>
            <w:vAlign w:val="center"/>
          </w:tcPr>
          <w:p w:rsidR="00CC7DCD" w:rsidRDefault="005A26EE">
            <w:pPr>
              <w:jc w:val="center"/>
            </w:pPr>
            <w:r>
              <w:rPr>
                <w:color w:val="000000"/>
                <w:sz w:val="24"/>
              </w:rPr>
              <w:t>4</w:t>
            </w:r>
          </w:p>
        </w:tc>
        <w:tc>
          <w:tcPr>
            <w:tcW w:w="0" w:type="auto"/>
            <w:vAlign w:val="center"/>
          </w:tcPr>
          <w:p w:rsidR="00CC7DCD" w:rsidRDefault="005A26EE">
            <w:pPr>
              <w:jc w:val="center"/>
            </w:pPr>
            <w:r>
              <w:rPr>
                <w:color w:val="000000"/>
                <w:sz w:val="24"/>
              </w:rPr>
              <w:t>BAIDU INC - SPON ADR</w:t>
            </w:r>
          </w:p>
        </w:tc>
        <w:tc>
          <w:tcPr>
            <w:tcW w:w="0" w:type="auto"/>
            <w:vAlign w:val="center"/>
          </w:tcPr>
          <w:p w:rsidR="00CC7DCD" w:rsidRDefault="005A26EE">
            <w:pPr>
              <w:jc w:val="center"/>
            </w:pPr>
            <w:r>
              <w:rPr>
                <w:color w:val="000000"/>
                <w:sz w:val="24"/>
              </w:rPr>
              <w:t>百度</w:t>
            </w:r>
          </w:p>
        </w:tc>
        <w:tc>
          <w:tcPr>
            <w:tcW w:w="0" w:type="auto"/>
            <w:vAlign w:val="center"/>
          </w:tcPr>
          <w:p w:rsidR="00CC7DCD" w:rsidRDefault="005A26EE">
            <w:pPr>
              <w:jc w:val="center"/>
            </w:pPr>
            <w:r>
              <w:rPr>
                <w:color w:val="000000"/>
                <w:sz w:val="24"/>
              </w:rPr>
              <w:t>BIDU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28,445</w:t>
            </w:r>
          </w:p>
        </w:tc>
        <w:tc>
          <w:tcPr>
            <w:tcW w:w="0" w:type="auto"/>
            <w:vAlign w:val="center"/>
          </w:tcPr>
          <w:p w:rsidR="00CC7DCD" w:rsidRDefault="005A26EE">
            <w:pPr>
              <w:jc w:val="right"/>
            </w:pPr>
            <w:r>
              <w:rPr>
                <w:color w:val="000000"/>
                <w:sz w:val="24"/>
              </w:rPr>
              <w:t>34,584,200.32</w:t>
            </w:r>
          </w:p>
        </w:tc>
        <w:tc>
          <w:tcPr>
            <w:tcW w:w="0" w:type="auto"/>
            <w:vAlign w:val="center"/>
          </w:tcPr>
          <w:p w:rsidR="00CC7DCD" w:rsidRDefault="005A26EE">
            <w:pPr>
              <w:jc w:val="right"/>
            </w:pPr>
            <w:r>
              <w:rPr>
                <w:color w:val="000000"/>
                <w:sz w:val="24"/>
              </w:rPr>
              <w:t>6.64</w:t>
            </w:r>
          </w:p>
        </w:tc>
      </w:tr>
      <w:tr w:rsidR="00CC7DCD">
        <w:tc>
          <w:tcPr>
            <w:tcW w:w="0" w:type="auto"/>
            <w:vAlign w:val="center"/>
          </w:tcPr>
          <w:p w:rsidR="00CC7DCD" w:rsidRDefault="005A26EE">
            <w:pPr>
              <w:jc w:val="center"/>
            </w:pPr>
            <w:r>
              <w:rPr>
                <w:color w:val="000000"/>
                <w:sz w:val="24"/>
              </w:rPr>
              <w:t>5</w:t>
            </w:r>
          </w:p>
        </w:tc>
        <w:tc>
          <w:tcPr>
            <w:tcW w:w="0" w:type="auto"/>
            <w:vAlign w:val="center"/>
          </w:tcPr>
          <w:p w:rsidR="00CC7DCD" w:rsidRDefault="005A26EE">
            <w:pPr>
              <w:jc w:val="center"/>
            </w:pPr>
            <w:r>
              <w:rPr>
                <w:color w:val="000000"/>
                <w:sz w:val="24"/>
              </w:rPr>
              <w:t>JD.COM INC-ADR</w:t>
            </w:r>
          </w:p>
        </w:tc>
        <w:tc>
          <w:tcPr>
            <w:tcW w:w="0" w:type="auto"/>
            <w:vAlign w:val="center"/>
          </w:tcPr>
          <w:p w:rsidR="00CC7DCD" w:rsidRDefault="005A26EE">
            <w:pPr>
              <w:jc w:val="center"/>
            </w:pPr>
            <w:r>
              <w:rPr>
                <w:color w:val="000000"/>
                <w:sz w:val="24"/>
              </w:rPr>
              <w:t>京东</w:t>
            </w:r>
          </w:p>
        </w:tc>
        <w:tc>
          <w:tcPr>
            <w:tcW w:w="0" w:type="auto"/>
            <w:vAlign w:val="center"/>
          </w:tcPr>
          <w:p w:rsidR="00CC7DCD" w:rsidRDefault="005A26EE">
            <w:pPr>
              <w:jc w:val="center"/>
            </w:pPr>
            <w:r>
              <w:rPr>
                <w:color w:val="000000"/>
                <w:sz w:val="24"/>
              </w:rPr>
              <w:t>JD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184,751</w:t>
            </w:r>
          </w:p>
        </w:tc>
        <w:tc>
          <w:tcPr>
            <w:tcW w:w="0" w:type="auto"/>
            <w:vAlign w:val="center"/>
          </w:tcPr>
          <w:p w:rsidR="00CC7DCD" w:rsidRDefault="005A26EE">
            <w:pPr>
              <w:jc w:val="right"/>
            </w:pPr>
            <w:r>
              <w:rPr>
                <w:color w:val="000000"/>
                <w:sz w:val="24"/>
              </w:rPr>
              <w:t>32,188,021.64</w:t>
            </w:r>
          </w:p>
        </w:tc>
        <w:tc>
          <w:tcPr>
            <w:tcW w:w="0" w:type="auto"/>
            <w:vAlign w:val="center"/>
          </w:tcPr>
          <w:p w:rsidR="00CC7DCD" w:rsidRDefault="005A26EE">
            <w:pPr>
              <w:jc w:val="right"/>
            </w:pPr>
            <w:r>
              <w:rPr>
                <w:color w:val="000000"/>
                <w:sz w:val="24"/>
              </w:rPr>
              <w:t>6.18</w:t>
            </w:r>
          </w:p>
        </w:tc>
      </w:tr>
      <w:tr w:rsidR="00CC7DCD">
        <w:tc>
          <w:tcPr>
            <w:tcW w:w="0" w:type="auto"/>
            <w:vAlign w:val="center"/>
          </w:tcPr>
          <w:p w:rsidR="00CC7DCD" w:rsidRDefault="005A26EE">
            <w:pPr>
              <w:jc w:val="center"/>
            </w:pPr>
            <w:r>
              <w:rPr>
                <w:color w:val="000000"/>
                <w:sz w:val="24"/>
              </w:rPr>
              <w:t>6</w:t>
            </w:r>
          </w:p>
        </w:tc>
        <w:tc>
          <w:tcPr>
            <w:tcW w:w="0" w:type="auto"/>
            <w:vAlign w:val="center"/>
          </w:tcPr>
          <w:p w:rsidR="00CC7DCD" w:rsidRDefault="005A26EE">
            <w:pPr>
              <w:jc w:val="center"/>
            </w:pPr>
            <w:r>
              <w:rPr>
                <w:color w:val="000000"/>
                <w:sz w:val="24"/>
              </w:rPr>
              <w:t>SINA CORP</w:t>
            </w:r>
          </w:p>
        </w:tc>
        <w:tc>
          <w:tcPr>
            <w:tcW w:w="0" w:type="auto"/>
            <w:vAlign w:val="center"/>
          </w:tcPr>
          <w:p w:rsidR="00CC7DCD" w:rsidRDefault="005A26EE">
            <w:pPr>
              <w:jc w:val="center"/>
            </w:pPr>
            <w:r>
              <w:rPr>
                <w:color w:val="000000"/>
                <w:sz w:val="24"/>
              </w:rPr>
              <w:t>新浪公司</w:t>
            </w:r>
          </w:p>
        </w:tc>
        <w:tc>
          <w:tcPr>
            <w:tcW w:w="0" w:type="auto"/>
            <w:vAlign w:val="center"/>
          </w:tcPr>
          <w:p w:rsidR="00CC7DCD" w:rsidRDefault="005A26EE">
            <w:pPr>
              <w:jc w:val="center"/>
            </w:pPr>
            <w:r>
              <w:rPr>
                <w:color w:val="000000"/>
                <w:sz w:val="24"/>
              </w:rPr>
              <w:t>SINA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47,617</w:t>
            </w:r>
          </w:p>
        </w:tc>
        <w:tc>
          <w:tcPr>
            <w:tcW w:w="0" w:type="auto"/>
            <w:vAlign w:val="center"/>
          </w:tcPr>
          <w:p w:rsidR="00CC7DCD" w:rsidRDefault="005A26EE">
            <w:pPr>
              <w:jc w:val="right"/>
            </w:pPr>
            <w:r>
              <w:rPr>
                <w:color w:val="000000"/>
                <w:sz w:val="24"/>
              </w:rPr>
              <w:t>23,476,227.34</w:t>
            </w:r>
          </w:p>
        </w:tc>
        <w:tc>
          <w:tcPr>
            <w:tcW w:w="0" w:type="auto"/>
            <w:vAlign w:val="center"/>
          </w:tcPr>
          <w:p w:rsidR="00CC7DCD" w:rsidRDefault="005A26EE">
            <w:pPr>
              <w:jc w:val="right"/>
            </w:pPr>
            <w:r>
              <w:rPr>
                <w:color w:val="000000"/>
                <w:sz w:val="24"/>
              </w:rPr>
              <w:t>4.50</w:t>
            </w:r>
          </w:p>
        </w:tc>
      </w:tr>
      <w:tr w:rsidR="00CC7DCD">
        <w:tc>
          <w:tcPr>
            <w:tcW w:w="0" w:type="auto"/>
            <w:vAlign w:val="center"/>
          </w:tcPr>
          <w:p w:rsidR="00CC7DCD" w:rsidRDefault="005A26EE">
            <w:pPr>
              <w:jc w:val="center"/>
            </w:pPr>
            <w:r>
              <w:rPr>
                <w:color w:val="000000"/>
                <w:sz w:val="24"/>
              </w:rPr>
              <w:t>7</w:t>
            </w:r>
          </w:p>
        </w:tc>
        <w:tc>
          <w:tcPr>
            <w:tcW w:w="0" w:type="auto"/>
            <w:vAlign w:val="center"/>
          </w:tcPr>
          <w:p w:rsidR="00CC7DCD" w:rsidRDefault="005A26EE">
            <w:pPr>
              <w:jc w:val="center"/>
            </w:pPr>
            <w:r>
              <w:rPr>
                <w:color w:val="000000"/>
                <w:sz w:val="24"/>
              </w:rPr>
              <w:t>VIPSHOP HOLDINGS LTD - ADS</w:t>
            </w:r>
          </w:p>
        </w:tc>
        <w:tc>
          <w:tcPr>
            <w:tcW w:w="0" w:type="auto"/>
            <w:vAlign w:val="center"/>
          </w:tcPr>
          <w:p w:rsidR="00CC7DCD" w:rsidRDefault="005A26EE">
            <w:pPr>
              <w:jc w:val="center"/>
            </w:pPr>
            <w:r>
              <w:rPr>
                <w:color w:val="000000"/>
                <w:sz w:val="24"/>
              </w:rPr>
              <w:t>唯品会控股有限公司</w:t>
            </w:r>
          </w:p>
        </w:tc>
        <w:tc>
          <w:tcPr>
            <w:tcW w:w="0" w:type="auto"/>
            <w:vAlign w:val="center"/>
          </w:tcPr>
          <w:p w:rsidR="00CC7DCD" w:rsidRDefault="005A26EE">
            <w:pPr>
              <w:jc w:val="center"/>
            </w:pPr>
            <w:r>
              <w:rPr>
                <w:color w:val="000000"/>
                <w:sz w:val="24"/>
              </w:rPr>
              <w:t>VIPS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222,813</w:t>
            </w:r>
          </w:p>
        </w:tc>
        <w:tc>
          <w:tcPr>
            <w:tcW w:w="0" w:type="auto"/>
            <w:vAlign w:val="center"/>
          </w:tcPr>
          <w:p w:rsidR="00CC7DCD" w:rsidRDefault="005A26EE">
            <w:pPr>
              <w:jc w:val="right"/>
            </w:pPr>
            <w:r>
              <w:rPr>
                <w:color w:val="000000"/>
                <w:sz w:val="24"/>
              </w:rPr>
              <w:t>21,827,502.56</w:t>
            </w:r>
          </w:p>
        </w:tc>
        <w:tc>
          <w:tcPr>
            <w:tcW w:w="0" w:type="auto"/>
            <w:vAlign w:val="center"/>
          </w:tcPr>
          <w:p w:rsidR="00CC7DCD" w:rsidRDefault="005A26EE">
            <w:pPr>
              <w:jc w:val="right"/>
            </w:pPr>
            <w:r>
              <w:rPr>
                <w:color w:val="000000"/>
                <w:sz w:val="24"/>
              </w:rPr>
              <w:t>4.19</w:t>
            </w:r>
          </w:p>
        </w:tc>
      </w:tr>
      <w:tr w:rsidR="00CC7DCD">
        <w:tc>
          <w:tcPr>
            <w:tcW w:w="0" w:type="auto"/>
            <w:vAlign w:val="center"/>
          </w:tcPr>
          <w:p w:rsidR="00CC7DCD" w:rsidRDefault="005A26EE">
            <w:pPr>
              <w:jc w:val="center"/>
            </w:pPr>
            <w:r>
              <w:rPr>
                <w:color w:val="000000"/>
                <w:sz w:val="24"/>
              </w:rPr>
              <w:t>8</w:t>
            </w:r>
          </w:p>
        </w:tc>
        <w:tc>
          <w:tcPr>
            <w:tcW w:w="0" w:type="auto"/>
            <w:vAlign w:val="center"/>
          </w:tcPr>
          <w:p w:rsidR="00CC7DCD" w:rsidRDefault="005A26EE">
            <w:pPr>
              <w:jc w:val="center"/>
            </w:pPr>
            <w:r>
              <w:rPr>
                <w:color w:val="000000"/>
                <w:sz w:val="24"/>
              </w:rPr>
              <w:t>CTRIP.COM INTERNATIO</w:t>
            </w:r>
          </w:p>
        </w:tc>
        <w:tc>
          <w:tcPr>
            <w:tcW w:w="0" w:type="auto"/>
            <w:vAlign w:val="center"/>
          </w:tcPr>
          <w:p w:rsidR="00CC7DCD" w:rsidRDefault="005A26EE">
            <w:pPr>
              <w:jc w:val="center"/>
            </w:pPr>
            <w:r>
              <w:rPr>
                <w:color w:val="000000"/>
                <w:sz w:val="24"/>
              </w:rPr>
              <w:t>携程</w:t>
            </w:r>
          </w:p>
        </w:tc>
        <w:tc>
          <w:tcPr>
            <w:tcW w:w="0" w:type="auto"/>
            <w:vAlign w:val="center"/>
          </w:tcPr>
          <w:p w:rsidR="00CC7DCD" w:rsidRDefault="005A26EE">
            <w:pPr>
              <w:jc w:val="center"/>
            </w:pPr>
            <w:r>
              <w:rPr>
                <w:color w:val="000000"/>
                <w:sz w:val="24"/>
              </w:rPr>
              <w:t>CTRP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55,906</w:t>
            </w:r>
          </w:p>
        </w:tc>
        <w:tc>
          <w:tcPr>
            <w:tcW w:w="0" w:type="auto"/>
            <w:vAlign w:val="center"/>
          </w:tcPr>
          <w:p w:rsidR="00CC7DCD" w:rsidRDefault="005A26EE">
            <w:pPr>
              <w:jc w:val="right"/>
            </w:pPr>
            <w:r>
              <w:rPr>
                <w:color w:val="000000"/>
                <w:sz w:val="24"/>
              </w:rPr>
              <w:t>17,385,935.57</w:t>
            </w:r>
          </w:p>
        </w:tc>
        <w:tc>
          <w:tcPr>
            <w:tcW w:w="0" w:type="auto"/>
            <w:vAlign w:val="center"/>
          </w:tcPr>
          <w:p w:rsidR="00CC7DCD" w:rsidRDefault="005A26EE">
            <w:pPr>
              <w:jc w:val="right"/>
            </w:pPr>
            <w:r>
              <w:rPr>
                <w:color w:val="000000"/>
                <w:sz w:val="24"/>
              </w:rPr>
              <w:t>3.34</w:t>
            </w:r>
          </w:p>
        </w:tc>
      </w:tr>
      <w:tr w:rsidR="00CC7DCD">
        <w:tc>
          <w:tcPr>
            <w:tcW w:w="0" w:type="auto"/>
            <w:vAlign w:val="center"/>
          </w:tcPr>
          <w:p w:rsidR="00CC7DCD" w:rsidRDefault="005A26EE">
            <w:pPr>
              <w:jc w:val="center"/>
            </w:pPr>
            <w:r>
              <w:rPr>
                <w:color w:val="000000"/>
                <w:sz w:val="24"/>
              </w:rPr>
              <w:t>9</w:t>
            </w:r>
          </w:p>
        </w:tc>
        <w:tc>
          <w:tcPr>
            <w:tcW w:w="0" w:type="auto"/>
            <w:vAlign w:val="center"/>
          </w:tcPr>
          <w:p w:rsidR="00CC7DCD" w:rsidRDefault="005A26EE">
            <w:pPr>
              <w:jc w:val="center"/>
            </w:pPr>
            <w:r>
              <w:rPr>
                <w:color w:val="000000"/>
                <w:sz w:val="24"/>
              </w:rPr>
              <w:t>TAL EDUCATION GROUP-ADR</w:t>
            </w:r>
          </w:p>
        </w:tc>
        <w:tc>
          <w:tcPr>
            <w:tcW w:w="0" w:type="auto"/>
            <w:vAlign w:val="center"/>
          </w:tcPr>
          <w:p w:rsidR="00CC7DCD" w:rsidRDefault="005A26EE">
            <w:pPr>
              <w:jc w:val="center"/>
            </w:pPr>
            <w:r>
              <w:rPr>
                <w:color w:val="000000"/>
                <w:sz w:val="24"/>
              </w:rPr>
              <w:t>学而思教育集团</w:t>
            </w:r>
          </w:p>
        </w:tc>
        <w:tc>
          <w:tcPr>
            <w:tcW w:w="0" w:type="auto"/>
            <w:vAlign w:val="center"/>
          </w:tcPr>
          <w:p w:rsidR="00CC7DCD" w:rsidRDefault="005A26EE">
            <w:pPr>
              <w:jc w:val="center"/>
            </w:pPr>
            <w:r>
              <w:rPr>
                <w:color w:val="000000"/>
                <w:sz w:val="24"/>
              </w:rPr>
              <w:t>XRS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35,215</w:t>
            </w:r>
          </w:p>
        </w:tc>
        <w:tc>
          <w:tcPr>
            <w:tcW w:w="0" w:type="auto"/>
            <w:vAlign w:val="center"/>
          </w:tcPr>
          <w:p w:rsidR="00CC7DCD" w:rsidRDefault="005A26EE">
            <w:pPr>
              <w:jc w:val="right"/>
            </w:pPr>
            <w:r>
              <w:rPr>
                <w:color w:val="000000"/>
                <w:sz w:val="24"/>
              </w:rPr>
              <w:t>16,658,644.22</w:t>
            </w:r>
          </w:p>
        </w:tc>
        <w:tc>
          <w:tcPr>
            <w:tcW w:w="0" w:type="auto"/>
            <w:vAlign w:val="center"/>
          </w:tcPr>
          <w:p w:rsidR="00CC7DCD" w:rsidRDefault="005A26EE">
            <w:pPr>
              <w:jc w:val="right"/>
            </w:pPr>
            <w:r>
              <w:rPr>
                <w:color w:val="000000"/>
                <w:sz w:val="24"/>
              </w:rPr>
              <w:t>3.20</w:t>
            </w:r>
          </w:p>
        </w:tc>
      </w:tr>
      <w:tr w:rsidR="00CC7DCD">
        <w:tc>
          <w:tcPr>
            <w:tcW w:w="0" w:type="auto"/>
            <w:vAlign w:val="center"/>
          </w:tcPr>
          <w:p w:rsidR="00CC7DCD" w:rsidRDefault="005A26EE">
            <w:pPr>
              <w:jc w:val="center"/>
            </w:pPr>
            <w:r>
              <w:rPr>
                <w:color w:val="000000"/>
                <w:sz w:val="24"/>
              </w:rPr>
              <w:t>10</w:t>
            </w:r>
          </w:p>
        </w:tc>
        <w:tc>
          <w:tcPr>
            <w:tcW w:w="0" w:type="auto"/>
            <w:vAlign w:val="center"/>
          </w:tcPr>
          <w:p w:rsidR="00CC7DCD" w:rsidRDefault="005A26EE">
            <w:pPr>
              <w:jc w:val="center"/>
            </w:pPr>
            <w:r>
              <w:rPr>
                <w:color w:val="000000"/>
                <w:sz w:val="24"/>
              </w:rPr>
              <w:t>WEIBO CORP-SPON ADR</w:t>
            </w:r>
          </w:p>
        </w:tc>
        <w:tc>
          <w:tcPr>
            <w:tcW w:w="0" w:type="auto"/>
            <w:vAlign w:val="center"/>
          </w:tcPr>
          <w:p w:rsidR="00CC7DCD" w:rsidRDefault="005A26EE">
            <w:pPr>
              <w:jc w:val="center"/>
            </w:pPr>
            <w:r>
              <w:rPr>
                <w:color w:val="000000"/>
                <w:sz w:val="24"/>
              </w:rPr>
              <w:t>新浪微博</w:t>
            </w:r>
          </w:p>
        </w:tc>
        <w:tc>
          <w:tcPr>
            <w:tcW w:w="0" w:type="auto"/>
            <w:vAlign w:val="center"/>
          </w:tcPr>
          <w:p w:rsidR="00CC7DCD" w:rsidRDefault="005A26EE">
            <w:pPr>
              <w:jc w:val="center"/>
            </w:pPr>
            <w:r>
              <w:rPr>
                <w:color w:val="000000"/>
                <w:sz w:val="24"/>
              </w:rPr>
              <w:t>WB US</w:t>
            </w:r>
          </w:p>
        </w:tc>
        <w:tc>
          <w:tcPr>
            <w:tcW w:w="0" w:type="auto"/>
            <w:vAlign w:val="center"/>
          </w:tcPr>
          <w:p w:rsidR="00CC7DCD" w:rsidRDefault="005A26EE">
            <w:pPr>
              <w:jc w:val="center"/>
            </w:pPr>
            <w:r>
              <w:rPr>
                <w:color w:val="000000"/>
                <w:sz w:val="24"/>
              </w:rPr>
              <w:t>美国证券交易所</w:t>
            </w:r>
          </w:p>
        </w:tc>
        <w:tc>
          <w:tcPr>
            <w:tcW w:w="0" w:type="auto"/>
            <w:vAlign w:val="center"/>
          </w:tcPr>
          <w:p w:rsidR="00CC7DCD" w:rsidRDefault="005A26EE">
            <w:pPr>
              <w:jc w:val="center"/>
            </w:pPr>
            <w:r>
              <w:rPr>
                <w:color w:val="000000"/>
                <w:sz w:val="24"/>
              </w:rPr>
              <w:t>美国</w:t>
            </w:r>
          </w:p>
        </w:tc>
        <w:tc>
          <w:tcPr>
            <w:tcW w:w="0" w:type="auto"/>
            <w:vAlign w:val="center"/>
          </w:tcPr>
          <w:p w:rsidR="00CC7DCD" w:rsidRDefault="005A26EE">
            <w:pPr>
              <w:jc w:val="right"/>
            </w:pPr>
            <w:r>
              <w:rPr>
                <w:color w:val="000000"/>
                <w:sz w:val="24"/>
              </w:rPr>
              <w:t>46,448</w:t>
            </w:r>
          </w:p>
        </w:tc>
        <w:tc>
          <w:tcPr>
            <w:tcW w:w="0" w:type="auto"/>
            <w:vAlign w:val="center"/>
          </w:tcPr>
          <w:p w:rsidR="00CC7DCD" w:rsidRDefault="005A26EE">
            <w:pPr>
              <w:jc w:val="right"/>
            </w:pPr>
            <w:r>
              <w:rPr>
                <w:color w:val="000000"/>
                <w:sz w:val="24"/>
              </w:rPr>
              <w:t>15,551,946.58</w:t>
            </w:r>
          </w:p>
        </w:tc>
        <w:tc>
          <w:tcPr>
            <w:tcW w:w="0" w:type="auto"/>
            <w:vAlign w:val="center"/>
          </w:tcPr>
          <w:p w:rsidR="00CC7DCD" w:rsidRDefault="005A26EE">
            <w:pPr>
              <w:jc w:val="right"/>
            </w:pPr>
            <w:r>
              <w:rPr>
                <w:color w:val="000000"/>
                <w:sz w:val="24"/>
              </w:rPr>
              <w:t>2.98</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 xml:space="preserve"> </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8D3D3B"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21EDE"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46193" w:rsidRPr="00746193" w:rsidRDefault="004966FE" w:rsidP="00746193">
      <w:pPr>
        <w:rPr>
          <w:rFonts w:asciiTheme="minorEastAsia" w:hAnsiTheme="minorEastAsia"/>
          <w:szCs w:val="21"/>
        </w:rPr>
      </w:pPr>
      <w:r w:rsidRPr="008640AE">
        <w:rPr>
          <w:color w:val="000000"/>
          <w:sz w:val="24"/>
        </w:rPr>
        <w:t>5.10.1</w:t>
      </w:r>
      <w:r w:rsidR="00746193" w:rsidRPr="003C1A77">
        <w:rPr>
          <w:rFonts w:hint="eastAsia"/>
          <w:color w:val="000000"/>
          <w:sz w:val="24"/>
        </w:rPr>
        <w:t>报告期内本基金投资的前十名证券的发行主体除京东（证券代码：</w:t>
      </w:r>
      <w:r w:rsidR="00746193" w:rsidRPr="003C1A77">
        <w:rPr>
          <w:color w:val="000000"/>
          <w:sz w:val="24"/>
        </w:rPr>
        <w:t>JD US</w:t>
      </w:r>
      <w:r w:rsidR="00746193" w:rsidRPr="003C1A77">
        <w:rPr>
          <w:rFonts w:hint="eastAsia"/>
          <w:color w:val="000000"/>
          <w:sz w:val="24"/>
        </w:rPr>
        <w:t>）外，未出现被监管部门立案调查，或在报告编制日前一年内受到公开谴责、处罚的情形。</w:t>
      </w:r>
    </w:p>
    <w:p w:rsidR="00746193" w:rsidRPr="003C1A77" w:rsidRDefault="00746193" w:rsidP="003C1A77">
      <w:pPr>
        <w:spacing w:before="29" w:line="288" w:lineRule="auto"/>
        <w:rPr>
          <w:color w:val="000000"/>
          <w:sz w:val="24"/>
        </w:rPr>
      </w:pPr>
      <w:r w:rsidRPr="003C1A77">
        <w:rPr>
          <w:rFonts w:hint="eastAsia"/>
          <w:color w:val="000000"/>
          <w:sz w:val="24"/>
        </w:rPr>
        <w:t>报告期内本基金投资的前十名证券之一京东（证券代码：</w:t>
      </w:r>
      <w:r w:rsidRPr="003C1A77">
        <w:rPr>
          <w:color w:val="000000"/>
          <w:sz w:val="24"/>
        </w:rPr>
        <w:t>JD US</w:t>
      </w:r>
      <w:r w:rsidRPr="003C1A77">
        <w:rPr>
          <w:rFonts w:hint="eastAsia"/>
          <w:color w:val="000000"/>
          <w:sz w:val="24"/>
        </w:rPr>
        <w:t>）的孙公司北京京东世纪信息技术有限公司在</w:t>
      </w:r>
      <w:r w:rsidRPr="003C1A77">
        <w:rPr>
          <w:color w:val="000000"/>
          <w:sz w:val="24"/>
        </w:rPr>
        <w:t>2015</w:t>
      </w:r>
      <w:r w:rsidRPr="003C1A77">
        <w:rPr>
          <w:rFonts w:hint="eastAsia"/>
          <w:color w:val="000000"/>
          <w:sz w:val="24"/>
        </w:rPr>
        <w:t>年</w:t>
      </w:r>
      <w:r w:rsidRPr="003C1A77">
        <w:rPr>
          <w:color w:val="000000"/>
          <w:sz w:val="24"/>
        </w:rPr>
        <w:t>7</w:t>
      </w:r>
      <w:r w:rsidRPr="003C1A77">
        <w:rPr>
          <w:rFonts w:hint="eastAsia"/>
          <w:color w:val="000000"/>
          <w:sz w:val="24"/>
        </w:rPr>
        <w:t>月</w:t>
      </w:r>
      <w:r w:rsidRPr="003C1A77">
        <w:rPr>
          <w:color w:val="000000"/>
          <w:sz w:val="24"/>
        </w:rPr>
        <w:t>28</w:t>
      </w:r>
      <w:r w:rsidRPr="003C1A77">
        <w:rPr>
          <w:rFonts w:hint="eastAsia"/>
          <w:color w:val="000000"/>
          <w:sz w:val="24"/>
        </w:rPr>
        <w:t>日至</w:t>
      </w:r>
      <w:r w:rsidRPr="003C1A77">
        <w:rPr>
          <w:color w:val="000000"/>
          <w:sz w:val="24"/>
        </w:rPr>
        <w:t>2016</w:t>
      </w:r>
      <w:r w:rsidRPr="003C1A77">
        <w:rPr>
          <w:rFonts w:hint="eastAsia"/>
          <w:color w:val="000000"/>
          <w:sz w:val="24"/>
        </w:rPr>
        <w:t>年</w:t>
      </w:r>
      <w:r w:rsidRPr="003C1A77">
        <w:rPr>
          <w:color w:val="000000"/>
          <w:sz w:val="24"/>
        </w:rPr>
        <w:t>4</w:t>
      </w:r>
      <w:r w:rsidRPr="003C1A77">
        <w:rPr>
          <w:rFonts w:hint="eastAsia"/>
          <w:color w:val="000000"/>
          <w:sz w:val="24"/>
        </w:rPr>
        <w:t>月</w:t>
      </w:r>
      <w:r w:rsidRPr="003C1A77">
        <w:rPr>
          <w:color w:val="000000"/>
          <w:sz w:val="24"/>
        </w:rPr>
        <w:t>8</w:t>
      </w:r>
      <w:r w:rsidRPr="003C1A77">
        <w:rPr>
          <w:rFonts w:hint="eastAsia"/>
          <w:color w:val="000000"/>
          <w:sz w:val="24"/>
        </w:rPr>
        <w:t>日期间，发生</w:t>
      </w:r>
      <w:r w:rsidRPr="003C1A77">
        <w:rPr>
          <w:color w:val="000000"/>
          <w:sz w:val="24"/>
        </w:rPr>
        <w:t>89</w:t>
      </w:r>
      <w:r w:rsidRPr="003C1A77">
        <w:rPr>
          <w:rFonts w:hint="eastAsia"/>
          <w:color w:val="000000"/>
          <w:sz w:val="24"/>
        </w:rPr>
        <w:t>次存在利用虚假的或者使人误解的价格手段，诱骗消费者或者其他经营者与其进行交易的价格违法行为。鉴于上述行为违反了《中华人民共和国价格法》，</w:t>
      </w:r>
      <w:r w:rsidRPr="003C1A77">
        <w:rPr>
          <w:color w:val="000000"/>
          <w:sz w:val="24"/>
        </w:rPr>
        <w:t>2016</w:t>
      </w:r>
      <w:r w:rsidRPr="003C1A77">
        <w:rPr>
          <w:rFonts w:hint="eastAsia"/>
          <w:color w:val="000000"/>
          <w:sz w:val="24"/>
        </w:rPr>
        <w:t>年</w:t>
      </w:r>
      <w:r w:rsidRPr="003C1A77">
        <w:rPr>
          <w:color w:val="000000"/>
          <w:sz w:val="24"/>
        </w:rPr>
        <w:t>5</w:t>
      </w:r>
      <w:r w:rsidRPr="003C1A77">
        <w:rPr>
          <w:rFonts w:hint="eastAsia"/>
          <w:color w:val="000000"/>
          <w:sz w:val="24"/>
        </w:rPr>
        <w:t>月</w:t>
      </w:r>
      <w:r w:rsidRPr="003C1A77">
        <w:rPr>
          <w:color w:val="000000"/>
          <w:sz w:val="24"/>
        </w:rPr>
        <w:t>25</w:t>
      </w:r>
      <w:r w:rsidRPr="003C1A77">
        <w:rPr>
          <w:rFonts w:hint="eastAsia"/>
          <w:color w:val="000000"/>
          <w:sz w:val="24"/>
        </w:rPr>
        <w:t>日北京发改委以京发改价格处罚</w:t>
      </w:r>
      <w:r w:rsidRPr="003C1A77">
        <w:rPr>
          <w:color w:val="000000"/>
          <w:sz w:val="24"/>
        </w:rPr>
        <w:t>[2016]19</w:t>
      </w:r>
      <w:r w:rsidRPr="003C1A77">
        <w:rPr>
          <w:rFonts w:hint="eastAsia"/>
          <w:color w:val="000000"/>
          <w:sz w:val="24"/>
        </w:rPr>
        <w:t>号《行政处罚决定书》对北京京东世纪信息技术有限公司作出警告和罚款</w:t>
      </w:r>
      <w:r w:rsidRPr="003C1A77">
        <w:rPr>
          <w:color w:val="000000"/>
          <w:sz w:val="24"/>
        </w:rPr>
        <w:t>500,000</w:t>
      </w:r>
      <w:r w:rsidRPr="003C1A77">
        <w:rPr>
          <w:rFonts w:hint="eastAsia"/>
          <w:color w:val="000000"/>
          <w:sz w:val="24"/>
        </w:rPr>
        <w:t>元的行政处罚。</w:t>
      </w:r>
    </w:p>
    <w:p w:rsidR="00746193" w:rsidRPr="003C1A77" w:rsidRDefault="00746193" w:rsidP="003C1A77">
      <w:pPr>
        <w:spacing w:before="29" w:line="288" w:lineRule="auto"/>
        <w:ind w:firstLine="420"/>
        <w:rPr>
          <w:color w:val="000000"/>
          <w:sz w:val="24"/>
        </w:rPr>
      </w:pPr>
      <w:r w:rsidRPr="003C1A77">
        <w:rPr>
          <w:rFonts w:hint="eastAsia"/>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76518F" w:rsidP="00A31920">
      <w:pPr>
        <w:spacing w:before="29" w:line="288" w:lineRule="auto"/>
        <w:rPr>
          <w:color w:val="000000"/>
          <w:sz w:val="24"/>
        </w:rPr>
      </w:pP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5,491.12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17,646,573.11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17,652,064.23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560,013,232.01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72,167,824.48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133,887,781.04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498,293,275.45</w:t>
            </w:r>
          </w:p>
        </w:tc>
      </w:tr>
    </w:tbl>
    <w:p w:rsidR="00CC7DCD" w:rsidRDefault="005A26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43363E">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CC7DCD" w:rsidRDefault="005A26EE">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CC7DCD" w:rsidRDefault="005A26EE">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CC7DCD" w:rsidRDefault="005A26EE">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CC7DCD" w:rsidRDefault="005A26EE">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CC7DCD" w:rsidRDefault="005A26EE">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CC7DCD" w:rsidRDefault="005A26E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C03" w:rsidRDefault="000E5C03">
      <w:r>
        <w:separator/>
      </w:r>
    </w:p>
  </w:endnote>
  <w:endnote w:type="continuationSeparator" w:id="0">
    <w:p w:rsidR="000E5C03" w:rsidRDefault="000E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4816EB">
      <w:rPr>
        <w:kern w:val="0"/>
        <w:szCs w:val="21"/>
      </w:rPr>
      <w:fldChar w:fldCharType="begin"/>
    </w:r>
    <w:r>
      <w:rPr>
        <w:kern w:val="0"/>
        <w:szCs w:val="21"/>
      </w:rPr>
      <w:instrText xml:space="preserve"> PAGE </w:instrText>
    </w:r>
    <w:r w:rsidR="004816EB">
      <w:rPr>
        <w:kern w:val="0"/>
        <w:szCs w:val="21"/>
      </w:rPr>
      <w:fldChar w:fldCharType="separate"/>
    </w:r>
    <w:r w:rsidR="003C1A77">
      <w:rPr>
        <w:noProof/>
        <w:kern w:val="0"/>
        <w:szCs w:val="21"/>
      </w:rPr>
      <w:t>13</w:t>
    </w:r>
    <w:r w:rsidR="004816E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816EB">
      <w:rPr>
        <w:kern w:val="0"/>
        <w:szCs w:val="21"/>
      </w:rPr>
      <w:fldChar w:fldCharType="begin"/>
    </w:r>
    <w:r>
      <w:rPr>
        <w:kern w:val="0"/>
        <w:szCs w:val="21"/>
      </w:rPr>
      <w:instrText xml:space="preserve"> NUMPAGES </w:instrText>
    </w:r>
    <w:r w:rsidR="004816EB">
      <w:rPr>
        <w:kern w:val="0"/>
        <w:szCs w:val="21"/>
      </w:rPr>
      <w:fldChar w:fldCharType="separate"/>
    </w:r>
    <w:r w:rsidR="003C1A77">
      <w:rPr>
        <w:noProof/>
        <w:kern w:val="0"/>
        <w:szCs w:val="21"/>
      </w:rPr>
      <w:t>13</w:t>
    </w:r>
    <w:r w:rsidR="004816E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816EB">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C03" w:rsidRDefault="000E5C03">
      <w:r>
        <w:separator/>
      </w:r>
    </w:p>
  </w:footnote>
  <w:footnote w:type="continuationSeparator" w:id="0">
    <w:p w:rsidR="000E5C03" w:rsidRDefault="000E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E5C03"/>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B6FD7"/>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20F4"/>
    <w:rsid w:val="00284519"/>
    <w:rsid w:val="0028459B"/>
    <w:rsid w:val="00284C5F"/>
    <w:rsid w:val="002865D2"/>
    <w:rsid w:val="002873F0"/>
    <w:rsid w:val="00291295"/>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068A"/>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A77"/>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26EE"/>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193"/>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34F"/>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45B7"/>
    <w:rsid w:val="00CC4CB4"/>
    <w:rsid w:val="00CC7DCD"/>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0955"/>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5D83DBE-5DF4-44F0-85F4-356A532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125</TotalTime>
  <Pages>13</Pages>
  <Words>1102</Words>
  <Characters>6288</Characters>
  <Application>Microsoft Office Word</Application>
  <DocSecurity>0</DocSecurity>
  <Lines>52</Lines>
  <Paragraphs>14</Paragraphs>
  <ScaleCrop>false</ScaleCrop>
  <Company>TRT. Ltd. Co.</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303</cp:revision>
  <cp:lastPrinted>2007-07-19T00:46:00Z</cp:lastPrinted>
  <dcterms:created xsi:type="dcterms:W3CDTF">2013-08-01T05:26:00Z</dcterms:created>
  <dcterms:modified xsi:type="dcterms:W3CDTF">2016-10-20T11:06:00Z</dcterms:modified>
</cp:coreProperties>
</file>