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D2D70" w:rsidRDefault="00A03B3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D2D70" w:rsidRDefault="00A03B3C">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D2D70" w:rsidRDefault="00A03B3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D2D70" w:rsidRDefault="00A03B3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D2D70" w:rsidRDefault="00A03B3C">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3,138,800,273.87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w:t>
            </w:r>
            <w:r w:rsidRPr="00414345">
              <w:rPr>
                <w:color w:val="000000"/>
                <w:kern w:val="0"/>
                <w:sz w:val="24"/>
                <w:szCs w:val="24"/>
              </w:rPr>
              <w:lastRenderedPageBreak/>
              <w:t>对象，其风险和预期收益高于债券型基金和货币市场基金，低于股票型基金。属于承担较高风险、预期收益较高的证券投资基金品种。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242FA" w:rsidRPr="00414345" w:rsidTr="003242F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3242FA" w:rsidRPr="00414345" w:rsidTr="003242F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51,357,809.29</w:t>
            </w:r>
          </w:p>
        </w:tc>
      </w:tr>
      <w:tr w:rsidR="003242FA" w:rsidRPr="00414345" w:rsidTr="003242F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48,130,444.35</w:t>
            </w:r>
          </w:p>
        </w:tc>
      </w:tr>
      <w:tr w:rsidR="003242FA" w:rsidRPr="00414345" w:rsidTr="003242F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0.0151</w:t>
            </w:r>
          </w:p>
        </w:tc>
      </w:tr>
      <w:tr w:rsidR="003242FA" w:rsidRPr="00414345" w:rsidTr="003242F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2,569,575,487.70</w:t>
            </w:r>
          </w:p>
        </w:tc>
      </w:tr>
      <w:tr w:rsidR="003242FA" w:rsidRPr="00414345" w:rsidTr="003242F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0.8186</w:t>
            </w:r>
          </w:p>
        </w:tc>
      </w:tr>
    </w:tbl>
    <w:p w:rsidR="004D2D70" w:rsidRDefault="00A03B3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D2D70">
        <w:trPr>
          <w:jc w:val="center"/>
        </w:trPr>
        <w:tc>
          <w:tcPr>
            <w:tcW w:w="1701" w:type="dxa"/>
            <w:vAlign w:val="center"/>
          </w:tcPr>
          <w:p w:rsidR="004D2D70" w:rsidRDefault="00A03B3C">
            <w:pPr>
              <w:jc w:val="left"/>
            </w:pPr>
            <w:r>
              <w:rPr>
                <w:color w:val="000000"/>
                <w:sz w:val="24"/>
                <w:szCs w:val="24"/>
              </w:rPr>
              <w:t>过去三个月</w:t>
            </w:r>
          </w:p>
        </w:tc>
        <w:tc>
          <w:tcPr>
            <w:tcW w:w="1045" w:type="dxa"/>
            <w:vAlign w:val="center"/>
          </w:tcPr>
          <w:p w:rsidR="004D2D70" w:rsidRDefault="00A03B3C">
            <w:pPr>
              <w:jc w:val="center"/>
            </w:pPr>
            <w:r>
              <w:rPr>
                <w:color w:val="000000"/>
                <w:sz w:val="24"/>
                <w:szCs w:val="24"/>
              </w:rPr>
              <w:t>1.83%</w:t>
            </w:r>
          </w:p>
        </w:tc>
        <w:tc>
          <w:tcPr>
            <w:tcW w:w="1344" w:type="dxa"/>
            <w:vAlign w:val="center"/>
          </w:tcPr>
          <w:p w:rsidR="004D2D70" w:rsidRDefault="00A03B3C">
            <w:pPr>
              <w:jc w:val="center"/>
            </w:pPr>
            <w:r>
              <w:rPr>
                <w:color w:val="000000"/>
                <w:sz w:val="24"/>
                <w:szCs w:val="24"/>
              </w:rPr>
              <w:t>1.02%</w:t>
            </w:r>
          </w:p>
        </w:tc>
        <w:tc>
          <w:tcPr>
            <w:tcW w:w="1194" w:type="dxa"/>
            <w:vAlign w:val="center"/>
          </w:tcPr>
          <w:p w:rsidR="004D2D70" w:rsidRDefault="00A03B3C">
            <w:pPr>
              <w:jc w:val="center"/>
            </w:pPr>
            <w:r>
              <w:rPr>
                <w:color w:val="000000"/>
                <w:sz w:val="24"/>
                <w:szCs w:val="24"/>
              </w:rPr>
              <w:t>2.62%</w:t>
            </w:r>
          </w:p>
        </w:tc>
        <w:tc>
          <w:tcPr>
            <w:tcW w:w="1492" w:type="dxa"/>
            <w:vAlign w:val="center"/>
          </w:tcPr>
          <w:p w:rsidR="004D2D70" w:rsidRDefault="00A03B3C">
            <w:pPr>
              <w:jc w:val="center"/>
            </w:pPr>
            <w:r>
              <w:rPr>
                <w:color w:val="000000"/>
                <w:sz w:val="24"/>
                <w:szCs w:val="24"/>
              </w:rPr>
              <w:t>0.58%</w:t>
            </w:r>
          </w:p>
        </w:tc>
        <w:tc>
          <w:tcPr>
            <w:tcW w:w="1194" w:type="dxa"/>
            <w:vAlign w:val="center"/>
          </w:tcPr>
          <w:p w:rsidR="004D2D70" w:rsidRDefault="00A03B3C">
            <w:pPr>
              <w:jc w:val="center"/>
            </w:pPr>
            <w:r>
              <w:rPr>
                <w:color w:val="000000"/>
                <w:sz w:val="24"/>
                <w:szCs w:val="24"/>
              </w:rPr>
              <w:t>-0.79%</w:t>
            </w:r>
          </w:p>
        </w:tc>
        <w:tc>
          <w:tcPr>
            <w:tcW w:w="898" w:type="dxa"/>
            <w:vAlign w:val="center"/>
          </w:tcPr>
          <w:p w:rsidR="004D2D70" w:rsidRDefault="00A03B3C">
            <w:pPr>
              <w:jc w:val="center"/>
            </w:pPr>
            <w:r>
              <w:rPr>
                <w:color w:val="000000"/>
                <w:sz w:val="24"/>
                <w:szCs w:val="24"/>
              </w:rPr>
              <w:t>0.44%</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bookmarkStart w:id="0" w:name="_GoBack"/>
      <w:bookmarkEnd w:id="0"/>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D2D70">
        <w:trPr>
          <w:jc w:val="center"/>
        </w:trPr>
        <w:tc>
          <w:tcPr>
            <w:tcW w:w="846" w:type="dxa"/>
            <w:vAlign w:val="center"/>
          </w:tcPr>
          <w:p w:rsidR="004D2D70" w:rsidRDefault="00A03B3C">
            <w:pPr>
              <w:jc w:val="center"/>
            </w:pPr>
            <w:r>
              <w:rPr>
                <w:color w:val="000000"/>
                <w:sz w:val="24"/>
                <w:szCs w:val="24"/>
              </w:rPr>
              <w:t>陈孜铎</w:t>
            </w:r>
          </w:p>
        </w:tc>
        <w:tc>
          <w:tcPr>
            <w:tcW w:w="845" w:type="dxa"/>
            <w:vAlign w:val="center"/>
          </w:tcPr>
          <w:p w:rsidR="004D2D70" w:rsidRDefault="00A03B3C">
            <w:pPr>
              <w:jc w:val="center"/>
            </w:pPr>
            <w:r>
              <w:rPr>
                <w:color w:val="000000"/>
                <w:sz w:val="24"/>
                <w:szCs w:val="24"/>
              </w:rPr>
              <w:t>交银蓝筹混合的基金经理，公司研究部助理总经理</w:t>
            </w:r>
          </w:p>
        </w:tc>
        <w:tc>
          <w:tcPr>
            <w:tcW w:w="1549" w:type="dxa"/>
            <w:vAlign w:val="center"/>
          </w:tcPr>
          <w:p w:rsidR="004D2D70" w:rsidRDefault="00A03B3C">
            <w:pPr>
              <w:jc w:val="center"/>
            </w:pPr>
            <w:r>
              <w:rPr>
                <w:color w:val="000000"/>
                <w:sz w:val="24"/>
                <w:szCs w:val="24"/>
              </w:rPr>
              <w:t>2014-10-22</w:t>
            </w:r>
          </w:p>
        </w:tc>
        <w:tc>
          <w:tcPr>
            <w:tcW w:w="1548" w:type="dxa"/>
            <w:vAlign w:val="center"/>
          </w:tcPr>
          <w:p w:rsidR="004D2D70" w:rsidRDefault="00A03B3C">
            <w:pPr>
              <w:jc w:val="center"/>
            </w:pPr>
            <w:r>
              <w:rPr>
                <w:color w:val="000000"/>
                <w:sz w:val="24"/>
                <w:szCs w:val="24"/>
              </w:rPr>
              <w:t>-</w:t>
            </w:r>
          </w:p>
        </w:tc>
        <w:tc>
          <w:tcPr>
            <w:tcW w:w="1407" w:type="dxa"/>
            <w:vAlign w:val="center"/>
          </w:tcPr>
          <w:p w:rsidR="004D2D70" w:rsidRDefault="00A03B3C">
            <w:pPr>
              <w:jc w:val="center"/>
            </w:pPr>
            <w:r>
              <w:rPr>
                <w:color w:val="000000"/>
                <w:sz w:val="24"/>
                <w:szCs w:val="24"/>
              </w:rPr>
              <w:t>8</w:t>
            </w:r>
            <w:r>
              <w:rPr>
                <w:color w:val="000000"/>
                <w:sz w:val="24"/>
                <w:szCs w:val="24"/>
              </w:rPr>
              <w:t>年</w:t>
            </w:r>
          </w:p>
        </w:tc>
        <w:tc>
          <w:tcPr>
            <w:tcW w:w="2673" w:type="dxa"/>
            <w:vAlign w:val="center"/>
          </w:tcPr>
          <w:p w:rsidR="004D2D70" w:rsidRDefault="00A03B3C">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D2D70" w:rsidRDefault="00A03B3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D2D70" w:rsidRDefault="00A03B3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D2D70" w:rsidRDefault="00A03B3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242FA" w:rsidRPr="003242FA" w:rsidRDefault="003242FA" w:rsidP="004157D6">
      <w:pPr>
        <w:spacing w:before="29" w:line="288" w:lineRule="auto"/>
        <w:ind w:firstLineChars="200" w:firstLine="480"/>
        <w:rPr>
          <w:color w:val="000000"/>
          <w:sz w:val="24"/>
          <w:szCs w:val="24"/>
        </w:rPr>
      </w:pPr>
      <w:r w:rsidRPr="003242FA">
        <w:rPr>
          <w:rFonts w:hint="eastAsia"/>
          <w:color w:val="000000"/>
          <w:sz w:val="24"/>
          <w:szCs w:val="24"/>
        </w:rPr>
        <w:t>2016</w:t>
      </w:r>
      <w:r w:rsidRPr="003242FA">
        <w:rPr>
          <w:rFonts w:hint="eastAsia"/>
          <w:color w:val="000000"/>
          <w:sz w:val="24"/>
          <w:szCs w:val="24"/>
        </w:rPr>
        <w:t>年三季度整个</w:t>
      </w:r>
      <w:r w:rsidRPr="003242FA">
        <w:rPr>
          <w:rFonts w:hint="eastAsia"/>
          <w:color w:val="000000"/>
          <w:sz w:val="24"/>
          <w:szCs w:val="24"/>
        </w:rPr>
        <w:t>A</w:t>
      </w:r>
      <w:r w:rsidRPr="003242FA">
        <w:rPr>
          <w:rFonts w:hint="eastAsia"/>
          <w:color w:val="000000"/>
          <w:sz w:val="24"/>
          <w:szCs w:val="24"/>
        </w:rPr>
        <w:t>股市场呈现震荡小幅上行的走势，经过一、二季度市场的大幅波动，三季度指数、个股波动率都有明显收敛。在海外整体经济没有稳步向上的环境下，美联储加息进度持续低于预期，但整体流动性最宽松阶段已过，国内经济与流动性环境整体变化不大。随着</w:t>
      </w:r>
      <w:r w:rsidRPr="003242FA">
        <w:rPr>
          <w:rFonts w:hint="eastAsia"/>
          <w:color w:val="000000"/>
          <w:sz w:val="24"/>
          <w:szCs w:val="24"/>
        </w:rPr>
        <w:t>2015</w:t>
      </w:r>
      <w:r w:rsidRPr="003242FA">
        <w:rPr>
          <w:rFonts w:hint="eastAsia"/>
          <w:color w:val="000000"/>
          <w:sz w:val="24"/>
          <w:szCs w:val="24"/>
        </w:rPr>
        <w:t>年中国经济增速持续下台阶，</w:t>
      </w:r>
      <w:r w:rsidRPr="003242FA">
        <w:rPr>
          <w:rFonts w:hint="eastAsia"/>
          <w:color w:val="000000"/>
          <w:sz w:val="24"/>
          <w:szCs w:val="24"/>
        </w:rPr>
        <w:t>2016</w:t>
      </w:r>
      <w:r w:rsidRPr="003242FA">
        <w:rPr>
          <w:rFonts w:hint="eastAsia"/>
          <w:color w:val="000000"/>
          <w:sz w:val="24"/>
          <w:szCs w:val="24"/>
        </w:rPr>
        <w:t>年以来经济有所企稳，随着供给侧改革的推进以及过去几年行业竞争格局的变化，部分传统行业今年以来盈利有明显修复。市场方面，在监管层严控杠杆以及抑制主题炒作的大环境下，市场风险偏好有所下降，反映在市场变现上，高估值盈利变化小的行业与标的在三季度中的表现明显弱于盈利有改善、估值合理的行业与标的。</w:t>
      </w:r>
    </w:p>
    <w:p w:rsidR="003242FA" w:rsidRPr="003242FA" w:rsidRDefault="003242FA" w:rsidP="004157D6">
      <w:pPr>
        <w:spacing w:before="29" w:line="288" w:lineRule="auto"/>
        <w:ind w:firstLineChars="200" w:firstLine="480"/>
        <w:rPr>
          <w:color w:val="000000"/>
          <w:sz w:val="24"/>
          <w:szCs w:val="24"/>
        </w:rPr>
      </w:pPr>
      <w:r w:rsidRPr="003242FA">
        <w:rPr>
          <w:rFonts w:hint="eastAsia"/>
          <w:color w:val="000000"/>
          <w:sz w:val="24"/>
          <w:szCs w:val="24"/>
        </w:rPr>
        <w:t>在上述市场环境中，本基金在三季度市场环境相对友好的基本判断中，积极参与了盈利预期有所变化的行业，努力赚取绝对收益。</w:t>
      </w:r>
    </w:p>
    <w:p w:rsidR="003242FA" w:rsidRDefault="003242FA" w:rsidP="00C15CAC">
      <w:pPr>
        <w:spacing w:before="29" w:line="288" w:lineRule="auto"/>
        <w:ind w:firstLineChars="200" w:firstLine="480"/>
        <w:rPr>
          <w:color w:val="000000"/>
          <w:sz w:val="24"/>
          <w:szCs w:val="24"/>
        </w:rPr>
      </w:pPr>
      <w:r w:rsidRPr="003242FA">
        <w:rPr>
          <w:rFonts w:hint="eastAsia"/>
          <w:color w:val="000000"/>
          <w:sz w:val="24"/>
          <w:szCs w:val="24"/>
        </w:rPr>
        <w:t>展望</w:t>
      </w:r>
      <w:r w:rsidRPr="003242FA">
        <w:rPr>
          <w:rFonts w:hint="eastAsia"/>
          <w:color w:val="000000"/>
          <w:sz w:val="24"/>
          <w:szCs w:val="24"/>
        </w:rPr>
        <w:t>2016</w:t>
      </w:r>
      <w:r w:rsidRPr="003242FA">
        <w:rPr>
          <w:rFonts w:hint="eastAsia"/>
          <w:color w:val="000000"/>
          <w:sz w:val="24"/>
          <w:szCs w:val="24"/>
        </w:rPr>
        <w:t>年四季度，预计短期总需求基本稳定格局不变，但随着地产资产进一步泡沫化及越来越多的调控政策，地产需求拉动经济的前瞻预期有继续走弱趋势，同时积极财政政策拉动经济增长的资产负债率顶板何时看到，也决定了现有格局下经济总需求的边界。中期来看，随着中国经济高速增长阶段的过去、原有发展模式难以为继，影响整体经济最主要的变量已经从总需求问题变化为结构性问题，同时这也是</w:t>
      </w:r>
      <w:r w:rsidRPr="003242FA">
        <w:rPr>
          <w:rFonts w:hint="eastAsia"/>
          <w:color w:val="000000"/>
          <w:sz w:val="24"/>
          <w:szCs w:val="24"/>
        </w:rPr>
        <w:t>2008</w:t>
      </w:r>
      <w:r w:rsidRPr="003242FA">
        <w:rPr>
          <w:rFonts w:hint="eastAsia"/>
          <w:color w:val="000000"/>
          <w:sz w:val="24"/>
          <w:szCs w:val="24"/>
        </w:rPr>
        <w:t>年金融危机以来全球所共同面对的难题。一方面，传统模式下的支柱行业需要不断的结构调整，在行业盈利回归社会平均收益水平的过程中总量难以看到中期的成长空间，表现出经济潜在增速下降后一般性行业的发展与盈利特点；另一方面，技术进步、模式创新等带来的新兴生产与消费正在经济中扮演越来越重要的角色，但从目前看彻底替代传统发展模式成为经济增长的新引擎仍需要较长的时间。在这种大经济格局下，整个流动性环境呈现供需双降的持续性宽松，这也是过去两年所有大类资产都呈现泡沫化表现与资产荒环境并存的重要原因。在流动性结构中越来越强调“去杠杆”和“脱虚向实”的大环境中，持续的风险偏好提升顶点或已经看到，未来真正推升市场向上的动力预计是基本面的变化。在上述基本判断的背景下，我们倾向于以增速与估值相对匹配、资产价值相对坚实的子行业与标的作为基础资产，同时进一步关注在未来中期技术周期有可能快速进入成长期的行业与标的。</w:t>
      </w:r>
    </w:p>
    <w:p w:rsidR="00627E2D" w:rsidRPr="003242FA"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0.8186</w:t>
      </w:r>
      <w:r w:rsidRPr="00414345">
        <w:rPr>
          <w:color w:val="000000"/>
          <w:sz w:val="24"/>
          <w:szCs w:val="24"/>
        </w:rPr>
        <w:t>元，本报告期份额净值增长率为</w:t>
      </w:r>
      <w:r w:rsidRPr="00414345">
        <w:rPr>
          <w:color w:val="000000"/>
          <w:sz w:val="24"/>
          <w:szCs w:val="24"/>
        </w:rPr>
        <w:t>1.83%</w:t>
      </w:r>
      <w:r w:rsidRPr="00414345">
        <w:rPr>
          <w:color w:val="000000"/>
          <w:sz w:val="24"/>
          <w:szCs w:val="24"/>
        </w:rPr>
        <w:t>，同期业绩比较基准增长率为</w:t>
      </w:r>
      <w:r w:rsidRPr="00414345">
        <w:rPr>
          <w:color w:val="000000"/>
          <w:sz w:val="24"/>
          <w:szCs w:val="24"/>
        </w:rPr>
        <w:t>2.62%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2,092,614,732.20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80.35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2,092,614,732.20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80.35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198,840,738.26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7.63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211,979,257.79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8.14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101,045,007.20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3.88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2,604,479,735.45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440,163,837.76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17.13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1,163,464,824.69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61,130,037.07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127,583,252.64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48,720,000.00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78,960,495.12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172,592,284.92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2,092,614,732.20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81.44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D2D70">
        <w:trPr>
          <w:jc w:val="center"/>
        </w:trPr>
        <w:tc>
          <w:tcPr>
            <w:tcW w:w="855" w:type="dxa"/>
            <w:vAlign w:val="center"/>
          </w:tcPr>
          <w:p w:rsidR="004D2D70" w:rsidRDefault="00A03B3C">
            <w:pPr>
              <w:jc w:val="center"/>
            </w:pPr>
            <w:r>
              <w:rPr>
                <w:color w:val="000000"/>
                <w:sz w:val="24"/>
                <w:szCs w:val="24"/>
              </w:rPr>
              <w:t>1</w:t>
            </w:r>
          </w:p>
        </w:tc>
        <w:tc>
          <w:tcPr>
            <w:tcW w:w="1334" w:type="dxa"/>
            <w:vAlign w:val="center"/>
          </w:tcPr>
          <w:p w:rsidR="004D2D70" w:rsidRDefault="00A03B3C">
            <w:pPr>
              <w:jc w:val="center"/>
            </w:pPr>
            <w:r>
              <w:rPr>
                <w:color w:val="000000"/>
                <w:sz w:val="24"/>
                <w:szCs w:val="24"/>
              </w:rPr>
              <w:t>000983</w:t>
            </w:r>
          </w:p>
        </w:tc>
        <w:tc>
          <w:tcPr>
            <w:tcW w:w="1777" w:type="dxa"/>
            <w:vAlign w:val="center"/>
          </w:tcPr>
          <w:p w:rsidR="004D2D70" w:rsidRDefault="00A03B3C">
            <w:pPr>
              <w:jc w:val="center"/>
            </w:pPr>
            <w:r>
              <w:rPr>
                <w:color w:val="000000"/>
                <w:sz w:val="24"/>
                <w:szCs w:val="24"/>
              </w:rPr>
              <w:t>西山煤电</w:t>
            </w:r>
          </w:p>
        </w:tc>
        <w:tc>
          <w:tcPr>
            <w:tcW w:w="1334" w:type="dxa"/>
            <w:vAlign w:val="center"/>
          </w:tcPr>
          <w:p w:rsidR="004D2D70" w:rsidRDefault="00A03B3C">
            <w:pPr>
              <w:jc w:val="right"/>
            </w:pPr>
            <w:r>
              <w:rPr>
                <w:color w:val="000000"/>
                <w:sz w:val="24"/>
                <w:szCs w:val="24"/>
              </w:rPr>
              <w:t>16,000,000</w:t>
            </w:r>
          </w:p>
        </w:tc>
        <w:tc>
          <w:tcPr>
            <w:tcW w:w="1924" w:type="dxa"/>
            <w:vAlign w:val="center"/>
          </w:tcPr>
          <w:p w:rsidR="004D2D70" w:rsidRDefault="00A03B3C">
            <w:pPr>
              <w:jc w:val="right"/>
            </w:pPr>
            <w:r>
              <w:rPr>
                <w:color w:val="000000"/>
                <w:sz w:val="24"/>
                <w:szCs w:val="24"/>
              </w:rPr>
              <w:t>153,280,000.00</w:t>
            </w:r>
          </w:p>
        </w:tc>
        <w:tc>
          <w:tcPr>
            <w:tcW w:w="1644" w:type="dxa"/>
            <w:vAlign w:val="center"/>
          </w:tcPr>
          <w:p w:rsidR="004D2D70" w:rsidRDefault="00A03B3C">
            <w:pPr>
              <w:jc w:val="right"/>
            </w:pPr>
            <w:r>
              <w:rPr>
                <w:color w:val="000000"/>
                <w:sz w:val="24"/>
                <w:szCs w:val="24"/>
              </w:rPr>
              <w:t>5.97</w:t>
            </w:r>
          </w:p>
        </w:tc>
      </w:tr>
      <w:tr w:rsidR="004D2D70">
        <w:trPr>
          <w:jc w:val="center"/>
        </w:trPr>
        <w:tc>
          <w:tcPr>
            <w:tcW w:w="855" w:type="dxa"/>
            <w:vAlign w:val="center"/>
          </w:tcPr>
          <w:p w:rsidR="004D2D70" w:rsidRDefault="00A03B3C">
            <w:pPr>
              <w:jc w:val="center"/>
            </w:pPr>
            <w:r>
              <w:rPr>
                <w:color w:val="000000"/>
                <w:sz w:val="24"/>
                <w:szCs w:val="24"/>
              </w:rPr>
              <w:t>2</w:t>
            </w:r>
          </w:p>
        </w:tc>
        <w:tc>
          <w:tcPr>
            <w:tcW w:w="1334" w:type="dxa"/>
            <w:vAlign w:val="center"/>
          </w:tcPr>
          <w:p w:rsidR="004D2D70" w:rsidRDefault="00A03B3C">
            <w:pPr>
              <w:jc w:val="center"/>
            </w:pPr>
            <w:r>
              <w:rPr>
                <w:color w:val="000000"/>
                <w:sz w:val="24"/>
                <w:szCs w:val="24"/>
              </w:rPr>
              <w:t>603555</w:t>
            </w:r>
          </w:p>
        </w:tc>
        <w:tc>
          <w:tcPr>
            <w:tcW w:w="1777" w:type="dxa"/>
            <w:vAlign w:val="center"/>
          </w:tcPr>
          <w:p w:rsidR="004D2D70" w:rsidRDefault="00A03B3C">
            <w:pPr>
              <w:jc w:val="center"/>
            </w:pPr>
            <w:r>
              <w:rPr>
                <w:color w:val="000000"/>
                <w:sz w:val="24"/>
                <w:szCs w:val="24"/>
              </w:rPr>
              <w:t>贵人鸟</w:t>
            </w:r>
          </w:p>
        </w:tc>
        <w:tc>
          <w:tcPr>
            <w:tcW w:w="1334" w:type="dxa"/>
            <w:vAlign w:val="center"/>
          </w:tcPr>
          <w:p w:rsidR="004D2D70" w:rsidRDefault="00A03B3C">
            <w:pPr>
              <w:jc w:val="right"/>
            </w:pPr>
            <w:r>
              <w:rPr>
                <w:color w:val="000000"/>
                <w:sz w:val="24"/>
                <w:szCs w:val="24"/>
              </w:rPr>
              <w:t>4,932,096</w:t>
            </w:r>
          </w:p>
        </w:tc>
        <w:tc>
          <w:tcPr>
            <w:tcW w:w="1924" w:type="dxa"/>
            <w:vAlign w:val="center"/>
          </w:tcPr>
          <w:p w:rsidR="004D2D70" w:rsidRDefault="00A03B3C">
            <w:pPr>
              <w:jc w:val="right"/>
            </w:pPr>
            <w:r>
              <w:rPr>
                <w:color w:val="000000"/>
                <w:sz w:val="24"/>
                <w:szCs w:val="24"/>
              </w:rPr>
              <w:t>127,642,644.48</w:t>
            </w:r>
          </w:p>
        </w:tc>
        <w:tc>
          <w:tcPr>
            <w:tcW w:w="1644" w:type="dxa"/>
            <w:vAlign w:val="center"/>
          </w:tcPr>
          <w:p w:rsidR="004D2D70" w:rsidRDefault="00A03B3C">
            <w:pPr>
              <w:jc w:val="right"/>
            </w:pPr>
            <w:r>
              <w:rPr>
                <w:color w:val="000000"/>
                <w:sz w:val="24"/>
                <w:szCs w:val="24"/>
              </w:rPr>
              <w:t>4.97</w:t>
            </w:r>
          </w:p>
        </w:tc>
      </w:tr>
      <w:tr w:rsidR="004D2D70">
        <w:trPr>
          <w:jc w:val="center"/>
        </w:trPr>
        <w:tc>
          <w:tcPr>
            <w:tcW w:w="855" w:type="dxa"/>
            <w:vAlign w:val="center"/>
          </w:tcPr>
          <w:p w:rsidR="004D2D70" w:rsidRDefault="00A03B3C">
            <w:pPr>
              <w:jc w:val="center"/>
            </w:pPr>
            <w:r>
              <w:rPr>
                <w:color w:val="000000"/>
                <w:sz w:val="24"/>
                <w:szCs w:val="24"/>
              </w:rPr>
              <w:t>3</w:t>
            </w:r>
          </w:p>
        </w:tc>
        <w:tc>
          <w:tcPr>
            <w:tcW w:w="1334" w:type="dxa"/>
            <w:vAlign w:val="center"/>
          </w:tcPr>
          <w:p w:rsidR="004D2D70" w:rsidRDefault="00A03B3C">
            <w:pPr>
              <w:jc w:val="center"/>
            </w:pPr>
            <w:r>
              <w:rPr>
                <w:color w:val="000000"/>
                <w:sz w:val="24"/>
                <w:szCs w:val="24"/>
              </w:rPr>
              <w:t>600967</w:t>
            </w:r>
          </w:p>
        </w:tc>
        <w:tc>
          <w:tcPr>
            <w:tcW w:w="1777" w:type="dxa"/>
            <w:vAlign w:val="center"/>
          </w:tcPr>
          <w:p w:rsidR="004D2D70" w:rsidRDefault="00A03B3C">
            <w:pPr>
              <w:jc w:val="center"/>
            </w:pPr>
            <w:r>
              <w:rPr>
                <w:color w:val="000000"/>
                <w:sz w:val="24"/>
                <w:szCs w:val="24"/>
              </w:rPr>
              <w:t>北方创业</w:t>
            </w:r>
          </w:p>
        </w:tc>
        <w:tc>
          <w:tcPr>
            <w:tcW w:w="1334" w:type="dxa"/>
            <w:vAlign w:val="center"/>
          </w:tcPr>
          <w:p w:rsidR="004D2D70" w:rsidRDefault="00A03B3C">
            <w:pPr>
              <w:jc w:val="right"/>
            </w:pPr>
            <w:r>
              <w:rPr>
                <w:color w:val="000000"/>
                <w:sz w:val="24"/>
                <w:szCs w:val="24"/>
              </w:rPr>
              <w:t>10,038,140</w:t>
            </w:r>
          </w:p>
        </w:tc>
        <w:tc>
          <w:tcPr>
            <w:tcW w:w="1924" w:type="dxa"/>
            <w:vAlign w:val="center"/>
          </w:tcPr>
          <w:p w:rsidR="004D2D70" w:rsidRDefault="00A03B3C">
            <w:pPr>
              <w:jc w:val="right"/>
            </w:pPr>
            <w:r>
              <w:rPr>
                <w:color w:val="000000"/>
                <w:sz w:val="24"/>
                <w:szCs w:val="24"/>
              </w:rPr>
              <w:t>117,345,856.60</w:t>
            </w:r>
          </w:p>
        </w:tc>
        <w:tc>
          <w:tcPr>
            <w:tcW w:w="1644" w:type="dxa"/>
            <w:vAlign w:val="center"/>
          </w:tcPr>
          <w:p w:rsidR="004D2D70" w:rsidRDefault="00A03B3C">
            <w:pPr>
              <w:jc w:val="right"/>
            </w:pPr>
            <w:r>
              <w:rPr>
                <w:color w:val="000000"/>
                <w:sz w:val="24"/>
                <w:szCs w:val="24"/>
              </w:rPr>
              <w:t>4.57</w:t>
            </w:r>
          </w:p>
        </w:tc>
      </w:tr>
      <w:tr w:rsidR="004D2D70">
        <w:trPr>
          <w:jc w:val="center"/>
        </w:trPr>
        <w:tc>
          <w:tcPr>
            <w:tcW w:w="855" w:type="dxa"/>
            <w:vAlign w:val="center"/>
          </w:tcPr>
          <w:p w:rsidR="004D2D70" w:rsidRDefault="00A03B3C">
            <w:pPr>
              <w:jc w:val="center"/>
            </w:pPr>
            <w:r>
              <w:rPr>
                <w:color w:val="000000"/>
                <w:sz w:val="24"/>
                <w:szCs w:val="24"/>
              </w:rPr>
              <w:t>4</w:t>
            </w:r>
          </w:p>
        </w:tc>
        <w:tc>
          <w:tcPr>
            <w:tcW w:w="1334" w:type="dxa"/>
            <w:vAlign w:val="center"/>
          </w:tcPr>
          <w:p w:rsidR="004D2D70" w:rsidRDefault="00A03B3C">
            <w:pPr>
              <w:jc w:val="center"/>
            </w:pPr>
            <w:r>
              <w:rPr>
                <w:color w:val="000000"/>
                <w:sz w:val="24"/>
                <w:szCs w:val="24"/>
              </w:rPr>
              <w:t>601699</w:t>
            </w:r>
          </w:p>
        </w:tc>
        <w:tc>
          <w:tcPr>
            <w:tcW w:w="1777" w:type="dxa"/>
            <w:vAlign w:val="center"/>
          </w:tcPr>
          <w:p w:rsidR="004D2D70" w:rsidRDefault="00A03B3C">
            <w:pPr>
              <w:jc w:val="center"/>
            </w:pPr>
            <w:r>
              <w:rPr>
                <w:color w:val="000000"/>
                <w:sz w:val="24"/>
                <w:szCs w:val="24"/>
              </w:rPr>
              <w:t>潞安环能</w:t>
            </w:r>
          </w:p>
        </w:tc>
        <w:tc>
          <w:tcPr>
            <w:tcW w:w="1334" w:type="dxa"/>
            <w:vAlign w:val="center"/>
          </w:tcPr>
          <w:p w:rsidR="004D2D70" w:rsidRDefault="00A03B3C">
            <w:pPr>
              <w:jc w:val="right"/>
            </w:pPr>
            <w:r>
              <w:rPr>
                <w:color w:val="000000"/>
                <w:sz w:val="24"/>
                <w:szCs w:val="24"/>
              </w:rPr>
              <w:t>13,000,000</w:t>
            </w:r>
          </w:p>
        </w:tc>
        <w:tc>
          <w:tcPr>
            <w:tcW w:w="1924" w:type="dxa"/>
            <w:vAlign w:val="center"/>
          </w:tcPr>
          <w:p w:rsidR="004D2D70" w:rsidRDefault="00A03B3C">
            <w:pPr>
              <w:jc w:val="right"/>
            </w:pPr>
            <w:r>
              <w:rPr>
                <w:color w:val="000000"/>
                <w:sz w:val="24"/>
                <w:szCs w:val="24"/>
              </w:rPr>
              <w:t>104,130,000.00</w:t>
            </w:r>
          </w:p>
        </w:tc>
        <w:tc>
          <w:tcPr>
            <w:tcW w:w="1644" w:type="dxa"/>
            <w:vAlign w:val="center"/>
          </w:tcPr>
          <w:p w:rsidR="004D2D70" w:rsidRDefault="00A03B3C">
            <w:pPr>
              <w:jc w:val="right"/>
            </w:pPr>
            <w:r>
              <w:rPr>
                <w:color w:val="000000"/>
                <w:sz w:val="24"/>
                <w:szCs w:val="24"/>
              </w:rPr>
              <w:t>4.05</w:t>
            </w:r>
          </w:p>
        </w:tc>
      </w:tr>
      <w:tr w:rsidR="004D2D70">
        <w:trPr>
          <w:jc w:val="center"/>
        </w:trPr>
        <w:tc>
          <w:tcPr>
            <w:tcW w:w="855" w:type="dxa"/>
            <w:vAlign w:val="center"/>
          </w:tcPr>
          <w:p w:rsidR="004D2D70" w:rsidRDefault="00A03B3C">
            <w:pPr>
              <w:jc w:val="center"/>
            </w:pPr>
            <w:r>
              <w:rPr>
                <w:color w:val="000000"/>
                <w:sz w:val="24"/>
                <w:szCs w:val="24"/>
              </w:rPr>
              <w:t>5</w:t>
            </w:r>
          </w:p>
        </w:tc>
        <w:tc>
          <w:tcPr>
            <w:tcW w:w="1334" w:type="dxa"/>
            <w:vAlign w:val="center"/>
          </w:tcPr>
          <w:p w:rsidR="004D2D70" w:rsidRDefault="00A03B3C">
            <w:pPr>
              <w:jc w:val="center"/>
            </w:pPr>
            <w:r>
              <w:rPr>
                <w:color w:val="000000"/>
                <w:sz w:val="24"/>
                <w:szCs w:val="24"/>
              </w:rPr>
              <w:t>002555</w:t>
            </w:r>
          </w:p>
        </w:tc>
        <w:tc>
          <w:tcPr>
            <w:tcW w:w="1777" w:type="dxa"/>
            <w:vAlign w:val="center"/>
          </w:tcPr>
          <w:p w:rsidR="004D2D70" w:rsidRDefault="00A03B3C">
            <w:pPr>
              <w:jc w:val="center"/>
            </w:pPr>
            <w:r>
              <w:rPr>
                <w:color w:val="000000"/>
                <w:sz w:val="24"/>
                <w:szCs w:val="24"/>
              </w:rPr>
              <w:t>三七互娱</w:t>
            </w:r>
          </w:p>
        </w:tc>
        <w:tc>
          <w:tcPr>
            <w:tcW w:w="1334" w:type="dxa"/>
            <w:vAlign w:val="center"/>
          </w:tcPr>
          <w:p w:rsidR="004D2D70" w:rsidRDefault="00A03B3C">
            <w:pPr>
              <w:jc w:val="right"/>
            </w:pPr>
            <w:r>
              <w:rPr>
                <w:color w:val="000000"/>
                <w:sz w:val="24"/>
                <w:szCs w:val="24"/>
              </w:rPr>
              <w:t>4,982,000</w:t>
            </w:r>
          </w:p>
        </w:tc>
        <w:tc>
          <w:tcPr>
            <w:tcW w:w="1924" w:type="dxa"/>
            <w:vAlign w:val="center"/>
          </w:tcPr>
          <w:p w:rsidR="004D2D70" w:rsidRDefault="00A03B3C">
            <w:pPr>
              <w:jc w:val="right"/>
            </w:pPr>
            <w:r>
              <w:rPr>
                <w:color w:val="000000"/>
                <w:sz w:val="24"/>
                <w:szCs w:val="24"/>
              </w:rPr>
              <w:t>92,216,820.00</w:t>
            </w:r>
          </w:p>
        </w:tc>
        <w:tc>
          <w:tcPr>
            <w:tcW w:w="1644" w:type="dxa"/>
            <w:vAlign w:val="center"/>
          </w:tcPr>
          <w:p w:rsidR="004D2D70" w:rsidRDefault="00A03B3C">
            <w:pPr>
              <w:jc w:val="right"/>
            </w:pPr>
            <w:r>
              <w:rPr>
                <w:color w:val="000000"/>
                <w:sz w:val="24"/>
                <w:szCs w:val="24"/>
              </w:rPr>
              <w:t>3.59</w:t>
            </w:r>
          </w:p>
        </w:tc>
      </w:tr>
      <w:tr w:rsidR="004D2D70">
        <w:trPr>
          <w:jc w:val="center"/>
        </w:trPr>
        <w:tc>
          <w:tcPr>
            <w:tcW w:w="855" w:type="dxa"/>
            <w:vAlign w:val="center"/>
          </w:tcPr>
          <w:p w:rsidR="004D2D70" w:rsidRDefault="00A03B3C">
            <w:pPr>
              <w:jc w:val="center"/>
            </w:pPr>
            <w:r>
              <w:rPr>
                <w:color w:val="000000"/>
                <w:sz w:val="24"/>
                <w:szCs w:val="24"/>
              </w:rPr>
              <w:t>6</w:t>
            </w:r>
          </w:p>
        </w:tc>
        <w:tc>
          <w:tcPr>
            <w:tcW w:w="1334" w:type="dxa"/>
            <w:vAlign w:val="center"/>
          </w:tcPr>
          <w:p w:rsidR="004D2D70" w:rsidRDefault="00A03B3C">
            <w:pPr>
              <w:jc w:val="center"/>
            </w:pPr>
            <w:r>
              <w:rPr>
                <w:color w:val="000000"/>
                <w:sz w:val="24"/>
                <w:szCs w:val="24"/>
              </w:rPr>
              <w:t>300144</w:t>
            </w:r>
          </w:p>
        </w:tc>
        <w:tc>
          <w:tcPr>
            <w:tcW w:w="1777" w:type="dxa"/>
            <w:vAlign w:val="center"/>
          </w:tcPr>
          <w:p w:rsidR="004D2D70" w:rsidRDefault="00A03B3C">
            <w:pPr>
              <w:jc w:val="center"/>
            </w:pPr>
            <w:r>
              <w:rPr>
                <w:color w:val="000000"/>
                <w:sz w:val="24"/>
                <w:szCs w:val="24"/>
              </w:rPr>
              <w:t>宋城演艺</w:t>
            </w:r>
          </w:p>
        </w:tc>
        <w:tc>
          <w:tcPr>
            <w:tcW w:w="1334" w:type="dxa"/>
            <w:vAlign w:val="center"/>
          </w:tcPr>
          <w:p w:rsidR="004D2D70" w:rsidRDefault="00A03B3C">
            <w:pPr>
              <w:jc w:val="right"/>
            </w:pPr>
            <w:r>
              <w:rPr>
                <w:color w:val="000000"/>
                <w:sz w:val="24"/>
                <w:szCs w:val="24"/>
              </w:rPr>
              <w:t>3,500,348</w:t>
            </w:r>
          </w:p>
        </w:tc>
        <w:tc>
          <w:tcPr>
            <w:tcW w:w="1924" w:type="dxa"/>
            <w:vAlign w:val="center"/>
          </w:tcPr>
          <w:p w:rsidR="004D2D70" w:rsidRDefault="00A03B3C">
            <w:pPr>
              <w:jc w:val="right"/>
            </w:pPr>
            <w:r>
              <w:rPr>
                <w:color w:val="000000"/>
                <w:sz w:val="24"/>
                <w:szCs w:val="24"/>
              </w:rPr>
              <w:t>85,758,526.00</w:t>
            </w:r>
          </w:p>
        </w:tc>
        <w:tc>
          <w:tcPr>
            <w:tcW w:w="1644" w:type="dxa"/>
            <w:vAlign w:val="center"/>
          </w:tcPr>
          <w:p w:rsidR="004D2D70" w:rsidRDefault="00A03B3C">
            <w:pPr>
              <w:jc w:val="right"/>
            </w:pPr>
            <w:r>
              <w:rPr>
                <w:color w:val="000000"/>
                <w:sz w:val="24"/>
                <w:szCs w:val="24"/>
              </w:rPr>
              <w:t>3.34</w:t>
            </w:r>
          </w:p>
        </w:tc>
      </w:tr>
      <w:tr w:rsidR="004D2D70">
        <w:trPr>
          <w:jc w:val="center"/>
        </w:trPr>
        <w:tc>
          <w:tcPr>
            <w:tcW w:w="855" w:type="dxa"/>
            <w:vAlign w:val="center"/>
          </w:tcPr>
          <w:p w:rsidR="004D2D70" w:rsidRDefault="00A03B3C">
            <w:pPr>
              <w:jc w:val="center"/>
            </w:pPr>
            <w:r>
              <w:rPr>
                <w:color w:val="000000"/>
                <w:sz w:val="24"/>
                <w:szCs w:val="24"/>
              </w:rPr>
              <w:t>7</w:t>
            </w:r>
          </w:p>
        </w:tc>
        <w:tc>
          <w:tcPr>
            <w:tcW w:w="1334" w:type="dxa"/>
            <w:vAlign w:val="center"/>
          </w:tcPr>
          <w:p w:rsidR="004D2D70" w:rsidRDefault="00A03B3C">
            <w:pPr>
              <w:jc w:val="center"/>
            </w:pPr>
            <w:r>
              <w:rPr>
                <w:color w:val="000000"/>
                <w:sz w:val="24"/>
                <w:szCs w:val="24"/>
              </w:rPr>
              <w:t>000821</w:t>
            </w:r>
          </w:p>
        </w:tc>
        <w:tc>
          <w:tcPr>
            <w:tcW w:w="1777" w:type="dxa"/>
            <w:vAlign w:val="center"/>
          </w:tcPr>
          <w:p w:rsidR="004D2D70" w:rsidRDefault="00A03B3C">
            <w:pPr>
              <w:jc w:val="center"/>
            </w:pPr>
            <w:r>
              <w:rPr>
                <w:color w:val="000000"/>
                <w:sz w:val="24"/>
                <w:szCs w:val="24"/>
              </w:rPr>
              <w:t>京山轻机</w:t>
            </w:r>
          </w:p>
        </w:tc>
        <w:tc>
          <w:tcPr>
            <w:tcW w:w="1334" w:type="dxa"/>
            <w:vAlign w:val="center"/>
          </w:tcPr>
          <w:p w:rsidR="004D2D70" w:rsidRDefault="00A03B3C">
            <w:pPr>
              <w:jc w:val="right"/>
            </w:pPr>
            <w:r>
              <w:rPr>
                <w:color w:val="000000"/>
                <w:sz w:val="24"/>
                <w:szCs w:val="24"/>
              </w:rPr>
              <w:t>5,123,642</w:t>
            </w:r>
          </w:p>
        </w:tc>
        <w:tc>
          <w:tcPr>
            <w:tcW w:w="1924" w:type="dxa"/>
            <w:vAlign w:val="center"/>
          </w:tcPr>
          <w:p w:rsidR="004D2D70" w:rsidRDefault="00A03B3C">
            <w:pPr>
              <w:jc w:val="right"/>
            </w:pPr>
            <w:r>
              <w:rPr>
                <w:color w:val="000000"/>
                <w:sz w:val="24"/>
                <w:szCs w:val="24"/>
              </w:rPr>
              <w:t>76,854,630.00</w:t>
            </w:r>
          </w:p>
        </w:tc>
        <w:tc>
          <w:tcPr>
            <w:tcW w:w="1644" w:type="dxa"/>
            <w:vAlign w:val="center"/>
          </w:tcPr>
          <w:p w:rsidR="004D2D70" w:rsidRDefault="00A03B3C">
            <w:pPr>
              <w:jc w:val="right"/>
            </w:pPr>
            <w:r>
              <w:rPr>
                <w:color w:val="000000"/>
                <w:sz w:val="24"/>
                <w:szCs w:val="24"/>
              </w:rPr>
              <w:t>2.99</w:t>
            </w:r>
          </w:p>
        </w:tc>
      </w:tr>
      <w:tr w:rsidR="004D2D70">
        <w:trPr>
          <w:jc w:val="center"/>
        </w:trPr>
        <w:tc>
          <w:tcPr>
            <w:tcW w:w="855" w:type="dxa"/>
            <w:vAlign w:val="center"/>
          </w:tcPr>
          <w:p w:rsidR="004D2D70" w:rsidRDefault="00A03B3C">
            <w:pPr>
              <w:jc w:val="center"/>
            </w:pPr>
            <w:r>
              <w:rPr>
                <w:color w:val="000000"/>
                <w:sz w:val="24"/>
                <w:szCs w:val="24"/>
              </w:rPr>
              <w:t>8</w:t>
            </w:r>
          </w:p>
        </w:tc>
        <w:tc>
          <w:tcPr>
            <w:tcW w:w="1334" w:type="dxa"/>
            <w:vAlign w:val="center"/>
          </w:tcPr>
          <w:p w:rsidR="004D2D70" w:rsidRDefault="00A03B3C">
            <w:pPr>
              <w:jc w:val="center"/>
            </w:pPr>
            <w:r>
              <w:rPr>
                <w:color w:val="000000"/>
                <w:sz w:val="24"/>
                <w:szCs w:val="24"/>
              </w:rPr>
              <w:t>000820</w:t>
            </w:r>
          </w:p>
        </w:tc>
        <w:tc>
          <w:tcPr>
            <w:tcW w:w="1777" w:type="dxa"/>
            <w:vAlign w:val="center"/>
          </w:tcPr>
          <w:p w:rsidR="004D2D70" w:rsidRDefault="00A03B3C">
            <w:pPr>
              <w:jc w:val="center"/>
            </w:pPr>
            <w:r>
              <w:rPr>
                <w:color w:val="000000"/>
                <w:sz w:val="24"/>
                <w:szCs w:val="24"/>
              </w:rPr>
              <w:t>金城股份</w:t>
            </w:r>
          </w:p>
        </w:tc>
        <w:tc>
          <w:tcPr>
            <w:tcW w:w="1334" w:type="dxa"/>
            <w:vAlign w:val="center"/>
          </w:tcPr>
          <w:p w:rsidR="004D2D70" w:rsidRDefault="00A03B3C">
            <w:pPr>
              <w:jc w:val="right"/>
            </w:pPr>
            <w:r>
              <w:rPr>
                <w:color w:val="000000"/>
                <w:sz w:val="24"/>
                <w:szCs w:val="24"/>
              </w:rPr>
              <w:t>3,080,087</w:t>
            </w:r>
          </w:p>
        </w:tc>
        <w:tc>
          <w:tcPr>
            <w:tcW w:w="1924" w:type="dxa"/>
            <w:vAlign w:val="center"/>
          </w:tcPr>
          <w:p w:rsidR="004D2D70" w:rsidRDefault="00A03B3C">
            <w:pPr>
              <w:jc w:val="right"/>
            </w:pPr>
            <w:r>
              <w:rPr>
                <w:color w:val="000000"/>
                <w:sz w:val="24"/>
                <w:szCs w:val="24"/>
              </w:rPr>
              <w:t>76,848,170.65</w:t>
            </w:r>
          </w:p>
        </w:tc>
        <w:tc>
          <w:tcPr>
            <w:tcW w:w="1644" w:type="dxa"/>
            <w:vAlign w:val="center"/>
          </w:tcPr>
          <w:p w:rsidR="004D2D70" w:rsidRDefault="00A03B3C">
            <w:pPr>
              <w:jc w:val="right"/>
            </w:pPr>
            <w:r>
              <w:rPr>
                <w:color w:val="000000"/>
                <w:sz w:val="24"/>
                <w:szCs w:val="24"/>
              </w:rPr>
              <w:t>2.99</w:t>
            </w:r>
          </w:p>
        </w:tc>
      </w:tr>
      <w:tr w:rsidR="004D2D70">
        <w:trPr>
          <w:jc w:val="center"/>
        </w:trPr>
        <w:tc>
          <w:tcPr>
            <w:tcW w:w="855" w:type="dxa"/>
            <w:vAlign w:val="center"/>
          </w:tcPr>
          <w:p w:rsidR="004D2D70" w:rsidRDefault="00A03B3C">
            <w:pPr>
              <w:jc w:val="center"/>
            </w:pPr>
            <w:r>
              <w:rPr>
                <w:color w:val="000000"/>
                <w:sz w:val="24"/>
                <w:szCs w:val="24"/>
              </w:rPr>
              <w:t>9</w:t>
            </w:r>
          </w:p>
        </w:tc>
        <w:tc>
          <w:tcPr>
            <w:tcW w:w="1334" w:type="dxa"/>
            <w:vAlign w:val="center"/>
          </w:tcPr>
          <w:p w:rsidR="004D2D70" w:rsidRDefault="00A03B3C">
            <w:pPr>
              <w:jc w:val="center"/>
            </w:pPr>
            <w:r>
              <w:rPr>
                <w:color w:val="000000"/>
                <w:sz w:val="24"/>
                <w:szCs w:val="24"/>
              </w:rPr>
              <w:t>002343</w:t>
            </w:r>
          </w:p>
        </w:tc>
        <w:tc>
          <w:tcPr>
            <w:tcW w:w="1777" w:type="dxa"/>
            <w:vAlign w:val="center"/>
          </w:tcPr>
          <w:p w:rsidR="004D2D70" w:rsidRDefault="00A03B3C">
            <w:pPr>
              <w:jc w:val="center"/>
            </w:pPr>
            <w:r>
              <w:rPr>
                <w:color w:val="000000"/>
                <w:sz w:val="24"/>
                <w:szCs w:val="24"/>
              </w:rPr>
              <w:t>慈文传媒</w:t>
            </w:r>
          </w:p>
        </w:tc>
        <w:tc>
          <w:tcPr>
            <w:tcW w:w="1334" w:type="dxa"/>
            <w:vAlign w:val="center"/>
          </w:tcPr>
          <w:p w:rsidR="004D2D70" w:rsidRDefault="00A03B3C">
            <w:pPr>
              <w:jc w:val="right"/>
            </w:pPr>
            <w:r>
              <w:rPr>
                <w:color w:val="000000"/>
                <w:sz w:val="24"/>
                <w:szCs w:val="24"/>
              </w:rPr>
              <w:t>1,750,748</w:t>
            </w:r>
          </w:p>
        </w:tc>
        <w:tc>
          <w:tcPr>
            <w:tcW w:w="1924" w:type="dxa"/>
            <w:vAlign w:val="center"/>
          </w:tcPr>
          <w:p w:rsidR="004D2D70" w:rsidRDefault="00A03B3C">
            <w:pPr>
              <w:jc w:val="right"/>
            </w:pPr>
            <w:r>
              <w:rPr>
                <w:color w:val="000000"/>
                <w:sz w:val="24"/>
                <w:szCs w:val="24"/>
              </w:rPr>
              <w:t>73,163,758.92</w:t>
            </w:r>
          </w:p>
        </w:tc>
        <w:tc>
          <w:tcPr>
            <w:tcW w:w="1644" w:type="dxa"/>
            <w:vAlign w:val="center"/>
          </w:tcPr>
          <w:p w:rsidR="004D2D70" w:rsidRDefault="00A03B3C">
            <w:pPr>
              <w:jc w:val="right"/>
            </w:pPr>
            <w:r>
              <w:rPr>
                <w:color w:val="000000"/>
                <w:sz w:val="24"/>
                <w:szCs w:val="24"/>
              </w:rPr>
              <w:t>2.85</w:t>
            </w:r>
          </w:p>
        </w:tc>
      </w:tr>
      <w:tr w:rsidR="004D2D70">
        <w:trPr>
          <w:jc w:val="center"/>
        </w:trPr>
        <w:tc>
          <w:tcPr>
            <w:tcW w:w="855" w:type="dxa"/>
            <w:vAlign w:val="center"/>
          </w:tcPr>
          <w:p w:rsidR="004D2D70" w:rsidRDefault="00A03B3C">
            <w:pPr>
              <w:jc w:val="center"/>
            </w:pPr>
            <w:r>
              <w:rPr>
                <w:color w:val="000000"/>
                <w:sz w:val="24"/>
                <w:szCs w:val="24"/>
              </w:rPr>
              <w:t>10</w:t>
            </w:r>
          </w:p>
        </w:tc>
        <w:tc>
          <w:tcPr>
            <w:tcW w:w="1334" w:type="dxa"/>
            <w:vAlign w:val="center"/>
          </w:tcPr>
          <w:p w:rsidR="004D2D70" w:rsidRDefault="00A03B3C">
            <w:pPr>
              <w:jc w:val="center"/>
            </w:pPr>
            <w:r>
              <w:rPr>
                <w:color w:val="000000"/>
                <w:sz w:val="24"/>
                <w:szCs w:val="24"/>
              </w:rPr>
              <w:t>600500</w:t>
            </w:r>
          </w:p>
        </w:tc>
        <w:tc>
          <w:tcPr>
            <w:tcW w:w="1777" w:type="dxa"/>
            <w:vAlign w:val="center"/>
          </w:tcPr>
          <w:p w:rsidR="004D2D70" w:rsidRDefault="00A03B3C">
            <w:pPr>
              <w:jc w:val="center"/>
            </w:pPr>
            <w:r>
              <w:rPr>
                <w:color w:val="000000"/>
                <w:sz w:val="24"/>
                <w:szCs w:val="24"/>
              </w:rPr>
              <w:t>中化国际</w:t>
            </w:r>
          </w:p>
        </w:tc>
        <w:tc>
          <w:tcPr>
            <w:tcW w:w="1334" w:type="dxa"/>
            <w:vAlign w:val="center"/>
          </w:tcPr>
          <w:p w:rsidR="004D2D70" w:rsidRDefault="00A03B3C">
            <w:pPr>
              <w:jc w:val="right"/>
            </w:pPr>
            <w:r>
              <w:rPr>
                <w:color w:val="000000"/>
                <w:sz w:val="24"/>
                <w:szCs w:val="24"/>
              </w:rPr>
              <w:t>7,565,836</w:t>
            </w:r>
          </w:p>
        </w:tc>
        <w:tc>
          <w:tcPr>
            <w:tcW w:w="1924" w:type="dxa"/>
            <w:vAlign w:val="center"/>
          </w:tcPr>
          <w:p w:rsidR="004D2D70" w:rsidRDefault="00A03B3C">
            <w:pPr>
              <w:jc w:val="right"/>
            </w:pPr>
            <w:r>
              <w:rPr>
                <w:color w:val="000000"/>
                <w:sz w:val="24"/>
                <w:szCs w:val="24"/>
              </w:rPr>
              <w:t>72,632,025.60</w:t>
            </w:r>
          </w:p>
        </w:tc>
        <w:tc>
          <w:tcPr>
            <w:tcW w:w="1644" w:type="dxa"/>
            <w:vAlign w:val="center"/>
          </w:tcPr>
          <w:p w:rsidR="004D2D70" w:rsidRDefault="00A03B3C">
            <w:pPr>
              <w:jc w:val="right"/>
            </w:pPr>
            <w:r>
              <w:rPr>
                <w:color w:val="000000"/>
                <w:sz w:val="24"/>
                <w:szCs w:val="24"/>
              </w:rPr>
              <w:t>2.83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974,284.94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99,899,463.84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103,215.50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68,042.92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101,045,007.20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4D2D70">
        <w:trPr>
          <w:jc w:val="center"/>
        </w:trPr>
        <w:tc>
          <w:tcPr>
            <w:tcW w:w="1129" w:type="dxa"/>
            <w:vAlign w:val="center"/>
          </w:tcPr>
          <w:p w:rsidR="004D2D70" w:rsidRDefault="00A03B3C">
            <w:pPr>
              <w:jc w:val="center"/>
            </w:pPr>
            <w:r>
              <w:rPr>
                <w:color w:val="000000"/>
                <w:sz w:val="24"/>
                <w:szCs w:val="24"/>
              </w:rPr>
              <w:t>1</w:t>
            </w:r>
          </w:p>
        </w:tc>
        <w:tc>
          <w:tcPr>
            <w:tcW w:w="1356" w:type="dxa"/>
            <w:vAlign w:val="center"/>
          </w:tcPr>
          <w:p w:rsidR="004D2D70" w:rsidRDefault="00A03B3C">
            <w:pPr>
              <w:jc w:val="center"/>
            </w:pPr>
            <w:r>
              <w:rPr>
                <w:color w:val="000000"/>
                <w:sz w:val="24"/>
                <w:szCs w:val="24"/>
              </w:rPr>
              <w:t>002555</w:t>
            </w:r>
          </w:p>
        </w:tc>
        <w:tc>
          <w:tcPr>
            <w:tcW w:w="1355" w:type="dxa"/>
            <w:vAlign w:val="center"/>
          </w:tcPr>
          <w:p w:rsidR="004D2D70" w:rsidRDefault="00A03B3C">
            <w:pPr>
              <w:jc w:val="center"/>
            </w:pPr>
            <w:r>
              <w:rPr>
                <w:color w:val="000000"/>
                <w:sz w:val="24"/>
                <w:szCs w:val="24"/>
              </w:rPr>
              <w:t>三七互娱</w:t>
            </w:r>
          </w:p>
        </w:tc>
        <w:tc>
          <w:tcPr>
            <w:tcW w:w="1880" w:type="dxa"/>
            <w:vAlign w:val="center"/>
          </w:tcPr>
          <w:p w:rsidR="004D2D70" w:rsidRDefault="00A03B3C">
            <w:pPr>
              <w:jc w:val="right"/>
            </w:pPr>
            <w:r>
              <w:rPr>
                <w:color w:val="000000"/>
                <w:sz w:val="24"/>
                <w:szCs w:val="24"/>
              </w:rPr>
              <w:t>92,216,820.00</w:t>
            </w:r>
          </w:p>
        </w:tc>
        <w:tc>
          <w:tcPr>
            <w:tcW w:w="1724" w:type="dxa"/>
            <w:vAlign w:val="center"/>
          </w:tcPr>
          <w:p w:rsidR="004D2D70" w:rsidRDefault="00A03B3C">
            <w:pPr>
              <w:jc w:val="right"/>
            </w:pPr>
            <w:r>
              <w:rPr>
                <w:color w:val="000000"/>
                <w:sz w:val="24"/>
                <w:szCs w:val="24"/>
              </w:rPr>
              <w:t>3.59</w:t>
            </w:r>
          </w:p>
        </w:tc>
        <w:tc>
          <w:tcPr>
            <w:tcW w:w="1424" w:type="dxa"/>
            <w:vAlign w:val="center"/>
          </w:tcPr>
          <w:p w:rsidR="004D2D70" w:rsidRDefault="00A03B3C">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3,221,625,567.96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11,851,477.47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94,676,771.56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3,138,800,273.87</w:t>
            </w:r>
          </w:p>
        </w:tc>
      </w:tr>
    </w:tbl>
    <w:p w:rsidR="004D2D70" w:rsidRDefault="00A03B3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23,710,503.49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23,710,503.49</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0.76</w:t>
            </w:r>
          </w:p>
        </w:tc>
      </w:tr>
    </w:tbl>
    <w:p w:rsidR="004D2D70" w:rsidRDefault="00A03B3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4D2D70" w:rsidRDefault="00A03B3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4D2D70" w:rsidRDefault="00A03B3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、《交银施罗德蓝筹混合型证券投资基金基金合同》；</w:t>
      </w:r>
      <w:r>
        <w:rPr>
          <w:color w:val="000000"/>
          <w:sz w:val="24"/>
          <w:szCs w:val="24"/>
        </w:rPr>
        <w:t xml:space="preserve"> </w:t>
      </w:r>
    </w:p>
    <w:p w:rsidR="004D2D70" w:rsidRDefault="00A03B3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、《交银施罗德蓝筹混合型证券投资基金招募说明书》；</w:t>
      </w:r>
      <w:r>
        <w:rPr>
          <w:color w:val="000000"/>
          <w:sz w:val="24"/>
          <w:szCs w:val="24"/>
        </w:rPr>
        <w:t xml:space="preserve"> </w:t>
      </w:r>
    </w:p>
    <w:p w:rsidR="004D2D70" w:rsidRDefault="00A03B3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、《交银施罗德蓝筹混合型证券投资基金托管协议》；</w:t>
      </w:r>
      <w:r>
        <w:rPr>
          <w:color w:val="000000"/>
          <w:sz w:val="24"/>
          <w:szCs w:val="24"/>
        </w:rPr>
        <w:t xml:space="preserve"> </w:t>
      </w:r>
    </w:p>
    <w:p w:rsidR="004D2D70" w:rsidRDefault="00A03B3C">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4D2D70" w:rsidRDefault="00A03B3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4D2D70" w:rsidRDefault="00A03B3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4D2D70" w:rsidRDefault="00A03B3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B3C" w:rsidRDefault="00A03B3C" w:rsidP="00876D65">
      <w:r>
        <w:separator/>
      </w:r>
    </w:p>
  </w:endnote>
  <w:endnote w:type="continuationSeparator" w:id="0">
    <w:p w:rsidR="00A03B3C" w:rsidRDefault="00A03B3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851600">
      <w:rPr>
        <w:noProof/>
        <w:kern w:val="0"/>
        <w:szCs w:val="21"/>
      </w:rPr>
      <w:t>4</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851600">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B3C" w:rsidRDefault="00A03B3C" w:rsidP="00876D65">
      <w:r>
        <w:separator/>
      </w:r>
    </w:p>
  </w:footnote>
  <w:footnote w:type="continuationSeparator" w:id="0">
    <w:p w:rsidR="00A03B3C" w:rsidRDefault="00A03B3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2FA"/>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157D6"/>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2D70"/>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1600"/>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3B3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144A0-560D-422C-88C8-6479F2E0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11</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564</cp:revision>
  <dcterms:created xsi:type="dcterms:W3CDTF">2012-10-16T06:07:00Z</dcterms:created>
  <dcterms:modified xsi:type="dcterms:W3CDTF">2016-10-20T11:51:00Z</dcterms:modified>
</cp:coreProperties>
</file>