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交银施罗德先锋混合型证券投资基金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二〇一六年十月二十五日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41BA2" w:rsidRDefault="00AA257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41BA2" w:rsidRDefault="00AA2575">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41BA2" w:rsidRDefault="00AA257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41BA2" w:rsidRDefault="00AA257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41BA2" w:rsidRDefault="00AA2575">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交银先锋混合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1,465,856,103.93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700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本基金是一只混合型基金，以具有持续成长潜力企业</w:t>
            </w:r>
            <w:r w:rsidRPr="00414345">
              <w:rPr>
                <w:color w:val="000000"/>
                <w:kern w:val="0"/>
                <w:sz w:val="24"/>
                <w:szCs w:val="24"/>
              </w:rPr>
              <w:lastRenderedPageBreak/>
              <w:t>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A2575" w:rsidRPr="00414345" w:rsidTr="00AA257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AA2575" w:rsidRPr="00414345" w:rsidTr="00AA257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22,053,771.14</w:t>
            </w:r>
          </w:p>
        </w:tc>
      </w:tr>
      <w:tr w:rsidR="00AA2575" w:rsidRPr="00414345" w:rsidTr="00AA257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-158,444.59</w:t>
            </w:r>
          </w:p>
        </w:tc>
      </w:tr>
      <w:tr w:rsidR="00AA2575" w:rsidRPr="00414345" w:rsidTr="00AA257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-0.0001</w:t>
            </w:r>
          </w:p>
        </w:tc>
      </w:tr>
      <w:tr w:rsidR="00AA2575" w:rsidRPr="00414345" w:rsidTr="00AA257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2,150,075,926.91</w:t>
            </w:r>
          </w:p>
        </w:tc>
      </w:tr>
      <w:tr w:rsidR="00AA2575" w:rsidRPr="00414345" w:rsidTr="00AA257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1.4668</w:t>
            </w:r>
          </w:p>
        </w:tc>
      </w:tr>
    </w:tbl>
    <w:p w:rsidR="00D41BA2" w:rsidRDefault="00AA257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41BA2">
        <w:trPr>
          <w:jc w:val="center"/>
        </w:trPr>
        <w:tc>
          <w:tcPr>
            <w:tcW w:w="1701" w:type="dxa"/>
            <w:vAlign w:val="center"/>
          </w:tcPr>
          <w:p w:rsidR="00D41BA2" w:rsidRDefault="00AA2575">
            <w:pPr>
              <w:jc w:val="left"/>
            </w:pPr>
            <w:r>
              <w:rPr>
                <w:color w:val="000000"/>
                <w:sz w:val="24"/>
                <w:szCs w:val="24"/>
              </w:rPr>
              <w:t>过去三个月</w:t>
            </w:r>
          </w:p>
        </w:tc>
        <w:tc>
          <w:tcPr>
            <w:tcW w:w="1045" w:type="dxa"/>
            <w:vAlign w:val="center"/>
          </w:tcPr>
          <w:p w:rsidR="00D41BA2" w:rsidRDefault="00AA2575">
            <w:pPr>
              <w:jc w:val="center"/>
            </w:pPr>
            <w:r>
              <w:rPr>
                <w:color w:val="000000"/>
                <w:sz w:val="24"/>
                <w:szCs w:val="24"/>
              </w:rPr>
              <w:t>-0.12%</w:t>
            </w:r>
          </w:p>
        </w:tc>
        <w:tc>
          <w:tcPr>
            <w:tcW w:w="1344" w:type="dxa"/>
            <w:vAlign w:val="center"/>
          </w:tcPr>
          <w:p w:rsidR="00D41BA2" w:rsidRDefault="00AA2575">
            <w:pPr>
              <w:jc w:val="center"/>
            </w:pPr>
            <w:r>
              <w:rPr>
                <w:color w:val="000000"/>
                <w:sz w:val="24"/>
                <w:szCs w:val="24"/>
              </w:rPr>
              <w:t>1.34%</w:t>
            </w:r>
          </w:p>
        </w:tc>
        <w:tc>
          <w:tcPr>
            <w:tcW w:w="1194" w:type="dxa"/>
            <w:vAlign w:val="center"/>
          </w:tcPr>
          <w:p w:rsidR="00D41BA2" w:rsidRDefault="00AA2575">
            <w:pPr>
              <w:jc w:val="center"/>
            </w:pPr>
            <w:r>
              <w:rPr>
                <w:color w:val="000000"/>
                <w:sz w:val="24"/>
                <w:szCs w:val="24"/>
              </w:rPr>
              <w:t>3.19%</w:t>
            </w:r>
          </w:p>
        </w:tc>
        <w:tc>
          <w:tcPr>
            <w:tcW w:w="1492" w:type="dxa"/>
            <w:vAlign w:val="center"/>
          </w:tcPr>
          <w:p w:rsidR="00D41BA2" w:rsidRDefault="00AA2575">
            <w:pPr>
              <w:jc w:val="center"/>
            </w:pPr>
            <w:r>
              <w:rPr>
                <w:color w:val="000000"/>
                <w:sz w:val="24"/>
                <w:szCs w:val="24"/>
              </w:rPr>
              <w:t>0.73%</w:t>
            </w:r>
          </w:p>
        </w:tc>
        <w:tc>
          <w:tcPr>
            <w:tcW w:w="1194" w:type="dxa"/>
            <w:vAlign w:val="center"/>
          </w:tcPr>
          <w:p w:rsidR="00D41BA2" w:rsidRDefault="00AA2575">
            <w:pPr>
              <w:jc w:val="center"/>
            </w:pPr>
            <w:r>
              <w:rPr>
                <w:color w:val="000000"/>
                <w:sz w:val="24"/>
                <w:szCs w:val="24"/>
              </w:rPr>
              <w:t>-3.31%</w:t>
            </w:r>
          </w:p>
        </w:tc>
        <w:tc>
          <w:tcPr>
            <w:tcW w:w="898" w:type="dxa"/>
            <w:vAlign w:val="center"/>
          </w:tcPr>
          <w:p w:rsidR="00D41BA2" w:rsidRDefault="00AA2575">
            <w:pPr>
              <w:jc w:val="center"/>
            </w:pPr>
            <w:r>
              <w:rPr>
                <w:color w:val="000000"/>
                <w:sz w:val="24"/>
                <w:szCs w:val="24"/>
              </w:rPr>
              <w:t>0.61%</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w:t>
      </w:r>
      <w:r w:rsidRPr="00414345">
        <w:rPr>
          <w:color w:val="000000"/>
          <w:sz w:val="24"/>
          <w:szCs w:val="24"/>
        </w:rPr>
        <w:lastRenderedPageBreak/>
        <w:t>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交银施罗德先锋混合型证券投资基金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41BA2">
        <w:trPr>
          <w:jc w:val="center"/>
        </w:trPr>
        <w:tc>
          <w:tcPr>
            <w:tcW w:w="846" w:type="dxa"/>
            <w:vAlign w:val="center"/>
          </w:tcPr>
          <w:p w:rsidR="00D41BA2" w:rsidRDefault="00AA2575">
            <w:pPr>
              <w:jc w:val="center"/>
            </w:pPr>
            <w:r>
              <w:rPr>
                <w:color w:val="000000"/>
                <w:sz w:val="24"/>
                <w:szCs w:val="24"/>
              </w:rPr>
              <w:t>芮晨</w:t>
            </w:r>
          </w:p>
        </w:tc>
        <w:tc>
          <w:tcPr>
            <w:tcW w:w="845" w:type="dxa"/>
            <w:vAlign w:val="center"/>
          </w:tcPr>
          <w:p w:rsidR="00D41BA2" w:rsidRDefault="00AA2575">
            <w:pPr>
              <w:jc w:val="center"/>
            </w:pPr>
            <w:r>
              <w:rPr>
                <w:color w:val="000000"/>
                <w:sz w:val="24"/>
                <w:szCs w:val="24"/>
              </w:rPr>
              <w:t>交银先锋混合、交银科技创新灵活配置混合、交银数据产业灵活配置混合的基金经理</w:t>
            </w:r>
          </w:p>
        </w:tc>
        <w:tc>
          <w:tcPr>
            <w:tcW w:w="1549" w:type="dxa"/>
            <w:vAlign w:val="center"/>
          </w:tcPr>
          <w:p w:rsidR="00D41BA2" w:rsidRDefault="00AA2575">
            <w:pPr>
              <w:jc w:val="center"/>
            </w:pPr>
            <w:r>
              <w:rPr>
                <w:color w:val="000000"/>
                <w:sz w:val="24"/>
                <w:szCs w:val="24"/>
              </w:rPr>
              <w:t>2015-05-18</w:t>
            </w:r>
          </w:p>
        </w:tc>
        <w:tc>
          <w:tcPr>
            <w:tcW w:w="1548" w:type="dxa"/>
            <w:vAlign w:val="center"/>
          </w:tcPr>
          <w:p w:rsidR="00D41BA2" w:rsidRDefault="00AA2575">
            <w:pPr>
              <w:jc w:val="center"/>
            </w:pPr>
            <w:r>
              <w:rPr>
                <w:color w:val="000000"/>
                <w:sz w:val="24"/>
                <w:szCs w:val="24"/>
              </w:rPr>
              <w:t>-</w:t>
            </w:r>
          </w:p>
        </w:tc>
        <w:tc>
          <w:tcPr>
            <w:tcW w:w="1407" w:type="dxa"/>
            <w:vAlign w:val="center"/>
          </w:tcPr>
          <w:p w:rsidR="00D41BA2" w:rsidRDefault="00AA2575">
            <w:pPr>
              <w:jc w:val="center"/>
            </w:pPr>
            <w:r>
              <w:rPr>
                <w:color w:val="000000"/>
                <w:sz w:val="24"/>
                <w:szCs w:val="24"/>
              </w:rPr>
              <w:t>9</w:t>
            </w:r>
            <w:r>
              <w:rPr>
                <w:color w:val="000000"/>
                <w:sz w:val="24"/>
                <w:szCs w:val="24"/>
              </w:rPr>
              <w:t>年</w:t>
            </w:r>
          </w:p>
        </w:tc>
        <w:tc>
          <w:tcPr>
            <w:tcW w:w="2673" w:type="dxa"/>
            <w:vAlign w:val="center"/>
          </w:tcPr>
          <w:p w:rsidR="00D41BA2" w:rsidRDefault="00AA2575" w:rsidP="00C16B40">
            <w:r>
              <w:rPr>
                <w:color w:val="000000"/>
                <w:sz w:val="24"/>
                <w:szCs w:val="24"/>
              </w:rPr>
              <w:t>芮晨先生，内蒙古科技大学工学士。历任深圳尚诚资产管理有限公司研究员、研究副总监，国联安基金管理有限公司行业研究员、投资经理，浙商证券资产管理有限公司投资主办。</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41BA2" w:rsidRDefault="00AA257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41BA2" w:rsidRDefault="00AA257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41BA2" w:rsidRDefault="00AA257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D41BA2" w:rsidRDefault="00AA2575">
      <w:pPr>
        <w:spacing w:before="29" w:line="288" w:lineRule="auto"/>
        <w:ind w:firstLineChars="200" w:firstLine="480"/>
        <w:rPr>
          <w:color w:val="000000"/>
          <w:sz w:val="24"/>
          <w:szCs w:val="24"/>
        </w:rPr>
      </w:pPr>
      <w:r>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szCs w:val="24"/>
        </w:rPr>
        <w:t>5%</w:t>
      </w:r>
      <w:r>
        <w:rPr>
          <w:color w:val="000000"/>
          <w:sz w:val="24"/>
          <w:szCs w:val="24"/>
        </w:rPr>
        <w:t>的情形，本基金与本公司管理的其他投资组合在不同时间窗下（如日内、</w:t>
      </w:r>
      <w:r>
        <w:rPr>
          <w:color w:val="000000"/>
          <w:sz w:val="24"/>
          <w:szCs w:val="24"/>
        </w:rPr>
        <w:t>3</w:t>
      </w:r>
      <w:r>
        <w:rPr>
          <w:color w:val="000000"/>
          <w:sz w:val="24"/>
          <w:szCs w:val="24"/>
        </w:rPr>
        <w:t>日内、</w:t>
      </w:r>
      <w:r>
        <w:rPr>
          <w:color w:val="000000"/>
          <w:sz w:val="24"/>
          <w:szCs w:val="24"/>
        </w:rPr>
        <w:t>5</w:t>
      </w:r>
      <w:r>
        <w:rPr>
          <w:color w:val="000000"/>
          <w:sz w:val="24"/>
          <w:szCs w:val="24"/>
        </w:rPr>
        <w:t>日内）同向交易的交易价差未出现异常。</w:t>
      </w:r>
    </w:p>
    <w:p w:rsidR="00D41BA2" w:rsidRDefault="00D41BA2">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54801" w:rsidRPr="00D54801" w:rsidRDefault="00D54801" w:rsidP="00445969">
      <w:pPr>
        <w:spacing w:before="29" w:line="288" w:lineRule="auto"/>
        <w:ind w:firstLineChars="200" w:firstLine="480"/>
        <w:rPr>
          <w:color w:val="000000"/>
          <w:sz w:val="24"/>
          <w:szCs w:val="24"/>
        </w:rPr>
      </w:pPr>
      <w:r w:rsidRPr="00D54801">
        <w:rPr>
          <w:rFonts w:hint="eastAsia"/>
          <w:color w:val="000000"/>
          <w:sz w:val="24"/>
          <w:szCs w:val="24"/>
        </w:rPr>
        <w:t>三季度市场处于震荡行情，没有明显趋势。宏观经济方面，传统行业没有起色，新兴产业热度有所降温，房地产市场持续火爆，流动性依然充裕，资金脱实入虚，大量资金找不到能够带来好的回报的投资方向，虽然新兴产业中的优势项目、优势企业能够带来好的回报，但是可容纳的资金有限，同时资产价格也并不便宜。虽然国内经济发展面临重重困难，但是从全球范围看，各国都面临增长乏力的问题。对比美国和欧洲，前三十年我们拥有劳动力红利，现在我们拥有工程师红利，这是我们具备的巨大比较优势。同时，我们还拥有极其强烈的改变自己生活条件的意愿，这也是欧美等国无法比拟的。所以，我们十分关注我国在信息、医药乃至高端制造这些产业具备的发展潜力和全球竞争力，中国在这些产业上已经拥有或者即将拥有全球竞争力，是相对质量最好的资产。如果我们有一笔资金可以全球配置，我们也应当将这些资金坚定地配置在全球有竞争力的优质资产上。</w:t>
      </w:r>
    </w:p>
    <w:p w:rsidR="00D54801" w:rsidRDefault="00D54801" w:rsidP="00C15CAC">
      <w:pPr>
        <w:spacing w:before="29" w:line="288" w:lineRule="auto"/>
        <w:ind w:firstLineChars="200" w:firstLine="480"/>
        <w:rPr>
          <w:color w:val="000000"/>
          <w:sz w:val="24"/>
          <w:szCs w:val="24"/>
        </w:rPr>
      </w:pPr>
      <w:r w:rsidRPr="00D54801">
        <w:rPr>
          <w:rFonts w:hint="eastAsia"/>
          <w:color w:val="000000"/>
          <w:sz w:val="24"/>
          <w:szCs w:val="24"/>
        </w:rPr>
        <w:t>展望未来一个季度，首先，我们认为股票在未来一个季度的配置价值将初步显现；其次，成长股经过连续五个季度的调整，其中有些优质公司连续五个季度利润都是增长的，现在从价格和利润的角度看，已经非常具有吸引力。我们判断成长股有望迎来持续性的表现，本基金依然坚守在优质成长股上，力求与公司共同成长。</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 xml:space="preserve"> 1.4668</w:t>
      </w:r>
      <w:r w:rsidRPr="00414345">
        <w:rPr>
          <w:color w:val="000000"/>
          <w:sz w:val="24"/>
          <w:szCs w:val="24"/>
        </w:rPr>
        <w:t>元，本报告期份额净值增长率为</w:t>
      </w:r>
      <w:r w:rsidRPr="00414345">
        <w:rPr>
          <w:color w:val="000000"/>
          <w:sz w:val="24"/>
          <w:szCs w:val="24"/>
        </w:rPr>
        <w:t>-0.12%</w:t>
      </w:r>
      <w:r w:rsidRPr="00414345">
        <w:rPr>
          <w:color w:val="000000"/>
          <w:sz w:val="24"/>
          <w:szCs w:val="24"/>
        </w:rPr>
        <w:t>，同期业绩比较基准增长率为</w:t>
      </w:r>
      <w:r w:rsidRPr="00414345">
        <w:rPr>
          <w:color w:val="000000"/>
          <w:sz w:val="24"/>
          <w:szCs w:val="24"/>
        </w:rPr>
        <w:t>3.19%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2,027,517,209.26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94.02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2,027,517,209.26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94.02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121,545,084.19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5.64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7,382,916.00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0.34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2,156,445,209.45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306,219,182.55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14.24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882,894,418.54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118,421,613.60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610,007,127.49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89,363,093.70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20,611,773.38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2,027,517,209.26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94.30</w:t>
            </w:r>
          </w:p>
        </w:tc>
      </w:tr>
    </w:tbl>
    <w:p w:rsidR="005A470A" w:rsidRDefault="005A470A"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bookmarkStart w:id="0" w:name="_GoBack"/>
      <w:bookmarkEnd w:id="0"/>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41BA2">
        <w:trPr>
          <w:jc w:val="center"/>
        </w:trPr>
        <w:tc>
          <w:tcPr>
            <w:tcW w:w="855" w:type="dxa"/>
            <w:vAlign w:val="center"/>
          </w:tcPr>
          <w:p w:rsidR="00D41BA2" w:rsidRDefault="00AA2575">
            <w:pPr>
              <w:jc w:val="center"/>
            </w:pPr>
            <w:r>
              <w:rPr>
                <w:color w:val="000000"/>
                <w:sz w:val="24"/>
                <w:szCs w:val="24"/>
              </w:rPr>
              <w:t>1</w:t>
            </w:r>
          </w:p>
        </w:tc>
        <w:tc>
          <w:tcPr>
            <w:tcW w:w="1334" w:type="dxa"/>
            <w:vAlign w:val="center"/>
          </w:tcPr>
          <w:p w:rsidR="00D41BA2" w:rsidRDefault="00AA2575">
            <w:pPr>
              <w:jc w:val="center"/>
            </w:pPr>
            <w:r>
              <w:rPr>
                <w:color w:val="000000"/>
                <w:sz w:val="24"/>
                <w:szCs w:val="24"/>
              </w:rPr>
              <w:t>300365</w:t>
            </w:r>
          </w:p>
        </w:tc>
        <w:tc>
          <w:tcPr>
            <w:tcW w:w="1777" w:type="dxa"/>
            <w:vAlign w:val="center"/>
          </w:tcPr>
          <w:p w:rsidR="00D41BA2" w:rsidRDefault="00AA2575">
            <w:pPr>
              <w:jc w:val="center"/>
            </w:pPr>
            <w:r>
              <w:rPr>
                <w:color w:val="000000"/>
                <w:sz w:val="24"/>
                <w:szCs w:val="24"/>
              </w:rPr>
              <w:t>恒华科技</w:t>
            </w:r>
          </w:p>
        </w:tc>
        <w:tc>
          <w:tcPr>
            <w:tcW w:w="1334" w:type="dxa"/>
            <w:vAlign w:val="center"/>
          </w:tcPr>
          <w:p w:rsidR="00D41BA2" w:rsidRDefault="00AA2575">
            <w:pPr>
              <w:jc w:val="right"/>
            </w:pPr>
            <w:r>
              <w:rPr>
                <w:color w:val="000000"/>
                <w:sz w:val="24"/>
                <w:szCs w:val="24"/>
              </w:rPr>
              <w:t>4,724,562</w:t>
            </w:r>
          </w:p>
        </w:tc>
        <w:tc>
          <w:tcPr>
            <w:tcW w:w="1924" w:type="dxa"/>
            <w:vAlign w:val="center"/>
          </w:tcPr>
          <w:p w:rsidR="00D41BA2" w:rsidRDefault="00AA2575">
            <w:pPr>
              <w:jc w:val="right"/>
            </w:pPr>
            <w:r>
              <w:rPr>
                <w:color w:val="000000"/>
                <w:sz w:val="24"/>
                <w:szCs w:val="24"/>
              </w:rPr>
              <w:t>215,912,483.40</w:t>
            </w:r>
          </w:p>
        </w:tc>
        <w:tc>
          <w:tcPr>
            <w:tcW w:w="1644" w:type="dxa"/>
            <w:vAlign w:val="center"/>
          </w:tcPr>
          <w:p w:rsidR="00D41BA2" w:rsidRDefault="00AA2575">
            <w:pPr>
              <w:jc w:val="right"/>
            </w:pPr>
            <w:r>
              <w:rPr>
                <w:color w:val="000000"/>
                <w:sz w:val="24"/>
                <w:szCs w:val="24"/>
              </w:rPr>
              <w:t>10.04</w:t>
            </w:r>
          </w:p>
        </w:tc>
      </w:tr>
      <w:tr w:rsidR="00D41BA2">
        <w:trPr>
          <w:jc w:val="center"/>
        </w:trPr>
        <w:tc>
          <w:tcPr>
            <w:tcW w:w="855" w:type="dxa"/>
            <w:vAlign w:val="center"/>
          </w:tcPr>
          <w:p w:rsidR="00D41BA2" w:rsidRDefault="00AA2575">
            <w:pPr>
              <w:jc w:val="center"/>
            </w:pPr>
            <w:r>
              <w:rPr>
                <w:color w:val="000000"/>
                <w:sz w:val="24"/>
                <w:szCs w:val="24"/>
              </w:rPr>
              <w:t>2</w:t>
            </w:r>
          </w:p>
        </w:tc>
        <w:tc>
          <w:tcPr>
            <w:tcW w:w="1334" w:type="dxa"/>
            <w:vAlign w:val="center"/>
          </w:tcPr>
          <w:p w:rsidR="00D41BA2" w:rsidRDefault="00AA2575">
            <w:pPr>
              <w:jc w:val="center"/>
            </w:pPr>
            <w:r>
              <w:rPr>
                <w:color w:val="000000"/>
                <w:sz w:val="24"/>
                <w:szCs w:val="24"/>
              </w:rPr>
              <w:t>300212</w:t>
            </w:r>
          </w:p>
        </w:tc>
        <w:tc>
          <w:tcPr>
            <w:tcW w:w="1777" w:type="dxa"/>
            <w:vAlign w:val="center"/>
          </w:tcPr>
          <w:p w:rsidR="00D41BA2" w:rsidRDefault="00AA2575">
            <w:pPr>
              <w:jc w:val="center"/>
            </w:pPr>
            <w:r>
              <w:rPr>
                <w:color w:val="000000"/>
                <w:sz w:val="24"/>
                <w:szCs w:val="24"/>
              </w:rPr>
              <w:t>易华录</w:t>
            </w:r>
          </w:p>
        </w:tc>
        <w:tc>
          <w:tcPr>
            <w:tcW w:w="1334" w:type="dxa"/>
            <w:vAlign w:val="center"/>
          </w:tcPr>
          <w:p w:rsidR="00D41BA2" w:rsidRDefault="00AA2575">
            <w:pPr>
              <w:jc w:val="right"/>
            </w:pPr>
            <w:r>
              <w:rPr>
                <w:color w:val="000000"/>
                <w:sz w:val="24"/>
                <w:szCs w:val="24"/>
              </w:rPr>
              <w:t>5,576,791</w:t>
            </w:r>
          </w:p>
        </w:tc>
        <w:tc>
          <w:tcPr>
            <w:tcW w:w="1924" w:type="dxa"/>
            <w:vAlign w:val="center"/>
          </w:tcPr>
          <w:p w:rsidR="00D41BA2" w:rsidRDefault="00AA2575">
            <w:pPr>
              <w:jc w:val="right"/>
            </w:pPr>
            <w:r>
              <w:rPr>
                <w:color w:val="000000"/>
                <w:sz w:val="24"/>
                <w:szCs w:val="24"/>
              </w:rPr>
              <w:t>197,251,097.67</w:t>
            </w:r>
          </w:p>
        </w:tc>
        <w:tc>
          <w:tcPr>
            <w:tcW w:w="1644" w:type="dxa"/>
            <w:vAlign w:val="center"/>
          </w:tcPr>
          <w:p w:rsidR="00D41BA2" w:rsidRDefault="00AA2575">
            <w:pPr>
              <w:jc w:val="right"/>
            </w:pPr>
            <w:r>
              <w:rPr>
                <w:color w:val="000000"/>
                <w:sz w:val="24"/>
                <w:szCs w:val="24"/>
              </w:rPr>
              <w:t>9.17</w:t>
            </w:r>
          </w:p>
        </w:tc>
      </w:tr>
      <w:tr w:rsidR="00D41BA2">
        <w:trPr>
          <w:jc w:val="center"/>
        </w:trPr>
        <w:tc>
          <w:tcPr>
            <w:tcW w:w="855" w:type="dxa"/>
            <w:vAlign w:val="center"/>
          </w:tcPr>
          <w:p w:rsidR="00D41BA2" w:rsidRDefault="00AA2575">
            <w:pPr>
              <w:jc w:val="center"/>
            </w:pPr>
            <w:r>
              <w:rPr>
                <w:color w:val="000000"/>
                <w:sz w:val="24"/>
                <w:szCs w:val="24"/>
              </w:rPr>
              <w:t>3</w:t>
            </w:r>
          </w:p>
        </w:tc>
        <w:tc>
          <w:tcPr>
            <w:tcW w:w="1334" w:type="dxa"/>
            <w:vAlign w:val="center"/>
          </w:tcPr>
          <w:p w:rsidR="00D41BA2" w:rsidRDefault="00AA2575">
            <w:pPr>
              <w:jc w:val="center"/>
            </w:pPr>
            <w:r>
              <w:rPr>
                <w:color w:val="000000"/>
                <w:sz w:val="24"/>
                <w:szCs w:val="24"/>
              </w:rPr>
              <w:t>300279</w:t>
            </w:r>
          </w:p>
        </w:tc>
        <w:tc>
          <w:tcPr>
            <w:tcW w:w="1777" w:type="dxa"/>
            <w:vAlign w:val="center"/>
          </w:tcPr>
          <w:p w:rsidR="00D41BA2" w:rsidRDefault="00AA2575">
            <w:pPr>
              <w:jc w:val="center"/>
            </w:pPr>
            <w:r>
              <w:rPr>
                <w:color w:val="000000"/>
                <w:sz w:val="24"/>
                <w:szCs w:val="24"/>
              </w:rPr>
              <w:t>和晶科技</w:t>
            </w:r>
          </w:p>
        </w:tc>
        <w:tc>
          <w:tcPr>
            <w:tcW w:w="1334" w:type="dxa"/>
            <w:vAlign w:val="center"/>
          </w:tcPr>
          <w:p w:rsidR="00D41BA2" w:rsidRDefault="00AA2575">
            <w:pPr>
              <w:jc w:val="right"/>
            </w:pPr>
            <w:r>
              <w:rPr>
                <w:color w:val="000000"/>
                <w:sz w:val="24"/>
                <w:szCs w:val="24"/>
              </w:rPr>
              <w:t>3,966,738</w:t>
            </w:r>
          </w:p>
        </w:tc>
        <w:tc>
          <w:tcPr>
            <w:tcW w:w="1924" w:type="dxa"/>
            <w:vAlign w:val="center"/>
          </w:tcPr>
          <w:p w:rsidR="00D41BA2" w:rsidRDefault="00AA2575">
            <w:pPr>
              <w:jc w:val="right"/>
            </w:pPr>
            <w:r>
              <w:rPr>
                <w:color w:val="000000"/>
                <w:sz w:val="24"/>
                <w:szCs w:val="24"/>
              </w:rPr>
              <w:t>185,841,675.30</w:t>
            </w:r>
          </w:p>
        </w:tc>
        <w:tc>
          <w:tcPr>
            <w:tcW w:w="1644" w:type="dxa"/>
            <w:vAlign w:val="center"/>
          </w:tcPr>
          <w:p w:rsidR="00D41BA2" w:rsidRDefault="00AA2575">
            <w:pPr>
              <w:jc w:val="right"/>
            </w:pPr>
            <w:r>
              <w:rPr>
                <w:color w:val="000000"/>
                <w:sz w:val="24"/>
                <w:szCs w:val="24"/>
              </w:rPr>
              <w:t>8.64</w:t>
            </w:r>
          </w:p>
        </w:tc>
      </w:tr>
      <w:tr w:rsidR="00D41BA2">
        <w:trPr>
          <w:jc w:val="center"/>
        </w:trPr>
        <w:tc>
          <w:tcPr>
            <w:tcW w:w="855" w:type="dxa"/>
            <w:vAlign w:val="center"/>
          </w:tcPr>
          <w:p w:rsidR="00D41BA2" w:rsidRDefault="00AA2575">
            <w:pPr>
              <w:jc w:val="center"/>
            </w:pPr>
            <w:r>
              <w:rPr>
                <w:color w:val="000000"/>
                <w:sz w:val="24"/>
                <w:szCs w:val="24"/>
              </w:rPr>
              <w:t>4</w:t>
            </w:r>
          </w:p>
        </w:tc>
        <w:tc>
          <w:tcPr>
            <w:tcW w:w="1334" w:type="dxa"/>
            <w:vAlign w:val="center"/>
          </w:tcPr>
          <w:p w:rsidR="00D41BA2" w:rsidRDefault="00AA2575">
            <w:pPr>
              <w:jc w:val="center"/>
            </w:pPr>
            <w:r>
              <w:rPr>
                <w:color w:val="000000"/>
                <w:sz w:val="24"/>
                <w:szCs w:val="24"/>
              </w:rPr>
              <w:t>300262</w:t>
            </w:r>
          </w:p>
        </w:tc>
        <w:tc>
          <w:tcPr>
            <w:tcW w:w="1777" w:type="dxa"/>
            <w:vAlign w:val="center"/>
          </w:tcPr>
          <w:p w:rsidR="00D41BA2" w:rsidRDefault="00AA2575">
            <w:pPr>
              <w:jc w:val="center"/>
            </w:pPr>
            <w:r>
              <w:rPr>
                <w:color w:val="000000"/>
                <w:sz w:val="24"/>
                <w:szCs w:val="24"/>
              </w:rPr>
              <w:t>巴安水务</w:t>
            </w:r>
          </w:p>
        </w:tc>
        <w:tc>
          <w:tcPr>
            <w:tcW w:w="1334" w:type="dxa"/>
            <w:vAlign w:val="center"/>
          </w:tcPr>
          <w:p w:rsidR="00D41BA2" w:rsidRDefault="00AA2575">
            <w:pPr>
              <w:jc w:val="right"/>
            </w:pPr>
            <w:r>
              <w:rPr>
                <w:color w:val="000000"/>
                <w:sz w:val="24"/>
                <w:szCs w:val="24"/>
              </w:rPr>
              <w:t>6,299,022</w:t>
            </w:r>
          </w:p>
        </w:tc>
        <w:tc>
          <w:tcPr>
            <w:tcW w:w="1924" w:type="dxa"/>
            <w:vAlign w:val="center"/>
          </w:tcPr>
          <w:p w:rsidR="00D41BA2" w:rsidRDefault="00AA2575">
            <w:pPr>
              <w:jc w:val="right"/>
            </w:pPr>
            <w:r>
              <w:rPr>
                <w:color w:val="000000"/>
                <w:sz w:val="24"/>
                <w:szCs w:val="24"/>
              </w:rPr>
              <w:t>118,421,613.60</w:t>
            </w:r>
          </w:p>
        </w:tc>
        <w:tc>
          <w:tcPr>
            <w:tcW w:w="1644" w:type="dxa"/>
            <w:vAlign w:val="center"/>
          </w:tcPr>
          <w:p w:rsidR="00D41BA2" w:rsidRDefault="00AA2575">
            <w:pPr>
              <w:jc w:val="right"/>
            </w:pPr>
            <w:r>
              <w:rPr>
                <w:color w:val="000000"/>
                <w:sz w:val="24"/>
                <w:szCs w:val="24"/>
              </w:rPr>
              <w:t>5.51</w:t>
            </w:r>
          </w:p>
        </w:tc>
      </w:tr>
      <w:tr w:rsidR="00D41BA2">
        <w:trPr>
          <w:jc w:val="center"/>
        </w:trPr>
        <w:tc>
          <w:tcPr>
            <w:tcW w:w="855" w:type="dxa"/>
            <w:vAlign w:val="center"/>
          </w:tcPr>
          <w:p w:rsidR="00D41BA2" w:rsidRDefault="00AA2575">
            <w:pPr>
              <w:jc w:val="center"/>
            </w:pPr>
            <w:r>
              <w:rPr>
                <w:color w:val="000000"/>
                <w:sz w:val="24"/>
                <w:szCs w:val="24"/>
              </w:rPr>
              <w:t>5</w:t>
            </w:r>
          </w:p>
        </w:tc>
        <w:tc>
          <w:tcPr>
            <w:tcW w:w="1334" w:type="dxa"/>
            <w:vAlign w:val="center"/>
          </w:tcPr>
          <w:p w:rsidR="00D41BA2" w:rsidRDefault="00AA2575">
            <w:pPr>
              <w:jc w:val="center"/>
            </w:pPr>
            <w:r>
              <w:rPr>
                <w:color w:val="000000"/>
                <w:sz w:val="24"/>
                <w:szCs w:val="24"/>
              </w:rPr>
              <w:t>002605</w:t>
            </w:r>
          </w:p>
        </w:tc>
        <w:tc>
          <w:tcPr>
            <w:tcW w:w="1777" w:type="dxa"/>
            <w:vAlign w:val="center"/>
          </w:tcPr>
          <w:p w:rsidR="00D41BA2" w:rsidRDefault="00AA2575">
            <w:pPr>
              <w:jc w:val="center"/>
            </w:pPr>
            <w:r>
              <w:rPr>
                <w:color w:val="000000"/>
                <w:sz w:val="24"/>
                <w:szCs w:val="24"/>
              </w:rPr>
              <w:t>姚记扑克</w:t>
            </w:r>
          </w:p>
        </w:tc>
        <w:tc>
          <w:tcPr>
            <w:tcW w:w="1334" w:type="dxa"/>
            <w:vAlign w:val="center"/>
          </w:tcPr>
          <w:p w:rsidR="00D41BA2" w:rsidRDefault="00AA2575">
            <w:pPr>
              <w:jc w:val="right"/>
            </w:pPr>
            <w:r>
              <w:rPr>
                <w:color w:val="000000"/>
                <w:sz w:val="24"/>
                <w:szCs w:val="24"/>
              </w:rPr>
              <w:t>6,371,143</w:t>
            </w:r>
          </w:p>
        </w:tc>
        <w:tc>
          <w:tcPr>
            <w:tcW w:w="1924" w:type="dxa"/>
            <w:vAlign w:val="center"/>
          </w:tcPr>
          <w:p w:rsidR="00D41BA2" w:rsidRDefault="00AA2575">
            <w:pPr>
              <w:jc w:val="right"/>
            </w:pPr>
            <w:r>
              <w:rPr>
                <w:color w:val="000000"/>
                <w:sz w:val="24"/>
                <w:szCs w:val="24"/>
              </w:rPr>
              <w:t>116,783,051.19</w:t>
            </w:r>
          </w:p>
        </w:tc>
        <w:tc>
          <w:tcPr>
            <w:tcW w:w="1644" w:type="dxa"/>
            <w:vAlign w:val="center"/>
          </w:tcPr>
          <w:p w:rsidR="00D41BA2" w:rsidRDefault="00AA2575">
            <w:pPr>
              <w:jc w:val="right"/>
            </w:pPr>
            <w:r>
              <w:rPr>
                <w:color w:val="000000"/>
                <w:sz w:val="24"/>
                <w:szCs w:val="24"/>
              </w:rPr>
              <w:t>5.43</w:t>
            </w:r>
          </w:p>
        </w:tc>
      </w:tr>
      <w:tr w:rsidR="00D41BA2">
        <w:trPr>
          <w:jc w:val="center"/>
        </w:trPr>
        <w:tc>
          <w:tcPr>
            <w:tcW w:w="855" w:type="dxa"/>
            <w:vAlign w:val="center"/>
          </w:tcPr>
          <w:p w:rsidR="00D41BA2" w:rsidRDefault="00AA2575">
            <w:pPr>
              <w:jc w:val="center"/>
            </w:pPr>
            <w:r>
              <w:rPr>
                <w:color w:val="000000"/>
                <w:sz w:val="24"/>
                <w:szCs w:val="24"/>
              </w:rPr>
              <w:t>6</w:t>
            </w:r>
          </w:p>
        </w:tc>
        <w:tc>
          <w:tcPr>
            <w:tcW w:w="1334" w:type="dxa"/>
            <w:vAlign w:val="center"/>
          </w:tcPr>
          <w:p w:rsidR="00D41BA2" w:rsidRDefault="00AA2575">
            <w:pPr>
              <w:jc w:val="center"/>
            </w:pPr>
            <w:r>
              <w:rPr>
                <w:color w:val="000000"/>
                <w:sz w:val="24"/>
                <w:szCs w:val="24"/>
              </w:rPr>
              <w:t>002098</w:t>
            </w:r>
          </w:p>
        </w:tc>
        <w:tc>
          <w:tcPr>
            <w:tcW w:w="1777" w:type="dxa"/>
            <w:vAlign w:val="center"/>
          </w:tcPr>
          <w:p w:rsidR="00D41BA2" w:rsidRDefault="00AA2575">
            <w:pPr>
              <w:jc w:val="center"/>
            </w:pPr>
            <w:r>
              <w:rPr>
                <w:color w:val="000000"/>
                <w:sz w:val="24"/>
                <w:szCs w:val="24"/>
              </w:rPr>
              <w:t>浔兴股份</w:t>
            </w:r>
          </w:p>
        </w:tc>
        <w:tc>
          <w:tcPr>
            <w:tcW w:w="1334" w:type="dxa"/>
            <w:vAlign w:val="center"/>
          </w:tcPr>
          <w:p w:rsidR="00D41BA2" w:rsidRDefault="00AA2575">
            <w:pPr>
              <w:jc w:val="right"/>
            </w:pPr>
            <w:r>
              <w:rPr>
                <w:color w:val="000000"/>
                <w:sz w:val="24"/>
                <w:szCs w:val="24"/>
              </w:rPr>
              <w:t>9,262,041</w:t>
            </w:r>
          </w:p>
        </w:tc>
        <w:tc>
          <w:tcPr>
            <w:tcW w:w="1924" w:type="dxa"/>
            <w:vAlign w:val="center"/>
          </w:tcPr>
          <w:p w:rsidR="00D41BA2" w:rsidRDefault="00AA2575">
            <w:pPr>
              <w:jc w:val="right"/>
            </w:pPr>
            <w:r>
              <w:rPr>
                <w:color w:val="000000"/>
                <w:sz w:val="24"/>
                <w:szCs w:val="24"/>
              </w:rPr>
              <w:t>113,460,002.25</w:t>
            </w:r>
          </w:p>
        </w:tc>
        <w:tc>
          <w:tcPr>
            <w:tcW w:w="1644" w:type="dxa"/>
            <w:vAlign w:val="center"/>
          </w:tcPr>
          <w:p w:rsidR="00D41BA2" w:rsidRDefault="00AA2575">
            <w:pPr>
              <w:jc w:val="right"/>
            </w:pPr>
            <w:r>
              <w:rPr>
                <w:color w:val="000000"/>
                <w:sz w:val="24"/>
                <w:szCs w:val="24"/>
              </w:rPr>
              <w:t>5.28</w:t>
            </w:r>
          </w:p>
        </w:tc>
      </w:tr>
      <w:tr w:rsidR="00D41BA2">
        <w:trPr>
          <w:jc w:val="center"/>
        </w:trPr>
        <w:tc>
          <w:tcPr>
            <w:tcW w:w="855" w:type="dxa"/>
            <w:vAlign w:val="center"/>
          </w:tcPr>
          <w:p w:rsidR="00D41BA2" w:rsidRDefault="00AA2575">
            <w:pPr>
              <w:jc w:val="center"/>
            </w:pPr>
            <w:r>
              <w:rPr>
                <w:color w:val="000000"/>
                <w:sz w:val="24"/>
                <w:szCs w:val="24"/>
              </w:rPr>
              <w:t>7</w:t>
            </w:r>
          </w:p>
        </w:tc>
        <w:tc>
          <w:tcPr>
            <w:tcW w:w="1334" w:type="dxa"/>
            <w:vAlign w:val="center"/>
          </w:tcPr>
          <w:p w:rsidR="00D41BA2" w:rsidRDefault="00AA2575">
            <w:pPr>
              <w:jc w:val="center"/>
            </w:pPr>
            <w:r>
              <w:rPr>
                <w:color w:val="000000"/>
                <w:sz w:val="24"/>
                <w:szCs w:val="24"/>
              </w:rPr>
              <w:t>300226</w:t>
            </w:r>
          </w:p>
        </w:tc>
        <w:tc>
          <w:tcPr>
            <w:tcW w:w="1777" w:type="dxa"/>
            <w:vAlign w:val="center"/>
          </w:tcPr>
          <w:p w:rsidR="00D41BA2" w:rsidRDefault="00AA2575">
            <w:pPr>
              <w:jc w:val="center"/>
            </w:pPr>
            <w:r>
              <w:rPr>
                <w:color w:val="000000"/>
                <w:sz w:val="24"/>
                <w:szCs w:val="24"/>
              </w:rPr>
              <w:t>上海钢联</w:t>
            </w:r>
          </w:p>
        </w:tc>
        <w:tc>
          <w:tcPr>
            <w:tcW w:w="1334" w:type="dxa"/>
            <w:vAlign w:val="center"/>
          </w:tcPr>
          <w:p w:rsidR="00D41BA2" w:rsidRDefault="00AA2575">
            <w:pPr>
              <w:jc w:val="right"/>
            </w:pPr>
            <w:r>
              <w:rPr>
                <w:color w:val="000000"/>
                <w:sz w:val="24"/>
                <w:szCs w:val="24"/>
              </w:rPr>
              <w:t>1,959,238</w:t>
            </w:r>
          </w:p>
        </w:tc>
        <w:tc>
          <w:tcPr>
            <w:tcW w:w="1924" w:type="dxa"/>
            <w:vAlign w:val="center"/>
          </w:tcPr>
          <w:p w:rsidR="00D41BA2" w:rsidRDefault="00AA2575">
            <w:pPr>
              <w:jc w:val="right"/>
            </w:pPr>
            <w:r>
              <w:rPr>
                <w:color w:val="000000"/>
                <w:sz w:val="24"/>
                <w:szCs w:val="24"/>
              </w:rPr>
              <w:t>100,195,431.32</w:t>
            </w:r>
          </w:p>
        </w:tc>
        <w:tc>
          <w:tcPr>
            <w:tcW w:w="1644" w:type="dxa"/>
            <w:vAlign w:val="center"/>
          </w:tcPr>
          <w:p w:rsidR="00D41BA2" w:rsidRDefault="00AA2575">
            <w:pPr>
              <w:jc w:val="right"/>
            </w:pPr>
            <w:r>
              <w:rPr>
                <w:color w:val="000000"/>
                <w:sz w:val="24"/>
                <w:szCs w:val="24"/>
              </w:rPr>
              <w:t>4.66</w:t>
            </w:r>
          </w:p>
        </w:tc>
      </w:tr>
      <w:tr w:rsidR="00D41BA2">
        <w:trPr>
          <w:jc w:val="center"/>
        </w:trPr>
        <w:tc>
          <w:tcPr>
            <w:tcW w:w="855" w:type="dxa"/>
            <w:vAlign w:val="center"/>
          </w:tcPr>
          <w:p w:rsidR="00D41BA2" w:rsidRDefault="00AA2575">
            <w:pPr>
              <w:jc w:val="center"/>
            </w:pPr>
            <w:r>
              <w:rPr>
                <w:color w:val="000000"/>
                <w:sz w:val="24"/>
                <w:szCs w:val="24"/>
              </w:rPr>
              <w:t>8</w:t>
            </w:r>
          </w:p>
        </w:tc>
        <w:tc>
          <w:tcPr>
            <w:tcW w:w="1334" w:type="dxa"/>
            <w:vAlign w:val="center"/>
          </w:tcPr>
          <w:p w:rsidR="00D41BA2" w:rsidRDefault="00AA2575">
            <w:pPr>
              <w:jc w:val="center"/>
            </w:pPr>
            <w:r>
              <w:rPr>
                <w:color w:val="000000"/>
                <w:sz w:val="24"/>
                <w:szCs w:val="24"/>
              </w:rPr>
              <w:t>002094</w:t>
            </w:r>
          </w:p>
        </w:tc>
        <w:tc>
          <w:tcPr>
            <w:tcW w:w="1777" w:type="dxa"/>
            <w:vAlign w:val="center"/>
          </w:tcPr>
          <w:p w:rsidR="00D41BA2" w:rsidRDefault="00AA2575">
            <w:pPr>
              <w:jc w:val="center"/>
            </w:pPr>
            <w:r>
              <w:rPr>
                <w:color w:val="000000"/>
                <w:sz w:val="24"/>
                <w:szCs w:val="24"/>
              </w:rPr>
              <w:t>青岛金王</w:t>
            </w:r>
          </w:p>
        </w:tc>
        <w:tc>
          <w:tcPr>
            <w:tcW w:w="1334" w:type="dxa"/>
            <w:vAlign w:val="center"/>
          </w:tcPr>
          <w:p w:rsidR="00D41BA2" w:rsidRDefault="00AA2575">
            <w:pPr>
              <w:jc w:val="right"/>
            </w:pPr>
            <w:r>
              <w:rPr>
                <w:color w:val="000000"/>
                <w:sz w:val="24"/>
                <w:szCs w:val="24"/>
              </w:rPr>
              <w:t>3,729,111</w:t>
            </w:r>
          </w:p>
        </w:tc>
        <w:tc>
          <w:tcPr>
            <w:tcW w:w="1924" w:type="dxa"/>
            <w:vAlign w:val="center"/>
          </w:tcPr>
          <w:p w:rsidR="00D41BA2" w:rsidRDefault="00AA2575">
            <w:pPr>
              <w:jc w:val="right"/>
            </w:pPr>
            <w:r>
              <w:rPr>
                <w:color w:val="000000"/>
                <w:sz w:val="24"/>
                <w:szCs w:val="24"/>
              </w:rPr>
              <w:t>94,532,963.85</w:t>
            </w:r>
          </w:p>
        </w:tc>
        <w:tc>
          <w:tcPr>
            <w:tcW w:w="1644" w:type="dxa"/>
            <w:vAlign w:val="center"/>
          </w:tcPr>
          <w:p w:rsidR="00D41BA2" w:rsidRDefault="00AA2575">
            <w:pPr>
              <w:jc w:val="right"/>
            </w:pPr>
            <w:r>
              <w:rPr>
                <w:color w:val="000000"/>
                <w:sz w:val="24"/>
                <w:szCs w:val="24"/>
              </w:rPr>
              <w:t>4.40</w:t>
            </w:r>
          </w:p>
        </w:tc>
      </w:tr>
      <w:tr w:rsidR="00D41BA2">
        <w:trPr>
          <w:jc w:val="center"/>
        </w:trPr>
        <w:tc>
          <w:tcPr>
            <w:tcW w:w="855" w:type="dxa"/>
            <w:vAlign w:val="center"/>
          </w:tcPr>
          <w:p w:rsidR="00D41BA2" w:rsidRDefault="00AA2575">
            <w:pPr>
              <w:jc w:val="center"/>
            </w:pPr>
            <w:r>
              <w:rPr>
                <w:color w:val="000000"/>
                <w:sz w:val="24"/>
                <w:szCs w:val="24"/>
              </w:rPr>
              <w:t>9</w:t>
            </w:r>
          </w:p>
        </w:tc>
        <w:tc>
          <w:tcPr>
            <w:tcW w:w="1334" w:type="dxa"/>
            <w:vAlign w:val="center"/>
          </w:tcPr>
          <w:p w:rsidR="00D41BA2" w:rsidRDefault="00AA2575">
            <w:pPr>
              <w:jc w:val="center"/>
            </w:pPr>
            <w:r>
              <w:rPr>
                <w:color w:val="000000"/>
                <w:sz w:val="24"/>
                <w:szCs w:val="24"/>
              </w:rPr>
              <w:t>300161</w:t>
            </w:r>
          </w:p>
        </w:tc>
        <w:tc>
          <w:tcPr>
            <w:tcW w:w="1777" w:type="dxa"/>
            <w:vAlign w:val="center"/>
          </w:tcPr>
          <w:p w:rsidR="00D41BA2" w:rsidRDefault="00AA2575">
            <w:pPr>
              <w:jc w:val="center"/>
            </w:pPr>
            <w:r>
              <w:rPr>
                <w:color w:val="000000"/>
                <w:sz w:val="24"/>
                <w:szCs w:val="24"/>
              </w:rPr>
              <w:t>华中数控</w:t>
            </w:r>
          </w:p>
        </w:tc>
        <w:tc>
          <w:tcPr>
            <w:tcW w:w="1334" w:type="dxa"/>
            <w:vAlign w:val="center"/>
          </w:tcPr>
          <w:p w:rsidR="00D41BA2" w:rsidRDefault="00AA2575">
            <w:pPr>
              <w:jc w:val="right"/>
            </w:pPr>
            <w:r>
              <w:rPr>
                <w:color w:val="000000"/>
                <w:sz w:val="24"/>
                <w:szCs w:val="24"/>
              </w:rPr>
              <w:t>3,647,214</w:t>
            </w:r>
          </w:p>
        </w:tc>
        <w:tc>
          <w:tcPr>
            <w:tcW w:w="1924" w:type="dxa"/>
            <w:vAlign w:val="center"/>
          </w:tcPr>
          <w:p w:rsidR="00D41BA2" w:rsidRDefault="00AA2575">
            <w:pPr>
              <w:jc w:val="right"/>
            </w:pPr>
            <w:r>
              <w:rPr>
                <w:color w:val="000000"/>
                <w:sz w:val="24"/>
                <w:szCs w:val="24"/>
              </w:rPr>
              <w:t>92,602,763.46</w:t>
            </w:r>
          </w:p>
        </w:tc>
        <w:tc>
          <w:tcPr>
            <w:tcW w:w="1644" w:type="dxa"/>
            <w:vAlign w:val="center"/>
          </w:tcPr>
          <w:p w:rsidR="00D41BA2" w:rsidRDefault="00AA2575">
            <w:pPr>
              <w:jc w:val="right"/>
            </w:pPr>
            <w:r>
              <w:rPr>
                <w:color w:val="000000"/>
                <w:sz w:val="24"/>
                <w:szCs w:val="24"/>
              </w:rPr>
              <w:t>4.31</w:t>
            </w:r>
          </w:p>
        </w:tc>
      </w:tr>
      <w:tr w:rsidR="00D41BA2">
        <w:trPr>
          <w:jc w:val="center"/>
        </w:trPr>
        <w:tc>
          <w:tcPr>
            <w:tcW w:w="855" w:type="dxa"/>
            <w:vAlign w:val="center"/>
          </w:tcPr>
          <w:p w:rsidR="00D41BA2" w:rsidRDefault="00AA2575">
            <w:pPr>
              <w:jc w:val="center"/>
            </w:pPr>
            <w:r>
              <w:rPr>
                <w:color w:val="000000"/>
                <w:sz w:val="24"/>
                <w:szCs w:val="24"/>
              </w:rPr>
              <w:t>10</w:t>
            </w:r>
          </w:p>
        </w:tc>
        <w:tc>
          <w:tcPr>
            <w:tcW w:w="1334" w:type="dxa"/>
            <w:vAlign w:val="center"/>
          </w:tcPr>
          <w:p w:rsidR="00D41BA2" w:rsidRDefault="00AA2575">
            <w:pPr>
              <w:jc w:val="center"/>
            </w:pPr>
            <w:r>
              <w:rPr>
                <w:color w:val="000000"/>
                <w:sz w:val="24"/>
                <w:szCs w:val="24"/>
              </w:rPr>
              <w:t>300347</w:t>
            </w:r>
          </w:p>
        </w:tc>
        <w:tc>
          <w:tcPr>
            <w:tcW w:w="1777" w:type="dxa"/>
            <w:vAlign w:val="center"/>
          </w:tcPr>
          <w:p w:rsidR="00D41BA2" w:rsidRDefault="00AA2575">
            <w:pPr>
              <w:jc w:val="center"/>
            </w:pPr>
            <w:r>
              <w:rPr>
                <w:color w:val="000000"/>
                <w:sz w:val="24"/>
                <w:szCs w:val="24"/>
              </w:rPr>
              <w:t>泰格医药</w:t>
            </w:r>
          </w:p>
        </w:tc>
        <w:tc>
          <w:tcPr>
            <w:tcW w:w="1334" w:type="dxa"/>
            <w:vAlign w:val="center"/>
          </w:tcPr>
          <w:p w:rsidR="00D41BA2" w:rsidRDefault="00AA2575">
            <w:pPr>
              <w:jc w:val="right"/>
            </w:pPr>
            <w:r>
              <w:rPr>
                <w:color w:val="000000"/>
                <w:sz w:val="24"/>
                <w:szCs w:val="24"/>
              </w:rPr>
              <w:t>2,783,897</w:t>
            </w:r>
          </w:p>
        </w:tc>
        <w:tc>
          <w:tcPr>
            <w:tcW w:w="1924" w:type="dxa"/>
            <w:vAlign w:val="center"/>
          </w:tcPr>
          <w:p w:rsidR="00D41BA2" w:rsidRDefault="00AA2575">
            <w:pPr>
              <w:jc w:val="right"/>
            </w:pPr>
            <w:r>
              <w:rPr>
                <w:color w:val="000000"/>
                <w:sz w:val="24"/>
                <w:szCs w:val="24"/>
              </w:rPr>
              <w:t>89,363,093.70</w:t>
            </w:r>
          </w:p>
        </w:tc>
        <w:tc>
          <w:tcPr>
            <w:tcW w:w="1644" w:type="dxa"/>
            <w:vAlign w:val="center"/>
          </w:tcPr>
          <w:p w:rsidR="00D41BA2" w:rsidRDefault="00AA2575">
            <w:pPr>
              <w:jc w:val="right"/>
            </w:pPr>
            <w:r>
              <w:rPr>
                <w:color w:val="000000"/>
                <w:sz w:val="24"/>
                <w:szCs w:val="24"/>
              </w:rPr>
              <w:t>4.16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578,758.24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30,284.01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6,773,873.75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7,382,916.00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AA2575" w:rsidRPr="00414345" w:rsidTr="004A40B5">
        <w:trPr>
          <w:jc w:val="center"/>
        </w:trPr>
        <w:tc>
          <w:tcPr>
            <w:tcW w:w="1083" w:type="dxa"/>
            <w:vAlign w:val="center"/>
          </w:tcPr>
          <w:p w:rsidR="00AA2575" w:rsidRPr="00414345" w:rsidRDefault="00AA2575" w:rsidP="004A40B5">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AA2575" w:rsidRPr="00414345" w:rsidRDefault="00AA2575" w:rsidP="004A40B5">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AA2575" w:rsidRPr="00414345" w:rsidRDefault="00AA2575" w:rsidP="004A40B5">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AA2575" w:rsidRPr="00414345" w:rsidRDefault="00AA2575" w:rsidP="004A40B5">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AA2575" w:rsidRPr="00414345" w:rsidRDefault="00AA2575" w:rsidP="004A40B5">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367" w:type="dxa"/>
            <w:vAlign w:val="center"/>
          </w:tcPr>
          <w:p w:rsidR="00AA2575" w:rsidRPr="00414345" w:rsidRDefault="00AA2575" w:rsidP="004A40B5">
            <w:pPr>
              <w:spacing w:before="29" w:line="288" w:lineRule="auto"/>
              <w:ind w:left="17"/>
              <w:jc w:val="center"/>
              <w:rPr>
                <w:color w:val="000000"/>
                <w:sz w:val="24"/>
                <w:szCs w:val="24"/>
              </w:rPr>
            </w:pPr>
            <w:r w:rsidRPr="00414345">
              <w:rPr>
                <w:color w:val="000000"/>
                <w:sz w:val="24"/>
                <w:szCs w:val="24"/>
              </w:rPr>
              <w:t>流通受限情况说明</w:t>
            </w:r>
          </w:p>
        </w:tc>
      </w:tr>
      <w:tr w:rsidR="00AA2575" w:rsidTr="004A40B5">
        <w:trPr>
          <w:jc w:val="center"/>
        </w:trPr>
        <w:tc>
          <w:tcPr>
            <w:tcW w:w="1129" w:type="dxa"/>
            <w:vAlign w:val="center"/>
          </w:tcPr>
          <w:p w:rsidR="00AA2575" w:rsidRDefault="00AA2575" w:rsidP="004A40B5">
            <w:pPr>
              <w:jc w:val="center"/>
            </w:pPr>
            <w:r>
              <w:rPr>
                <w:color w:val="000000"/>
                <w:sz w:val="24"/>
                <w:szCs w:val="24"/>
              </w:rPr>
              <w:t>1</w:t>
            </w:r>
          </w:p>
        </w:tc>
        <w:tc>
          <w:tcPr>
            <w:tcW w:w="1356" w:type="dxa"/>
            <w:vAlign w:val="center"/>
          </w:tcPr>
          <w:p w:rsidR="00AA2575" w:rsidRDefault="00AA2575" w:rsidP="004A40B5">
            <w:pPr>
              <w:jc w:val="center"/>
            </w:pPr>
            <w:r>
              <w:rPr>
                <w:color w:val="000000"/>
                <w:sz w:val="24"/>
                <w:szCs w:val="24"/>
              </w:rPr>
              <w:t>002094</w:t>
            </w:r>
          </w:p>
        </w:tc>
        <w:tc>
          <w:tcPr>
            <w:tcW w:w="1355" w:type="dxa"/>
            <w:vAlign w:val="center"/>
          </w:tcPr>
          <w:p w:rsidR="00AA2575" w:rsidRDefault="00AA2575" w:rsidP="004A40B5">
            <w:pPr>
              <w:jc w:val="center"/>
            </w:pPr>
            <w:r>
              <w:rPr>
                <w:color w:val="000000"/>
                <w:sz w:val="24"/>
                <w:szCs w:val="24"/>
              </w:rPr>
              <w:t>青岛金王</w:t>
            </w:r>
          </w:p>
        </w:tc>
        <w:tc>
          <w:tcPr>
            <w:tcW w:w="1880" w:type="dxa"/>
            <w:vAlign w:val="center"/>
          </w:tcPr>
          <w:p w:rsidR="00AA2575" w:rsidRDefault="00AA2575" w:rsidP="004A40B5">
            <w:pPr>
              <w:jc w:val="right"/>
            </w:pPr>
            <w:r>
              <w:rPr>
                <w:color w:val="000000"/>
                <w:sz w:val="24"/>
                <w:szCs w:val="24"/>
              </w:rPr>
              <w:t>94,532,963.85</w:t>
            </w:r>
          </w:p>
        </w:tc>
        <w:tc>
          <w:tcPr>
            <w:tcW w:w="1724" w:type="dxa"/>
            <w:vAlign w:val="center"/>
          </w:tcPr>
          <w:p w:rsidR="00AA2575" w:rsidRDefault="00AA2575" w:rsidP="004A40B5">
            <w:pPr>
              <w:jc w:val="right"/>
            </w:pPr>
            <w:r>
              <w:rPr>
                <w:color w:val="000000"/>
                <w:sz w:val="24"/>
                <w:szCs w:val="24"/>
              </w:rPr>
              <w:t>4.40</w:t>
            </w:r>
          </w:p>
        </w:tc>
        <w:tc>
          <w:tcPr>
            <w:tcW w:w="1424" w:type="dxa"/>
            <w:vAlign w:val="center"/>
          </w:tcPr>
          <w:p w:rsidR="00AA2575" w:rsidRDefault="00AA2575" w:rsidP="004A40B5">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1,492,621,383.25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285,960,829.02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312,726,108.34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1,465,856,103.93</w:t>
            </w:r>
          </w:p>
        </w:tc>
      </w:tr>
    </w:tbl>
    <w:p w:rsidR="00D41BA2" w:rsidRDefault="00AA257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D41BA2" w:rsidRDefault="00AA257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、中国证监会核准交银施罗德先锋股票证券投资基金募集的文件；</w:t>
      </w:r>
    </w:p>
    <w:p w:rsidR="00D41BA2" w:rsidRDefault="00AA257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、《交银施罗德先锋混合型证券投资基金基金合同》；</w:t>
      </w:r>
    </w:p>
    <w:p w:rsidR="00D41BA2" w:rsidRDefault="00AA257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、《交银施罗德先锋混合型证券投资基金招募说明书》；</w:t>
      </w:r>
    </w:p>
    <w:p w:rsidR="00D41BA2" w:rsidRDefault="00AA257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、《交银施罗德先锋混合型证券投资基金托管协议》；</w:t>
      </w:r>
    </w:p>
    <w:p w:rsidR="00D41BA2" w:rsidRDefault="00AA2575">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D41BA2" w:rsidRDefault="00AA2575">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D41BA2" w:rsidRDefault="00AA2575">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、关于申请募集交银施罗德先锋股票证券投资基金之法律意见书；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、报告期内交银施罗德先锋混合型证券投资基金在指定报刊上各项公告的原稿。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D41BA2" w:rsidRDefault="00AA257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040" w:rsidRDefault="00410040" w:rsidP="00876D65">
      <w:r>
        <w:separator/>
      </w:r>
    </w:p>
  </w:endnote>
  <w:endnote w:type="continuationSeparator" w:id="0">
    <w:p w:rsidR="00410040" w:rsidRDefault="0041004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5A470A">
      <w:rPr>
        <w:noProof/>
        <w:kern w:val="0"/>
        <w:szCs w:val="21"/>
      </w:rPr>
      <w:t>9</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5A470A">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040" w:rsidRDefault="00410040" w:rsidP="00876D65">
      <w:r>
        <w:separator/>
      </w:r>
    </w:p>
  </w:footnote>
  <w:footnote w:type="continuationSeparator" w:id="0">
    <w:p w:rsidR="00410040" w:rsidRDefault="0041004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7210B"/>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040"/>
    <w:rsid w:val="00410630"/>
    <w:rsid w:val="00414345"/>
    <w:rsid w:val="004149AC"/>
    <w:rsid w:val="0042009D"/>
    <w:rsid w:val="004216D2"/>
    <w:rsid w:val="00421CD2"/>
    <w:rsid w:val="00426096"/>
    <w:rsid w:val="00427F58"/>
    <w:rsid w:val="00433805"/>
    <w:rsid w:val="00443869"/>
    <w:rsid w:val="00443ABF"/>
    <w:rsid w:val="004459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470A"/>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2575"/>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16B40"/>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1BA2"/>
    <w:rsid w:val="00D43AFB"/>
    <w:rsid w:val="00D44EE8"/>
    <w:rsid w:val="00D54801"/>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2F009-ADB1-4631-8AE0-E7E98607A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11</Pages>
  <Words>996</Words>
  <Characters>5680</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567</cp:revision>
  <dcterms:created xsi:type="dcterms:W3CDTF">2012-10-16T06:07:00Z</dcterms:created>
  <dcterms:modified xsi:type="dcterms:W3CDTF">2016-10-20T11:52:00Z</dcterms:modified>
</cp:coreProperties>
</file>