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D2413" w:rsidRDefault="001C6F4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D2413" w:rsidRDefault="001C6F4D">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D2413" w:rsidRDefault="001C6F4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D2413" w:rsidRDefault="001C6F4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D2413" w:rsidRDefault="001C6F4D">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384,728,294.47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C6F4D" w:rsidRPr="00414345" w:rsidTr="001C6F4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1C6F4D" w:rsidRPr="00414345" w:rsidTr="001C6F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14,634,687.38</w:t>
            </w:r>
          </w:p>
        </w:tc>
      </w:tr>
      <w:tr w:rsidR="001C6F4D" w:rsidRPr="00414345" w:rsidTr="001C6F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6,077,121.79</w:t>
            </w:r>
          </w:p>
        </w:tc>
      </w:tr>
      <w:tr w:rsidR="001C6F4D" w:rsidRPr="00414345" w:rsidTr="001C6F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0.0155</w:t>
            </w:r>
          </w:p>
        </w:tc>
      </w:tr>
      <w:tr w:rsidR="001C6F4D" w:rsidRPr="00414345" w:rsidTr="001C6F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714,451,748.78</w:t>
            </w:r>
          </w:p>
        </w:tc>
      </w:tr>
      <w:tr w:rsidR="001C6F4D" w:rsidRPr="00414345" w:rsidTr="001C6F4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1.857</w:t>
            </w:r>
          </w:p>
        </w:tc>
      </w:tr>
    </w:tbl>
    <w:p w:rsidR="007D2413" w:rsidRDefault="001C6F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D2413">
        <w:trPr>
          <w:jc w:val="center"/>
        </w:trPr>
        <w:tc>
          <w:tcPr>
            <w:tcW w:w="1701" w:type="dxa"/>
            <w:vAlign w:val="center"/>
          </w:tcPr>
          <w:p w:rsidR="007D2413" w:rsidRDefault="001C6F4D">
            <w:pPr>
              <w:jc w:val="left"/>
            </w:pPr>
            <w:r>
              <w:rPr>
                <w:color w:val="000000"/>
                <w:sz w:val="24"/>
                <w:szCs w:val="24"/>
              </w:rPr>
              <w:t>过去三个月</w:t>
            </w:r>
          </w:p>
        </w:tc>
        <w:tc>
          <w:tcPr>
            <w:tcW w:w="1045" w:type="dxa"/>
            <w:vAlign w:val="center"/>
          </w:tcPr>
          <w:p w:rsidR="007D2413" w:rsidRDefault="0013024B">
            <w:pPr>
              <w:jc w:val="center"/>
            </w:pPr>
            <w:r>
              <w:rPr>
                <w:color w:val="000000"/>
                <w:sz w:val="24"/>
                <w:szCs w:val="24"/>
              </w:rPr>
              <w:t>0.87</w:t>
            </w:r>
            <w:r w:rsidR="001C6F4D">
              <w:rPr>
                <w:color w:val="000000"/>
                <w:sz w:val="24"/>
                <w:szCs w:val="24"/>
              </w:rPr>
              <w:t>%</w:t>
            </w:r>
          </w:p>
        </w:tc>
        <w:tc>
          <w:tcPr>
            <w:tcW w:w="1344" w:type="dxa"/>
            <w:vAlign w:val="center"/>
          </w:tcPr>
          <w:p w:rsidR="007D2413" w:rsidRDefault="001C6F4D">
            <w:pPr>
              <w:jc w:val="center"/>
            </w:pPr>
            <w:r>
              <w:rPr>
                <w:color w:val="000000"/>
                <w:sz w:val="24"/>
                <w:szCs w:val="24"/>
              </w:rPr>
              <w:t>0.68%</w:t>
            </w:r>
          </w:p>
        </w:tc>
        <w:tc>
          <w:tcPr>
            <w:tcW w:w="1194" w:type="dxa"/>
            <w:vAlign w:val="center"/>
          </w:tcPr>
          <w:p w:rsidR="007D2413" w:rsidRDefault="001C6F4D">
            <w:pPr>
              <w:jc w:val="center"/>
            </w:pPr>
            <w:r>
              <w:rPr>
                <w:color w:val="000000"/>
                <w:sz w:val="24"/>
                <w:szCs w:val="24"/>
              </w:rPr>
              <w:t>2.72%</w:t>
            </w:r>
          </w:p>
        </w:tc>
        <w:tc>
          <w:tcPr>
            <w:tcW w:w="1492" w:type="dxa"/>
            <w:vAlign w:val="center"/>
          </w:tcPr>
          <w:p w:rsidR="007D2413" w:rsidRDefault="001C6F4D">
            <w:pPr>
              <w:jc w:val="center"/>
            </w:pPr>
            <w:r>
              <w:rPr>
                <w:color w:val="000000"/>
                <w:sz w:val="24"/>
                <w:szCs w:val="24"/>
              </w:rPr>
              <w:t>0.48%</w:t>
            </w:r>
          </w:p>
        </w:tc>
        <w:tc>
          <w:tcPr>
            <w:tcW w:w="1194" w:type="dxa"/>
            <w:vAlign w:val="center"/>
          </w:tcPr>
          <w:p w:rsidR="007D2413" w:rsidRDefault="001C6F4D">
            <w:pPr>
              <w:jc w:val="center"/>
            </w:pPr>
            <w:r>
              <w:rPr>
                <w:color w:val="000000"/>
                <w:sz w:val="24"/>
                <w:szCs w:val="24"/>
              </w:rPr>
              <w:t>-1.85%</w:t>
            </w:r>
          </w:p>
        </w:tc>
        <w:tc>
          <w:tcPr>
            <w:tcW w:w="898" w:type="dxa"/>
            <w:vAlign w:val="center"/>
          </w:tcPr>
          <w:p w:rsidR="007D2413" w:rsidRDefault="001C6F4D">
            <w:pPr>
              <w:jc w:val="center"/>
            </w:pPr>
            <w:r>
              <w:rPr>
                <w:color w:val="000000"/>
                <w:sz w:val="24"/>
                <w:szCs w:val="24"/>
              </w:rPr>
              <w:t>0.20%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D2413">
        <w:trPr>
          <w:jc w:val="center"/>
        </w:trPr>
        <w:tc>
          <w:tcPr>
            <w:tcW w:w="846" w:type="dxa"/>
            <w:vAlign w:val="center"/>
          </w:tcPr>
          <w:p w:rsidR="007D2413" w:rsidRDefault="001C6F4D">
            <w:pPr>
              <w:jc w:val="center"/>
            </w:pPr>
            <w:r>
              <w:rPr>
                <w:color w:val="000000"/>
                <w:sz w:val="24"/>
                <w:szCs w:val="24"/>
              </w:rPr>
              <w:t>沈楠</w:t>
            </w:r>
          </w:p>
        </w:tc>
        <w:tc>
          <w:tcPr>
            <w:tcW w:w="845" w:type="dxa"/>
            <w:vAlign w:val="center"/>
          </w:tcPr>
          <w:p w:rsidR="007D2413" w:rsidRDefault="001C6F4D">
            <w:pPr>
              <w:jc w:val="center"/>
            </w:pPr>
            <w:r>
              <w:rPr>
                <w:color w:val="000000"/>
                <w:sz w:val="24"/>
                <w:szCs w:val="24"/>
              </w:rPr>
              <w:t>交银主题优选混合、交银国企改革灵活配置混合的基金经理</w:t>
            </w:r>
          </w:p>
        </w:tc>
        <w:tc>
          <w:tcPr>
            <w:tcW w:w="1549" w:type="dxa"/>
            <w:vAlign w:val="center"/>
          </w:tcPr>
          <w:p w:rsidR="007D2413" w:rsidRDefault="001C6F4D">
            <w:pPr>
              <w:jc w:val="center"/>
            </w:pPr>
            <w:r>
              <w:rPr>
                <w:color w:val="000000"/>
                <w:sz w:val="24"/>
                <w:szCs w:val="24"/>
              </w:rPr>
              <w:t>2015-05-05</w:t>
            </w:r>
          </w:p>
        </w:tc>
        <w:tc>
          <w:tcPr>
            <w:tcW w:w="1548" w:type="dxa"/>
            <w:vAlign w:val="center"/>
          </w:tcPr>
          <w:p w:rsidR="007D2413" w:rsidRDefault="001C6F4D">
            <w:pPr>
              <w:jc w:val="center"/>
            </w:pPr>
            <w:r>
              <w:rPr>
                <w:color w:val="000000"/>
                <w:sz w:val="24"/>
                <w:szCs w:val="24"/>
              </w:rPr>
              <w:t>-</w:t>
            </w:r>
          </w:p>
        </w:tc>
        <w:tc>
          <w:tcPr>
            <w:tcW w:w="1407" w:type="dxa"/>
            <w:vAlign w:val="center"/>
          </w:tcPr>
          <w:p w:rsidR="007D2413" w:rsidRDefault="001C6F4D">
            <w:pPr>
              <w:jc w:val="center"/>
            </w:pPr>
            <w:r>
              <w:rPr>
                <w:color w:val="000000"/>
                <w:sz w:val="24"/>
                <w:szCs w:val="24"/>
              </w:rPr>
              <w:t>7</w:t>
            </w:r>
            <w:r>
              <w:rPr>
                <w:color w:val="000000"/>
                <w:sz w:val="24"/>
                <w:szCs w:val="24"/>
              </w:rPr>
              <w:t>年</w:t>
            </w:r>
          </w:p>
        </w:tc>
        <w:tc>
          <w:tcPr>
            <w:tcW w:w="2673" w:type="dxa"/>
            <w:vAlign w:val="center"/>
          </w:tcPr>
          <w:p w:rsidR="007D2413" w:rsidRDefault="001C6F4D">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D2413" w:rsidRDefault="001C6F4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D2413" w:rsidRDefault="001C6F4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D2413" w:rsidRDefault="001C6F4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7D2413" w:rsidRDefault="001C6F4D">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7D2413" w:rsidRDefault="007D2413">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66EA7" w:rsidRPr="00D66EA7" w:rsidRDefault="00D66EA7" w:rsidP="000428BB">
      <w:pPr>
        <w:spacing w:before="29" w:line="288" w:lineRule="auto"/>
        <w:ind w:firstLineChars="200" w:firstLine="480"/>
        <w:rPr>
          <w:color w:val="000000"/>
          <w:sz w:val="24"/>
          <w:szCs w:val="24"/>
        </w:rPr>
      </w:pPr>
      <w:r w:rsidRPr="00D66EA7">
        <w:rPr>
          <w:rFonts w:hint="eastAsia"/>
          <w:color w:val="000000"/>
          <w:sz w:val="24"/>
          <w:szCs w:val="24"/>
        </w:rPr>
        <w:t>三季度，宏观经济略有回升，通胀预期有所消退，货币政策仍然保持相对宽松的局面，但随着一、二线地产价格暴涨，资金从股票权益类投资中流出，同时流动性预期边际层面转向中性。监管部门对并购、重组、借壳的资本运作进一步规范并加强监管，制约了部分上市公司过快甚至略带盲目的转型步伐。市场指数呈现较狭窄的区间震荡，市场更多呈现结构性的个股机会。我们预计这一趋势在年内仍将维持。</w:t>
      </w:r>
    </w:p>
    <w:p w:rsidR="00D66EA7" w:rsidRPr="00D66EA7" w:rsidRDefault="00D66EA7" w:rsidP="000428BB">
      <w:pPr>
        <w:spacing w:before="29" w:line="288" w:lineRule="auto"/>
        <w:ind w:firstLineChars="200" w:firstLine="480"/>
        <w:rPr>
          <w:color w:val="000000"/>
          <w:sz w:val="24"/>
          <w:szCs w:val="24"/>
        </w:rPr>
      </w:pPr>
      <w:r w:rsidRPr="00D66EA7">
        <w:rPr>
          <w:rFonts w:hint="eastAsia"/>
          <w:color w:val="000000"/>
          <w:sz w:val="24"/>
          <w:szCs w:val="24"/>
        </w:rPr>
        <w:t>报告期内，本基金配置以成长及主题轮动股为主，整体净值表现与市场指数基本保持一致，并未取得明显的阿尔法收益。</w:t>
      </w:r>
    </w:p>
    <w:p w:rsidR="00D66EA7" w:rsidRDefault="00D66EA7" w:rsidP="00C15CAC">
      <w:pPr>
        <w:spacing w:before="29" w:line="288" w:lineRule="auto"/>
        <w:ind w:firstLineChars="200" w:firstLine="480"/>
        <w:rPr>
          <w:color w:val="000000"/>
          <w:sz w:val="24"/>
          <w:szCs w:val="24"/>
        </w:rPr>
      </w:pPr>
      <w:r w:rsidRPr="00D66EA7">
        <w:rPr>
          <w:rFonts w:hint="eastAsia"/>
          <w:color w:val="000000"/>
          <w:sz w:val="24"/>
          <w:szCs w:val="24"/>
        </w:rPr>
        <w:t>展望下个季度，尽管有美国总统大选等外围不确定性影响，但如果人民币币值能够保持相对稳定的话，产业创新将层出不穷，改革进程有望延续，因此我们对</w:t>
      </w:r>
      <w:r w:rsidRPr="00D66EA7">
        <w:rPr>
          <w:rFonts w:hint="eastAsia"/>
          <w:color w:val="000000"/>
          <w:sz w:val="24"/>
          <w:szCs w:val="24"/>
        </w:rPr>
        <w:t>A</w:t>
      </w:r>
      <w:r w:rsidRPr="00D66EA7">
        <w:rPr>
          <w:rFonts w:hint="eastAsia"/>
          <w:color w:val="000000"/>
          <w:sz w:val="24"/>
          <w:szCs w:val="24"/>
        </w:rPr>
        <w:t>股市场的结构性机会保持相对乐观，或将积极参与部分细分增速较快的行业公司的投资机会。本基金计划一方面会在业绩稳定增长的个股中寻找机会，另一方面会在新兴产业中保持偏多持仓并聚焦于符合新一轮产业革命并具备竞争壁垒的龙头企业。</w:t>
      </w:r>
    </w:p>
    <w:p w:rsidR="00627E2D" w:rsidRPr="00D66EA7"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1.857</w:t>
      </w:r>
      <w:r w:rsidRPr="00414345">
        <w:rPr>
          <w:color w:val="000000"/>
          <w:sz w:val="24"/>
          <w:szCs w:val="24"/>
        </w:rPr>
        <w:t>元，本报告期份额净值增长率为</w:t>
      </w:r>
      <w:r w:rsidRPr="00414345">
        <w:rPr>
          <w:color w:val="000000"/>
          <w:sz w:val="24"/>
          <w:szCs w:val="24"/>
        </w:rPr>
        <w:t>0.87%</w:t>
      </w:r>
      <w:r w:rsidRPr="00414345">
        <w:rPr>
          <w:color w:val="000000"/>
          <w:sz w:val="24"/>
          <w:szCs w:val="24"/>
        </w:rPr>
        <w:t>，同期业绩比较基准增长率为</w:t>
      </w:r>
      <w:r w:rsidRPr="00414345">
        <w:rPr>
          <w:color w:val="000000"/>
          <w:sz w:val="24"/>
          <w:szCs w:val="24"/>
        </w:rPr>
        <w:t>2.72%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465,553,148.80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465,553,148.80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98,000,267.00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13.65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153,802,160.43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21.42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707,400.00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718,062,976.23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50,878,392.00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7.12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285,210,361.53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12,038,381.49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15,079,351.74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10,959,097.00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39,731,813.72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8,202,716.05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7,619,790.45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14,940,000.00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20,893,244.82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465,553,148.80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65.16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D2413">
        <w:trPr>
          <w:jc w:val="center"/>
        </w:trPr>
        <w:tc>
          <w:tcPr>
            <w:tcW w:w="855" w:type="dxa"/>
            <w:vAlign w:val="center"/>
          </w:tcPr>
          <w:p w:rsidR="007D2413" w:rsidRDefault="001C6F4D">
            <w:pPr>
              <w:jc w:val="center"/>
            </w:pPr>
            <w:r>
              <w:rPr>
                <w:color w:val="000000"/>
                <w:sz w:val="24"/>
                <w:szCs w:val="24"/>
              </w:rPr>
              <w:t>1</w:t>
            </w:r>
          </w:p>
        </w:tc>
        <w:tc>
          <w:tcPr>
            <w:tcW w:w="1334" w:type="dxa"/>
            <w:vAlign w:val="center"/>
          </w:tcPr>
          <w:p w:rsidR="007D2413" w:rsidRDefault="001C6F4D">
            <w:pPr>
              <w:jc w:val="center"/>
            </w:pPr>
            <w:r>
              <w:rPr>
                <w:color w:val="000000"/>
                <w:sz w:val="24"/>
                <w:szCs w:val="24"/>
              </w:rPr>
              <w:t>600967</w:t>
            </w:r>
          </w:p>
        </w:tc>
        <w:tc>
          <w:tcPr>
            <w:tcW w:w="1777" w:type="dxa"/>
            <w:vAlign w:val="center"/>
          </w:tcPr>
          <w:p w:rsidR="007D2413" w:rsidRDefault="001C6F4D">
            <w:pPr>
              <w:jc w:val="center"/>
            </w:pPr>
            <w:r>
              <w:rPr>
                <w:color w:val="000000"/>
                <w:sz w:val="24"/>
                <w:szCs w:val="24"/>
              </w:rPr>
              <w:t>北方创业</w:t>
            </w:r>
          </w:p>
        </w:tc>
        <w:tc>
          <w:tcPr>
            <w:tcW w:w="1334" w:type="dxa"/>
            <w:vAlign w:val="center"/>
          </w:tcPr>
          <w:p w:rsidR="007D2413" w:rsidRDefault="001C6F4D">
            <w:pPr>
              <w:jc w:val="right"/>
            </w:pPr>
            <w:r>
              <w:rPr>
                <w:color w:val="000000"/>
                <w:sz w:val="24"/>
                <w:szCs w:val="24"/>
              </w:rPr>
              <w:t>2,793,625</w:t>
            </w:r>
          </w:p>
        </w:tc>
        <w:tc>
          <w:tcPr>
            <w:tcW w:w="1924" w:type="dxa"/>
            <w:vAlign w:val="center"/>
          </w:tcPr>
          <w:p w:rsidR="007D2413" w:rsidRDefault="001C6F4D">
            <w:pPr>
              <w:jc w:val="right"/>
            </w:pPr>
            <w:r>
              <w:rPr>
                <w:color w:val="000000"/>
                <w:sz w:val="24"/>
                <w:szCs w:val="24"/>
              </w:rPr>
              <w:t>32,657,476.25</w:t>
            </w:r>
          </w:p>
        </w:tc>
        <w:tc>
          <w:tcPr>
            <w:tcW w:w="1644" w:type="dxa"/>
            <w:vAlign w:val="center"/>
          </w:tcPr>
          <w:p w:rsidR="007D2413" w:rsidRDefault="001C6F4D">
            <w:pPr>
              <w:jc w:val="right"/>
            </w:pPr>
            <w:r>
              <w:rPr>
                <w:color w:val="000000"/>
                <w:sz w:val="24"/>
                <w:szCs w:val="24"/>
              </w:rPr>
              <w:t>4.57</w:t>
            </w:r>
          </w:p>
        </w:tc>
      </w:tr>
      <w:tr w:rsidR="007D2413">
        <w:trPr>
          <w:jc w:val="center"/>
        </w:trPr>
        <w:tc>
          <w:tcPr>
            <w:tcW w:w="855" w:type="dxa"/>
            <w:vAlign w:val="center"/>
          </w:tcPr>
          <w:p w:rsidR="007D2413" w:rsidRDefault="001C6F4D">
            <w:pPr>
              <w:jc w:val="center"/>
            </w:pPr>
            <w:r>
              <w:rPr>
                <w:color w:val="000000"/>
                <w:sz w:val="24"/>
                <w:szCs w:val="24"/>
              </w:rPr>
              <w:t>2</w:t>
            </w:r>
          </w:p>
        </w:tc>
        <w:tc>
          <w:tcPr>
            <w:tcW w:w="1334" w:type="dxa"/>
            <w:vAlign w:val="center"/>
          </w:tcPr>
          <w:p w:rsidR="007D2413" w:rsidRDefault="001C6F4D">
            <w:pPr>
              <w:jc w:val="center"/>
            </w:pPr>
            <w:r>
              <w:rPr>
                <w:color w:val="000000"/>
                <w:sz w:val="24"/>
                <w:szCs w:val="24"/>
              </w:rPr>
              <w:t>000821</w:t>
            </w:r>
          </w:p>
        </w:tc>
        <w:tc>
          <w:tcPr>
            <w:tcW w:w="1777" w:type="dxa"/>
            <w:vAlign w:val="center"/>
          </w:tcPr>
          <w:p w:rsidR="007D2413" w:rsidRDefault="001C6F4D">
            <w:pPr>
              <w:jc w:val="center"/>
            </w:pPr>
            <w:r>
              <w:rPr>
                <w:color w:val="000000"/>
                <w:sz w:val="24"/>
                <w:szCs w:val="24"/>
              </w:rPr>
              <w:t>京山轻机</w:t>
            </w:r>
          </w:p>
        </w:tc>
        <w:tc>
          <w:tcPr>
            <w:tcW w:w="1334" w:type="dxa"/>
            <w:vAlign w:val="center"/>
          </w:tcPr>
          <w:p w:rsidR="007D2413" w:rsidRDefault="001C6F4D">
            <w:pPr>
              <w:jc w:val="right"/>
            </w:pPr>
            <w:r>
              <w:rPr>
                <w:color w:val="000000"/>
                <w:sz w:val="24"/>
                <w:szCs w:val="24"/>
              </w:rPr>
              <w:t>1,910,396</w:t>
            </w:r>
          </w:p>
        </w:tc>
        <w:tc>
          <w:tcPr>
            <w:tcW w:w="1924" w:type="dxa"/>
            <w:vAlign w:val="center"/>
          </w:tcPr>
          <w:p w:rsidR="007D2413" w:rsidRDefault="001C6F4D">
            <w:pPr>
              <w:jc w:val="right"/>
            </w:pPr>
            <w:r>
              <w:rPr>
                <w:color w:val="000000"/>
                <w:sz w:val="24"/>
                <w:szCs w:val="24"/>
              </w:rPr>
              <w:t>28,655,940.00</w:t>
            </w:r>
          </w:p>
        </w:tc>
        <w:tc>
          <w:tcPr>
            <w:tcW w:w="1644" w:type="dxa"/>
            <w:vAlign w:val="center"/>
          </w:tcPr>
          <w:p w:rsidR="007D2413" w:rsidRDefault="001C6F4D">
            <w:pPr>
              <w:jc w:val="right"/>
            </w:pPr>
            <w:r>
              <w:rPr>
                <w:color w:val="000000"/>
                <w:sz w:val="24"/>
                <w:szCs w:val="24"/>
              </w:rPr>
              <w:t>4.01</w:t>
            </w:r>
          </w:p>
        </w:tc>
      </w:tr>
      <w:tr w:rsidR="007D2413">
        <w:trPr>
          <w:jc w:val="center"/>
        </w:trPr>
        <w:tc>
          <w:tcPr>
            <w:tcW w:w="855" w:type="dxa"/>
            <w:vAlign w:val="center"/>
          </w:tcPr>
          <w:p w:rsidR="007D2413" w:rsidRDefault="001C6F4D">
            <w:pPr>
              <w:jc w:val="center"/>
            </w:pPr>
            <w:r>
              <w:rPr>
                <w:color w:val="000000"/>
                <w:sz w:val="24"/>
                <w:szCs w:val="24"/>
              </w:rPr>
              <w:t>3</w:t>
            </w:r>
          </w:p>
        </w:tc>
        <w:tc>
          <w:tcPr>
            <w:tcW w:w="1334" w:type="dxa"/>
            <w:vAlign w:val="center"/>
          </w:tcPr>
          <w:p w:rsidR="007D2413" w:rsidRDefault="001C6F4D">
            <w:pPr>
              <w:jc w:val="center"/>
            </w:pPr>
            <w:r>
              <w:rPr>
                <w:color w:val="000000"/>
                <w:sz w:val="24"/>
                <w:szCs w:val="24"/>
              </w:rPr>
              <w:t>600418</w:t>
            </w:r>
          </w:p>
        </w:tc>
        <w:tc>
          <w:tcPr>
            <w:tcW w:w="1777" w:type="dxa"/>
            <w:vAlign w:val="center"/>
          </w:tcPr>
          <w:p w:rsidR="007D2413" w:rsidRDefault="001C6F4D">
            <w:pPr>
              <w:jc w:val="center"/>
            </w:pPr>
            <w:r>
              <w:rPr>
                <w:color w:val="000000"/>
                <w:sz w:val="24"/>
                <w:szCs w:val="24"/>
              </w:rPr>
              <w:t>江淮汽车</w:t>
            </w:r>
          </w:p>
        </w:tc>
        <w:tc>
          <w:tcPr>
            <w:tcW w:w="1334" w:type="dxa"/>
            <w:vAlign w:val="center"/>
          </w:tcPr>
          <w:p w:rsidR="007D2413" w:rsidRDefault="001C6F4D">
            <w:pPr>
              <w:jc w:val="right"/>
            </w:pPr>
            <w:r>
              <w:rPr>
                <w:color w:val="000000"/>
                <w:sz w:val="24"/>
                <w:szCs w:val="24"/>
              </w:rPr>
              <w:t>1,750,300</w:t>
            </w:r>
          </w:p>
        </w:tc>
        <w:tc>
          <w:tcPr>
            <w:tcW w:w="1924" w:type="dxa"/>
            <w:vAlign w:val="center"/>
          </w:tcPr>
          <w:p w:rsidR="007D2413" w:rsidRDefault="001C6F4D">
            <w:pPr>
              <w:jc w:val="right"/>
            </w:pPr>
            <w:r>
              <w:rPr>
                <w:color w:val="000000"/>
                <w:sz w:val="24"/>
                <w:szCs w:val="24"/>
              </w:rPr>
              <w:t>24,294,164.00</w:t>
            </w:r>
          </w:p>
        </w:tc>
        <w:tc>
          <w:tcPr>
            <w:tcW w:w="1644" w:type="dxa"/>
            <w:vAlign w:val="center"/>
          </w:tcPr>
          <w:p w:rsidR="007D2413" w:rsidRDefault="001C6F4D">
            <w:pPr>
              <w:jc w:val="right"/>
            </w:pPr>
            <w:r>
              <w:rPr>
                <w:color w:val="000000"/>
                <w:sz w:val="24"/>
                <w:szCs w:val="24"/>
              </w:rPr>
              <w:t>3.40</w:t>
            </w:r>
          </w:p>
        </w:tc>
      </w:tr>
      <w:tr w:rsidR="007D2413">
        <w:trPr>
          <w:jc w:val="center"/>
        </w:trPr>
        <w:tc>
          <w:tcPr>
            <w:tcW w:w="855" w:type="dxa"/>
            <w:vAlign w:val="center"/>
          </w:tcPr>
          <w:p w:rsidR="007D2413" w:rsidRDefault="001C6F4D">
            <w:pPr>
              <w:jc w:val="center"/>
            </w:pPr>
            <w:r>
              <w:rPr>
                <w:color w:val="000000"/>
                <w:sz w:val="24"/>
                <w:szCs w:val="24"/>
              </w:rPr>
              <w:t>4</w:t>
            </w:r>
          </w:p>
        </w:tc>
        <w:tc>
          <w:tcPr>
            <w:tcW w:w="1334" w:type="dxa"/>
            <w:vAlign w:val="center"/>
          </w:tcPr>
          <w:p w:rsidR="007D2413" w:rsidRDefault="001C6F4D">
            <w:pPr>
              <w:jc w:val="center"/>
            </w:pPr>
            <w:r>
              <w:rPr>
                <w:color w:val="000000"/>
                <w:sz w:val="24"/>
                <w:szCs w:val="24"/>
              </w:rPr>
              <w:t>000937</w:t>
            </w:r>
          </w:p>
        </w:tc>
        <w:tc>
          <w:tcPr>
            <w:tcW w:w="1777" w:type="dxa"/>
            <w:vAlign w:val="center"/>
          </w:tcPr>
          <w:p w:rsidR="007D2413" w:rsidRDefault="001C6F4D">
            <w:pPr>
              <w:jc w:val="center"/>
            </w:pPr>
            <w:r>
              <w:rPr>
                <w:color w:val="000000"/>
                <w:sz w:val="24"/>
                <w:szCs w:val="24"/>
              </w:rPr>
              <w:t>冀中能源</w:t>
            </w:r>
          </w:p>
        </w:tc>
        <w:tc>
          <w:tcPr>
            <w:tcW w:w="1334" w:type="dxa"/>
            <w:vAlign w:val="center"/>
          </w:tcPr>
          <w:p w:rsidR="007D2413" w:rsidRDefault="001C6F4D">
            <w:pPr>
              <w:jc w:val="right"/>
            </w:pPr>
            <w:r>
              <w:rPr>
                <w:color w:val="000000"/>
                <w:sz w:val="24"/>
                <w:szCs w:val="24"/>
              </w:rPr>
              <w:t>3,823,300</w:t>
            </w:r>
          </w:p>
        </w:tc>
        <w:tc>
          <w:tcPr>
            <w:tcW w:w="1924" w:type="dxa"/>
            <w:vAlign w:val="center"/>
          </w:tcPr>
          <w:p w:rsidR="007D2413" w:rsidRDefault="001C6F4D">
            <w:pPr>
              <w:jc w:val="right"/>
            </w:pPr>
            <w:r>
              <w:rPr>
                <w:color w:val="000000"/>
                <w:sz w:val="24"/>
                <w:szCs w:val="24"/>
              </w:rPr>
              <w:t>23,857,392.00</w:t>
            </w:r>
          </w:p>
        </w:tc>
        <w:tc>
          <w:tcPr>
            <w:tcW w:w="1644" w:type="dxa"/>
            <w:vAlign w:val="center"/>
          </w:tcPr>
          <w:p w:rsidR="007D2413" w:rsidRDefault="001C6F4D">
            <w:pPr>
              <w:jc w:val="right"/>
            </w:pPr>
            <w:r>
              <w:rPr>
                <w:color w:val="000000"/>
                <w:sz w:val="24"/>
                <w:szCs w:val="24"/>
              </w:rPr>
              <w:t>3.34</w:t>
            </w:r>
          </w:p>
        </w:tc>
      </w:tr>
      <w:tr w:rsidR="007D2413">
        <w:trPr>
          <w:jc w:val="center"/>
        </w:trPr>
        <w:tc>
          <w:tcPr>
            <w:tcW w:w="855" w:type="dxa"/>
            <w:vAlign w:val="center"/>
          </w:tcPr>
          <w:p w:rsidR="007D2413" w:rsidRDefault="001C6F4D">
            <w:pPr>
              <w:jc w:val="center"/>
            </w:pPr>
            <w:r>
              <w:rPr>
                <w:color w:val="000000"/>
                <w:sz w:val="24"/>
                <w:szCs w:val="24"/>
              </w:rPr>
              <w:t>5</w:t>
            </w:r>
          </w:p>
        </w:tc>
        <w:tc>
          <w:tcPr>
            <w:tcW w:w="1334" w:type="dxa"/>
            <w:vAlign w:val="center"/>
          </w:tcPr>
          <w:p w:rsidR="007D2413" w:rsidRDefault="001C6F4D">
            <w:pPr>
              <w:jc w:val="center"/>
            </w:pPr>
            <w:r>
              <w:rPr>
                <w:color w:val="000000"/>
                <w:sz w:val="24"/>
                <w:szCs w:val="24"/>
              </w:rPr>
              <w:t>300166</w:t>
            </w:r>
          </w:p>
        </w:tc>
        <w:tc>
          <w:tcPr>
            <w:tcW w:w="1777" w:type="dxa"/>
            <w:vAlign w:val="center"/>
          </w:tcPr>
          <w:p w:rsidR="007D2413" w:rsidRDefault="001C6F4D">
            <w:pPr>
              <w:jc w:val="center"/>
            </w:pPr>
            <w:r>
              <w:rPr>
                <w:color w:val="000000"/>
                <w:sz w:val="24"/>
                <w:szCs w:val="24"/>
              </w:rPr>
              <w:t>东方国信</w:t>
            </w:r>
          </w:p>
        </w:tc>
        <w:tc>
          <w:tcPr>
            <w:tcW w:w="1334" w:type="dxa"/>
            <w:vAlign w:val="center"/>
          </w:tcPr>
          <w:p w:rsidR="007D2413" w:rsidRDefault="001C6F4D">
            <w:pPr>
              <w:jc w:val="right"/>
            </w:pPr>
            <w:r>
              <w:rPr>
                <w:color w:val="000000"/>
                <w:sz w:val="24"/>
                <w:szCs w:val="24"/>
              </w:rPr>
              <w:t>977,800</w:t>
            </w:r>
          </w:p>
        </w:tc>
        <w:tc>
          <w:tcPr>
            <w:tcW w:w="1924" w:type="dxa"/>
            <w:vAlign w:val="center"/>
          </w:tcPr>
          <w:p w:rsidR="007D2413" w:rsidRDefault="001C6F4D">
            <w:pPr>
              <w:jc w:val="right"/>
            </w:pPr>
            <w:r>
              <w:rPr>
                <w:color w:val="000000"/>
                <w:sz w:val="24"/>
                <w:szCs w:val="24"/>
              </w:rPr>
              <w:t>22,675,182.00</w:t>
            </w:r>
          </w:p>
        </w:tc>
        <w:tc>
          <w:tcPr>
            <w:tcW w:w="1644" w:type="dxa"/>
            <w:vAlign w:val="center"/>
          </w:tcPr>
          <w:p w:rsidR="007D2413" w:rsidRDefault="001C6F4D">
            <w:pPr>
              <w:jc w:val="right"/>
            </w:pPr>
            <w:r>
              <w:rPr>
                <w:color w:val="000000"/>
                <w:sz w:val="24"/>
                <w:szCs w:val="24"/>
              </w:rPr>
              <w:t>3.17</w:t>
            </w:r>
          </w:p>
        </w:tc>
      </w:tr>
      <w:tr w:rsidR="007D2413">
        <w:trPr>
          <w:jc w:val="center"/>
        </w:trPr>
        <w:tc>
          <w:tcPr>
            <w:tcW w:w="855" w:type="dxa"/>
            <w:vAlign w:val="center"/>
          </w:tcPr>
          <w:p w:rsidR="007D2413" w:rsidRDefault="001C6F4D">
            <w:pPr>
              <w:jc w:val="center"/>
            </w:pPr>
            <w:r>
              <w:rPr>
                <w:color w:val="000000"/>
                <w:sz w:val="24"/>
                <w:szCs w:val="24"/>
              </w:rPr>
              <w:t>6</w:t>
            </w:r>
          </w:p>
        </w:tc>
        <w:tc>
          <w:tcPr>
            <w:tcW w:w="1334" w:type="dxa"/>
            <w:vAlign w:val="center"/>
          </w:tcPr>
          <w:p w:rsidR="007D2413" w:rsidRDefault="001C6F4D">
            <w:pPr>
              <w:jc w:val="center"/>
            </w:pPr>
            <w:r>
              <w:rPr>
                <w:color w:val="000000"/>
                <w:sz w:val="24"/>
                <w:szCs w:val="24"/>
              </w:rPr>
              <w:t>002343</w:t>
            </w:r>
          </w:p>
        </w:tc>
        <w:tc>
          <w:tcPr>
            <w:tcW w:w="1777" w:type="dxa"/>
            <w:vAlign w:val="center"/>
          </w:tcPr>
          <w:p w:rsidR="007D2413" w:rsidRDefault="001C6F4D">
            <w:pPr>
              <w:jc w:val="center"/>
            </w:pPr>
            <w:r>
              <w:rPr>
                <w:color w:val="000000"/>
                <w:sz w:val="24"/>
                <w:szCs w:val="24"/>
              </w:rPr>
              <w:t>慈文传媒</w:t>
            </w:r>
          </w:p>
        </w:tc>
        <w:tc>
          <w:tcPr>
            <w:tcW w:w="1334" w:type="dxa"/>
            <w:vAlign w:val="center"/>
          </w:tcPr>
          <w:p w:rsidR="007D2413" w:rsidRDefault="001C6F4D">
            <w:pPr>
              <w:jc w:val="right"/>
            </w:pPr>
            <w:r>
              <w:rPr>
                <w:color w:val="000000"/>
                <w:sz w:val="24"/>
                <w:szCs w:val="24"/>
              </w:rPr>
              <w:t>499,958</w:t>
            </w:r>
          </w:p>
        </w:tc>
        <w:tc>
          <w:tcPr>
            <w:tcW w:w="1924" w:type="dxa"/>
            <w:vAlign w:val="center"/>
          </w:tcPr>
          <w:p w:rsidR="007D2413" w:rsidRDefault="001C6F4D">
            <w:pPr>
              <w:jc w:val="right"/>
            </w:pPr>
            <w:r>
              <w:rPr>
                <w:color w:val="000000"/>
                <w:sz w:val="24"/>
                <w:szCs w:val="24"/>
              </w:rPr>
              <w:t>20,893,244.82</w:t>
            </w:r>
          </w:p>
        </w:tc>
        <w:tc>
          <w:tcPr>
            <w:tcW w:w="1644" w:type="dxa"/>
            <w:vAlign w:val="center"/>
          </w:tcPr>
          <w:p w:rsidR="007D2413" w:rsidRDefault="001C6F4D">
            <w:pPr>
              <w:jc w:val="right"/>
            </w:pPr>
            <w:r>
              <w:rPr>
                <w:color w:val="000000"/>
                <w:sz w:val="24"/>
                <w:szCs w:val="24"/>
              </w:rPr>
              <w:t>2.92</w:t>
            </w:r>
          </w:p>
        </w:tc>
      </w:tr>
      <w:tr w:rsidR="007D2413">
        <w:trPr>
          <w:jc w:val="center"/>
        </w:trPr>
        <w:tc>
          <w:tcPr>
            <w:tcW w:w="855" w:type="dxa"/>
            <w:vAlign w:val="center"/>
          </w:tcPr>
          <w:p w:rsidR="007D2413" w:rsidRDefault="001C6F4D">
            <w:pPr>
              <w:jc w:val="center"/>
            </w:pPr>
            <w:r>
              <w:rPr>
                <w:color w:val="000000"/>
                <w:sz w:val="24"/>
                <w:szCs w:val="24"/>
              </w:rPr>
              <w:t>7</w:t>
            </w:r>
          </w:p>
        </w:tc>
        <w:tc>
          <w:tcPr>
            <w:tcW w:w="1334" w:type="dxa"/>
            <w:vAlign w:val="center"/>
          </w:tcPr>
          <w:p w:rsidR="007D2413" w:rsidRDefault="001C6F4D">
            <w:pPr>
              <w:jc w:val="center"/>
            </w:pPr>
            <w:r>
              <w:rPr>
                <w:color w:val="000000"/>
                <w:sz w:val="24"/>
                <w:szCs w:val="24"/>
              </w:rPr>
              <w:t>002468</w:t>
            </w:r>
          </w:p>
        </w:tc>
        <w:tc>
          <w:tcPr>
            <w:tcW w:w="1777" w:type="dxa"/>
            <w:vAlign w:val="center"/>
          </w:tcPr>
          <w:p w:rsidR="007D2413" w:rsidRDefault="001C6F4D">
            <w:pPr>
              <w:jc w:val="center"/>
            </w:pPr>
            <w:r>
              <w:rPr>
                <w:color w:val="000000"/>
                <w:sz w:val="24"/>
                <w:szCs w:val="24"/>
              </w:rPr>
              <w:t>艾迪西</w:t>
            </w:r>
          </w:p>
        </w:tc>
        <w:tc>
          <w:tcPr>
            <w:tcW w:w="1334" w:type="dxa"/>
            <w:vAlign w:val="center"/>
          </w:tcPr>
          <w:p w:rsidR="007D2413" w:rsidRDefault="001C6F4D">
            <w:pPr>
              <w:jc w:val="right"/>
            </w:pPr>
            <w:r>
              <w:rPr>
                <w:color w:val="000000"/>
                <w:sz w:val="24"/>
                <w:szCs w:val="24"/>
              </w:rPr>
              <w:t>550,000</w:t>
            </w:r>
          </w:p>
        </w:tc>
        <w:tc>
          <w:tcPr>
            <w:tcW w:w="1924" w:type="dxa"/>
            <w:vAlign w:val="center"/>
          </w:tcPr>
          <w:p w:rsidR="007D2413" w:rsidRDefault="001C6F4D">
            <w:pPr>
              <w:jc w:val="right"/>
            </w:pPr>
            <w:r>
              <w:rPr>
                <w:color w:val="000000"/>
                <w:sz w:val="24"/>
                <w:szCs w:val="24"/>
              </w:rPr>
              <w:t>16,934,500.00</w:t>
            </w:r>
          </w:p>
        </w:tc>
        <w:tc>
          <w:tcPr>
            <w:tcW w:w="1644" w:type="dxa"/>
            <w:vAlign w:val="center"/>
          </w:tcPr>
          <w:p w:rsidR="007D2413" w:rsidRDefault="001C6F4D">
            <w:pPr>
              <w:jc w:val="right"/>
            </w:pPr>
            <w:r>
              <w:rPr>
                <w:color w:val="000000"/>
                <w:sz w:val="24"/>
                <w:szCs w:val="24"/>
              </w:rPr>
              <w:t>2.37</w:t>
            </w:r>
          </w:p>
        </w:tc>
      </w:tr>
      <w:tr w:rsidR="007D2413">
        <w:trPr>
          <w:jc w:val="center"/>
        </w:trPr>
        <w:tc>
          <w:tcPr>
            <w:tcW w:w="855" w:type="dxa"/>
            <w:vAlign w:val="center"/>
          </w:tcPr>
          <w:p w:rsidR="007D2413" w:rsidRDefault="001C6F4D">
            <w:pPr>
              <w:jc w:val="center"/>
            </w:pPr>
            <w:r>
              <w:rPr>
                <w:color w:val="000000"/>
                <w:sz w:val="24"/>
                <w:szCs w:val="24"/>
              </w:rPr>
              <w:t>8</w:t>
            </w:r>
          </w:p>
        </w:tc>
        <w:tc>
          <w:tcPr>
            <w:tcW w:w="1334" w:type="dxa"/>
            <w:vAlign w:val="center"/>
          </w:tcPr>
          <w:p w:rsidR="007D2413" w:rsidRDefault="001C6F4D">
            <w:pPr>
              <w:jc w:val="center"/>
            </w:pPr>
            <w:r>
              <w:rPr>
                <w:color w:val="000000"/>
                <w:sz w:val="24"/>
                <w:szCs w:val="24"/>
              </w:rPr>
              <w:t>000157</w:t>
            </w:r>
          </w:p>
        </w:tc>
        <w:tc>
          <w:tcPr>
            <w:tcW w:w="1777" w:type="dxa"/>
            <w:vAlign w:val="center"/>
          </w:tcPr>
          <w:p w:rsidR="007D2413" w:rsidRDefault="001C6F4D">
            <w:pPr>
              <w:jc w:val="center"/>
            </w:pPr>
            <w:r>
              <w:rPr>
                <w:color w:val="000000"/>
                <w:sz w:val="24"/>
                <w:szCs w:val="24"/>
              </w:rPr>
              <w:t>中联重科</w:t>
            </w:r>
          </w:p>
        </w:tc>
        <w:tc>
          <w:tcPr>
            <w:tcW w:w="1334" w:type="dxa"/>
            <w:vAlign w:val="center"/>
          </w:tcPr>
          <w:p w:rsidR="007D2413" w:rsidRDefault="001C6F4D">
            <w:pPr>
              <w:jc w:val="right"/>
            </w:pPr>
            <w:r>
              <w:rPr>
                <w:color w:val="000000"/>
                <w:sz w:val="24"/>
                <w:szCs w:val="24"/>
              </w:rPr>
              <w:t>3,600,000</w:t>
            </w:r>
          </w:p>
        </w:tc>
        <w:tc>
          <w:tcPr>
            <w:tcW w:w="1924" w:type="dxa"/>
            <w:vAlign w:val="center"/>
          </w:tcPr>
          <w:p w:rsidR="007D2413" w:rsidRDefault="001C6F4D">
            <w:pPr>
              <w:jc w:val="right"/>
            </w:pPr>
            <w:r>
              <w:rPr>
                <w:color w:val="000000"/>
                <w:sz w:val="24"/>
                <w:szCs w:val="24"/>
              </w:rPr>
              <w:t>16,668,000.00</w:t>
            </w:r>
          </w:p>
        </w:tc>
        <w:tc>
          <w:tcPr>
            <w:tcW w:w="1644" w:type="dxa"/>
            <w:vAlign w:val="center"/>
          </w:tcPr>
          <w:p w:rsidR="007D2413" w:rsidRDefault="001C6F4D">
            <w:pPr>
              <w:jc w:val="right"/>
            </w:pPr>
            <w:r>
              <w:rPr>
                <w:color w:val="000000"/>
                <w:sz w:val="24"/>
                <w:szCs w:val="24"/>
              </w:rPr>
              <w:t>2.33</w:t>
            </w:r>
          </w:p>
        </w:tc>
      </w:tr>
      <w:tr w:rsidR="007D2413">
        <w:trPr>
          <w:jc w:val="center"/>
        </w:trPr>
        <w:tc>
          <w:tcPr>
            <w:tcW w:w="855" w:type="dxa"/>
            <w:vAlign w:val="center"/>
          </w:tcPr>
          <w:p w:rsidR="007D2413" w:rsidRDefault="001C6F4D">
            <w:pPr>
              <w:jc w:val="center"/>
            </w:pPr>
            <w:r>
              <w:rPr>
                <w:color w:val="000000"/>
                <w:sz w:val="24"/>
                <w:szCs w:val="24"/>
              </w:rPr>
              <w:t>9</w:t>
            </w:r>
          </w:p>
        </w:tc>
        <w:tc>
          <w:tcPr>
            <w:tcW w:w="1334" w:type="dxa"/>
            <w:vAlign w:val="center"/>
          </w:tcPr>
          <w:p w:rsidR="007D2413" w:rsidRDefault="001C6F4D">
            <w:pPr>
              <w:jc w:val="center"/>
            </w:pPr>
            <w:r>
              <w:rPr>
                <w:color w:val="000000"/>
                <w:sz w:val="24"/>
                <w:szCs w:val="24"/>
              </w:rPr>
              <w:t>300221</w:t>
            </w:r>
          </w:p>
        </w:tc>
        <w:tc>
          <w:tcPr>
            <w:tcW w:w="1777" w:type="dxa"/>
            <w:vAlign w:val="center"/>
          </w:tcPr>
          <w:p w:rsidR="007D2413" w:rsidRDefault="001C6F4D">
            <w:pPr>
              <w:jc w:val="center"/>
            </w:pPr>
            <w:r>
              <w:rPr>
                <w:color w:val="000000"/>
                <w:sz w:val="24"/>
                <w:szCs w:val="24"/>
              </w:rPr>
              <w:t>银禧科技</w:t>
            </w:r>
          </w:p>
        </w:tc>
        <w:tc>
          <w:tcPr>
            <w:tcW w:w="1334" w:type="dxa"/>
            <w:vAlign w:val="center"/>
          </w:tcPr>
          <w:p w:rsidR="007D2413" w:rsidRDefault="001C6F4D">
            <w:pPr>
              <w:jc w:val="right"/>
            </w:pPr>
            <w:r>
              <w:rPr>
                <w:color w:val="000000"/>
                <w:sz w:val="24"/>
                <w:szCs w:val="24"/>
              </w:rPr>
              <w:t>578,500</w:t>
            </w:r>
          </w:p>
        </w:tc>
        <w:tc>
          <w:tcPr>
            <w:tcW w:w="1924" w:type="dxa"/>
            <w:vAlign w:val="center"/>
          </w:tcPr>
          <w:p w:rsidR="007D2413" w:rsidRDefault="001C6F4D">
            <w:pPr>
              <w:jc w:val="right"/>
            </w:pPr>
            <w:r>
              <w:rPr>
                <w:color w:val="000000"/>
                <w:sz w:val="24"/>
                <w:szCs w:val="24"/>
              </w:rPr>
              <w:t>16,307,915.00</w:t>
            </w:r>
          </w:p>
        </w:tc>
        <w:tc>
          <w:tcPr>
            <w:tcW w:w="1644" w:type="dxa"/>
            <w:vAlign w:val="center"/>
          </w:tcPr>
          <w:p w:rsidR="007D2413" w:rsidRDefault="001C6F4D">
            <w:pPr>
              <w:jc w:val="right"/>
            </w:pPr>
            <w:r>
              <w:rPr>
                <w:color w:val="000000"/>
                <w:sz w:val="24"/>
                <w:szCs w:val="24"/>
              </w:rPr>
              <w:t>2.28</w:t>
            </w:r>
          </w:p>
        </w:tc>
      </w:tr>
      <w:tr w:rsidR="007D2413">
        <w:trPr>
          <w:jc w:val="center"/>
        </w:trPr>
        <w:tc>
          <w:tcPr>
            <w:tcW w:w="855" w:type="dxa"/>
            <w:vAlign w:val="center"/>
          </w:tcPr>
          <w:p w:rsidR="007D2413" w:rsidRDefault="001C6F4D">
            <w:pPr>
              <w:jc w:val="center"/>
            </w:pPr>
            <w:r>
              <w:rPr>
                <w:color w:val="000000"/>
                <w:sz w:val="24"/>
                <w:szCs w:val="24"/>
              </w:rPr>
              <w:t>10</w:t>
            </w:r>
          </w:p>
        </w:tc>
        <w:tc>
          <w:tcPr>
            <w:tcW w:w="1334" w:type="dxa"/>
            <w:vAlign w:val="center"/>
          </w:tcPr>
          <w:p w:rsidR="007D2413" w:rsidRDefault="001C6F4D">
            <w:pPr>
              <w:jc w:val="center"/>
            </w:pPr>
            <w:r>
              <w:rPr>
                <w:color w:val="000000"/>
                <w:sz w:val="24"/>
                <w:szCs w:val="24"/>
              </w:rPr>
              <w:t>600567</w:t>
            </w:r>
          </w:p>
        </w:tc>
        <w:tc>
          <w:tcPr>
            <w:tcW w:w="1777" w:type="dxa"/>
            <w:vAlign w:val="center"/>
          </w:tcPr>
          <w:p w:rsidR="007D2413" w:rsidRDefault="001C6F4D">
            <w:pPr>
              <w:jc w:val="center"/>
            </w:pPr>
            <w:r>
              <w:rPr>
                <w:color w:val="000000"/>
                <w:sz w:val="24"/>
                <w:szCs w:val="24"/>
              </w:rPr>
              <w:t>山鹰纸业</w:t>
            </w:r>
          </w:p>
        </w:tc>
        <w:tc>
          <w:tcPr>
            <w:tcW w:w="1334" w:type="dxa"/>
            <w:vAlign w:val="center"/>
          </w:tcPr>
          <w:p w:rsidR="007D2413" w:rsidRDefault="001C6F4D">
            <w:pPr>
              <w:jc w:val="right"/>
            </w:pPr>
            <w:r>
              <w:rPr>
                <w:color w:val="000000"/>
                <w:sz w:val="24"/>
                <w:szCs w:val="24"/>
              </w:rPr>
              <w:t>5,320,480</w:t>
            </w:r>
          </w:p>
        </w:tc>
        <w:tc>
          <w:tcPr>
            <w:tcW w:w="1924" w:type="dxa"/>
            <w:vAlign w:val="center"/>
          </w:tcPr>
          <w:p w:rsidR="007D2413" w:rsidRDefault="001C6F4D">
            <w:pPr>
              <w:jc w:val="right"/>
            </w:pPr>
            <w:r>
              <w:rPr>
                <w:color w:val="000000"/>
                <w:sz w:val="24"/>
                <w:szCs w:val="24"/>
              </w:rPr>
              <w:t>15,855,030.40</w:t>
            </w:r>
          </w:p>
        </w:tc>
        <w:tc>
          <w:tcPr>
            <w:tcW w:w="1644" w:type="dxa"/>
            <w:vAlign w:val="center"/>
          </w:tcPr>
          <w:p w:rsidR="007D2413" w:rsidRDefault="001C6F4D">
            <w:pPr>
              <w:jc w:val="right"/>
            </w:pPr>
            <w:r>
              <w:rPr>
                <w:color w:val="000000"/>
                <w:sz w:val="24"/>
                <w:szCs w:val="24"/>
              </w:rPr>
              <w:t>2.22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490,152.17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66,587.53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150,660.30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707,400.00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387,509,046.15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33,098,872.89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35,879,624.57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384,728,294.47</w:t>
            </w:r>
          </w:p>
        </w:tc>
      </w:tr>
    </w:tbl>
    <w:p w:rsidR="007D2413" w:rsidRDefault="001C6F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87,778,105.88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1C6F4D" w:rsidP="00C15CAC">
            <w:pPr>
              <w:spacing w:line="288" w:lineRule="auto"/>
              <w:jc w:val="right"/>
              <w:rPr>
                <w:rFonts w:eastAsiaTheme="minorEastAsia"/>
                <w:sz w:val="24"/>
                <w:szCs w:val="24"/>
              </w:rPr>
            </w:pPr>
            <w:r w:rsidRPr="00ED2620">
              <w:rPr>
                <w:rFonts w:eastAsiaTheme="minorEastAsia"/>
                <w:color w:val="000000"/>
                <w:sz w:val="24"/>
              </w:rPr>
              <w:t>87,778,105.88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1C6F4D" w:rsidRDefault="001C6F4D" w:rsidP="00D01421">
            <w:pPr>
              <w:widowControl/>
              <w:jc w:val="right"/>
              <w:rPr>
                <w:rFonts w:eastAsiaTheme="minorEastAsia"/>
                <w:color w:val="000000"/>
                <w:sz w:val="24"/>
              </w:rPr>
            </w:pPr>
            <w:r w:rsidRPr="001C6F4D">
              <w:rPr>
                <w:rFonts w:eastAsiaTheme="minorEastAsia"/>
                <w:color w:val="000000"/>
                <w:sz w:val="24"/>
              </w:rPr>
              <w:t>22.82</w:t>
            </w:r>
            <w:bookmarkStart w:id="0" w:name="_GoBack"/>
            <w:bookmarkEnd w:id="0"/>
          </w:p>
        </w:tc>
      </w:tr>
    </w:tbl>
    <w:p w:rsidR="007D2413" w:rsidRDefault="001C6F4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7D2413" w:rsidRDefault="001C6F4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7D2413" w:rsidRDefault="001C6F4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7D2413" w:rsidRDefault="001C6F4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7D2413" w:rsidRDefault="001C6F4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7D2413" w:rsidRDefault="001C6F4D">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7D2413" w:rsidRDefault="001C6F4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D2413" w:rsidRDefault="001C6F4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7D2413" w:rsidRDefault="001C6F4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AC" w:rsidRDefault="002A59AC" w:rsidP="00876D65">
      <w:r>
        <w:separator/>
      </w:r>
    </w:p>
  </w:endnote>
  <w:endnote w:type="continuationSeparator" w:id="0">
    <w:p w:rsidR="002A59AC" w:rsidRDefault="002A59A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D01421">
      <w:rPr>
        <w:noProof/>
        <w:kern w:val="0"/>
        <w:szCs w:val="21"/>
      </w:rPr>
      <w:t>10</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D01421">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AC" w:rsidRDefault="002A59AC" w:rsidP="00876D65">
      <w:r>
        <w:separator/>
      </w:r>
    </w:p>
  </w:footnote>
  <w:footnote w:type="continuationSeparator" w:id="0">
    <w:p w:rsidR="002A59AC" w:rsidRDefault="002A59A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28BB"/>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024B"/>
    <w:rsid w:val="00133015"/>
    <w:rsid w:val="00137452"/>
    <w:rsid w:val="00137B31"/>
    <w:rsid w:val="00144F93"/>
    <w:rsid w:val="00147376"/>
    <w:rsid w:val="0015450B"/>
    <w:rsid w:val="00154BE1"/>
    <w:rsid w:val="0015710B"/>
    <w:rsid w:val="0015735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6F4D"/>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59AC"/>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D2413"/>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D4E0E"/>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421"/>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66EA7"/>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866797440">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51ED-06DC-4E31-82ED-D60D3516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11</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2016-10-21T08:38:00Z</dcterms:modified>
</cp:coreProperties>
</file>