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交银施罗德趋势优先混合型证券投资基金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二〇一六年十月二十五日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AC386C" w:rsidRDefault="0012782E">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AC386C" w:rsidRDefault="0012782E">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2016</w:t>
      </w:r>
      <w:r>
        <w:rPr>
          <w:color w:val="000000"/>
          <w:sz w:val="24"/>
          <w:szCs w:val="24"/>
        </w:rPr>
        <w:t>年</w:t>
      </w:r>
      <w:r>
        <w:rPr>
          <w:color w:val="000000"/>
          <w:sz w:val="24"/>
          <w:szCs w:val="24"/>
        </w:rPr>
        <w:t>10</w:t>
      </w:r>
      <w:r>
        <w:rPr>
          <w:color w:val="000000"/>
          <w:sz w:val="24"/>
          <w:szCs w:val="24"/>
        </w:rPr>
        <w:t>月</w:t>
      </w:r>
      <w:r>
        <w:rPr>
          <w:color w:val="000000"/>
          <w:sz w:val="24"/>
          <w:szCs w:val="24"/>
        </w:rPr>
        <w:t>24</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AC386C" w:rsidRDefault="0012782E">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AC386C" w:rsidRDefault="0012782E">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AC386C" w:rsidRDefault="0012782E">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交银趋势混合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2010</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22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841,655,105.08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本基金力图通过把握中国人口变化的重大趋势，精选受益其中的优势行业和个股，在控制风险并保持基金资产良好的流动性的前提下，力争实现基金资产的长期稳定增值。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中证综合债券指数收</w:t>
            </w:r>
            <w:r w:rsidRPr="00414345">
              <w:rPr>
                <w:color w:val="000000"/>
                <w:kern w:val="0"/>
                <w:sz w:val="24"/>
                <w:szCs w:val="24"/>
              </w:rPr>
              <w:lastRenderedPageBreak/>
              <w:t>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9A3F46" w:rsidRPr="00414345" w:rsidTr="009A3F46">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9A3F46" w:rsidRPr="00414345" w:rsidTr="009A3F4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26,946,234.87</w:t>
            </w:r>
          </w:p>
        </w:tc>
      </w:tr>
      <w:tr w:rsidR="009A3F46" w:rsidRPr="00414345" w:rsidTr="009A3F4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52,557,663.68</w:t>
            </w:r>
          </w:p>
        </w:tc>
      </w:tr>
      <w:tr w:rsidR="009A3F46" w:rsidRPr="00414345" w:rsidTr="009A3F4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0.0566</w:t>
            </w:r>
          </w:p>
        </w:tc>
      </w:tr>
      <w:tr w:rsidR="009A3F46" w:rsidRPr="00414345" w:rsidTr="009A3F4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972,378,373.45</w:t>
            </w:r>
          </w:p>
        </w:tc>
      </w:tr>
      <w:tr w:rsidR="009A3F46" w:rsidRPr="00414345" w:rsidTr="009A3F46">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1.155</w:t>
            </w:r>
          </w:p>
        </w:tc>
      </w:tr>
    </w:tbl>
    <w:p w:rsidR="00AC386C" w:rsidRDefault="0012782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F46633">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AC386C">
        <w:trPr>
          <w:jc w:val="center"/>
        </w:trPr>
        <w:tc>
          <w:tcPr>
            <w:tcW w:w="1701" w:type="dxa"/>
            <w:vAlign w:val="center"/>
          </w:tcPr>
          <w:p w:rsidR="00AC386C" w:rsidRDefault="0012782E">
            <w:pPr>
              <w:jc w:val="left"/>
            </w:pPr>
            <w:r>
              <w:rPr>
                <w:color w:val="000000"/>
                <w:sz w:val="24"/>
                <w:szCs w:val="24"/>
              </w:rPr>
              <w:t>过去三个月</w:t>
            </w:r>
          </w:p>
        </w:tc>
        <w:tc>
          <w:tcPr>
            <w:tcW w:w="1045" w:type="dxa"/>
            <w:vAlign w:val="center"/>
          </w:tcPr>
          <w:p w:rsidR="00AC386C" w:rsidRDefault="0012782E">
            <w:pPr>
              <w:jc w:val="center"/>
            </w:pPr>
            <w:r>
              <w:rPr>
                <w:color w:val="000000"/>
                <w:sz w:val="24"/>
                <w:szCs w:val="24"/>
              </w:rPr>
              <w:t>6.86%</w:t>
            </w:r>
          </w:p>
        </w:tc>
        <w:tc>
          <w:tcPr>
            <w:tcW w:w="1344" w:type="dxa"/>
            <w:vAlign w:val="center"/>
          </w:tcPr>
          <w:p w:rsidR="00AC386C" w:rsidRDefault="0012782E">
            <w:pPr>
              <w:jc w:val="center"/>
            </w:pPr>
            <w:r>
              <w:rPr>
                <w:color w:val="000000"/>
                <w:sz w:val="24"/>
                <w:szCs w:val="24"/>
              </w:rPr>
              <w:t>0.79%</w:t>
            </w:r>
          </w:p>
        </w:tc>
        <w:tc>
          <w:tcPr>
            <w:tcW w:w="1194" w:type="dxa"/>
            <w:vAlign w:val="center"/>
          </w:tcPr>
          <w:p w:rsidR="00AC386C" w:rsidRDefault="0012782E">
            <w:pPr>
              <w:jc w:val="center"/>
            </w:pPr>
            <w:r>
              <w:rPr>
                <w:color w:val="000000"/>
                <w:sz w:val="24"/>
                <w:szCs w:val="24"/>
              </w:rPr>
              <w:t>2.89%</w:t>
            </w:r>
          </w:p>
        </w:tc>
        <w:tc>
          <w:tcPr>
            <w:tcW w:w="1492" w:type="dxa"/>
            <w:vAlign w:val="center"/>
          </w:tcPr>
          <w:p w:rsidR="00AC386C" w:rsidRDefault="0012782E">
            <w:pPr>
              <w:jc w:val="center"/>
            </w:pPr>
            <w:r>
              <w:rPr>
                <w:color w:val="000000"/>
                <w:sz w:val="24"/>
                <w:szCs w:val="24"/>
              </w:rPr>
              <w:t>0.60%</w:t>
            </w:r>
          </w:p>
        </w:tc>
        <w:tc>
          <w:tcPr>
            <w:tcW w:w="1194" w:type="dxa"/>
            <w:vAlign w:val="center"/>
          </w:tcPr>
          <w:p w:rsidR="00AC386C" w:rsidRDefault="0012782E">
            <w:pPr>
              <w:jc w:val="center"/>
            </w:pPr>
            <w:r>
              <w:rPr>
                <w:color w:val="000000"/>
                <w:sz w:val="24"/>
                <w:szCs w:val="24"/>
              </w:rPr>
              <w:t>3.97%</w:t>
            </w:r>
          </w:p>
        </w:tc>
        <w:tc>
          <w:tcPr>
            <w:tcW w:w="898" w:type="dxa"/>
            <w:vAlign w:val="center"/>
          </w:tcPr>
          <w:p w:rsidR="00AC386C" w:rsidRDefault="0012782E">
            <w:pPr>
              <w:jc w:val="center"/>
            </w:pPr>
            <w:r>
              <w:rPr>
                <w:color w:val="000000"/>
                <w:sz w:val="24"/>
                <w:szCs w:val="24"/>
              </w:rPr>
              <w:t>0.19%</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交银施罗德趋势优先混合型证券投资基金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AC386C">
        <w:trPr>
          <w:jc w:val="center"/>
        </w:trPr>
        <w:tc>
          <w:tcPr>
            <w:tcW w:w="846" w:type="dxa"/>
            <w:vAlign w:val="center"/>
          </w:tcPr>
          <w:p w:rsidR="00AC386C" w:rsidRDefault="0012782E">
            <w:pPr>
              <w:jc w:val="center"/>
            </w:pPr>
            <w:r>
              <w:rPr>
                <w:color w:val="000000"/>
                <w:sz w:val="24"/>
                <w:szCs w:val="24"/>
              </w:rPr>
              <w:t>曹文俊</w:t>
            </w:r>
          </w:p>
        </w:tc>
        <w:tc>
          <w:tcPr>
            <w:tcW w:w="845" w:type="dxa"/>
            <w:vAlign w:val="center"/>
          </w:tcPr>
          <w:p w:rsidR="00AC386C" w:rsidRDefault="0012782E">
            <w:pPr>
              <w:jc w:val="center"/>
            </w:pPr>
            <w:r>
              <w:rPr>
                <w:color w:val="000000"/>
                <w:sz w:val="24"/>
                <w:szCs w:val="24"/>
              </w:rPr>
              <w:t>交银精选混合、交银趋势混合的基金经理</w:t>
            </w:r>
          </w:p>
        </w:tc>
        <w:tc>
          <w:tcPr>
            <w:tcW w:w="1549" w:type="dxa"/>
            <w:vAlign w:val="center"/>
          </w:tcPr>
          <w:p w:rsidR="00AC386C" w:rsidRDefault="0012782E">
            <w:pPr>
              <w:jc w:val="center"/>
            </w:pPr>
            <w:r>
              <w:rPr>
                <w:color w:val="000000"/>
                <w:sz w:val="24"/>
                <w:szCs w:val="24"/>
              </w:rPr>
              <w:t>2013-08-08</w:t>
            </w:r>
          </w:p>
        </w:tc>
        <w:tc>
          <w:tcPr>
            <w:tcW w:w="1548" w:type="dxa"/>
            <w:vAlign w:val="center"/>
          </w:tcPr>
          <w:p w:rsidR="00AC386C" w:rsidRDefault="0012782E">
            <w:pPr>
              <w:jc w:val="center"/>
            </w:pPr>
            <w:r>
              <w:rPr>
                <w:color w:val="000000"/>
                <w:sz w:val="24"/>
                <w:szCs w:val="24"/>
              </w:rPr>
              <w:t>-</w:t>
            </w:r>
          </w:p>
        </w:tc>
        <w:tc>
          <w:tcPr>
            <w:tcW w:w="1407" w:type="dxa"/>
            <w:vAlign w:val="center"/>
          </w:tcPr>
          <w:p w:rsidR="00AC386C" w:rsidRDefault="0012782E">
            <w:pPr>
              <w:jc w:val="center"/>
            </w:pPr>
            <w:r>
              <w:rPr>
                <w:color w:val="000000"/>
                <w:sz w:val="24"/>
                <w:szCs w:val="24"/>
              </w:rPr>
              <w:t>11</w:t>
            </w:r>
            <w:r>
              <w:rPr>
                <w:color w:val="000000"/>
                <w:sz w:val="24"/>
                <w:szCs w:val="24"/>
              </w:rPr>
              <w:t>年</w:t>
            </w:r>
          </w:p>
        </w:tc>
        <w:tc>
          <w:tcPr>
            <w:tcW w:w="2673" w:type="dxa"/>
            <w:vAlign w:val="center"/>
          </w:tcPr>
          <w:p w:rsidR="00AC386C" w:rsidRDefault="0012782E">
            <w:r>
              <w:rPr>
                <w:color w:val="000000"/>
                <w:sz w:val="24"/>
                <w:szCs w:val="24"/>
              </w:rPr>
              <w:t>曹文俊先生，硕士学位。历任申银万国证券研究所有限公司助理分析师，申万巴黎基金管理有限公司（现申万菱信基金管理有限公司）研究员。</w:t>
            </w:r>
            <w:r>
              <w:rPr>
                <w:color w:val="000000"/>
                <w:sz w:val="24"/>
                <w:szCs w:val="24"/>
              </w:rPr>
              <w:t>2010</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AC386C" w:rsidRDefault="0012782E">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AC386C" w:rsidRDefault="0012782E">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AC386C" w:rsidRDefault="0012782E">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AC386C" w:rsidRDefault="0012782E">
      <w:pPr>
        <w:spacing w:before="29" w:line="288" w:lineRule="auto"/>
        <w:ind w:firstLineChars="200" w:firstLine="480"/>
        <w:rPr>
          <w:color w:val="000000"/>
          <w:sz w:val="24"/>
          <w:szCs w:val="24"/>
        </w:rPr>
      </w:pPr>
      <w:r>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szCs w:val="24"/>
        </w:rPr>
        <w:t>5%</w:t>
      </w:r>
      <w:r>
        <w:rPr>
          <w:color w:val="000000"/>
          <w:sz w:val="24"/>
          <w:szCs w:val="24"/>
        </w:rPr>
        <w:t>的情形，本基金与本公司管理的其他投资组合在不同时间窗下（如日内、</w:t>
      </w:r>
      <w:r>
        <w:rPr>
          <w:color w:val="000000"/>
          <w:sz w:val="24"/>
          <w:szCs w:val="24"/>
        </w:rPr>
        <w:t>3</w:t>
      </w:r>
      <w:r>
        <w:rPr>
          <w:color w:val="000000"/>
          <w:sz w:val="24"/>
          <w:szCs w:val="24"/>
        </w:rPr>
        <w:t>日内、</w:t>
      </w:r>
      <w:r>
        <w:rPr>
          <w:color w:val="000000"/>
          <w:sz w:val="24"/>
          <w:szCs w:val="24"/>
        </w:rPr>
        <w:t>5</w:t>
      </w:r>
      <w:r>
        <w:rPr>
          <w:color w:val="000000"/>
          <w:sz w:val="24"/>
          <w:szCs w:val="24"/>
        </w:rPr>
        <w:t>日内）同向交易的交易价差未出现异常。</w:t>
      </w:r>
    </w:p>
    <w:p w:rsidR="00AC386C" w:rsidRDefault="00AC386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981ADE" w:rsidRPr="00981ADE" w:rsidRDefault="00981ADE" w:rsidP="00DC272E">
      <w:pPr>
        <w:spacing w:before="29" w:line="288" w:lineRule="auto"/>
        <w:ind w:firstLineChars="200" w:firstLine="480"/>
        <w:rPr>
          <w:color w:val="000000"/>
          <w:sz w:val="24"/>
          <w:szCs w:val="24"/>
        </w:rPr>
      </w:pPr>
      <w:r w:rsidRPr="00981ADE">
        <w:rPr>
          <w:rFonts w:hint="eastAsia"/>
          <w:color w:val="000000"/>
          <w:sz w:val="24"/>
          <w:szCs w:val="24"/>
        </w:rPr>
        <w:t>三季度市场整体呈现震荡行情，先扬后抑。随着无风险利率进一步下行，市场</w:t>
      </w:r>
      <w:r w:rsidRPr="00981ADE">
        <w:rPr>
          <w:rFonts w:hint="eastAsia"/>
          <w:color w:val="000000"/>
          <w:sz w:val="24"/>
          <w:szCs w:val="24"/>
        </w:rPr>
        <w:t>7</w:t>
      </w:r>
      <w:r w:rsidRPr="00981ADE">
        <w:rPr>
          <w:rFonts w:hint="eastAsia"/>
          <w:color w:val="000000"/>
          <w:sz w:val="24"/>
          <w:szCs w:val="24"/>
        </w:rPr>
        <w:t>月整体表现较强，至</w:t>
      </w:r>
      <w:r w:rsidRPr="00981ADE">
        <w:rPr>
          <w:rFonts w:hint="eastAsia"/>
          <w:color w:val="000000"/>
          <w:sz w:val="24"/>
          <w:szCs w:val="24"/>
        </w:rPr>
        <w:t>8</w:t>
      </w:r>
      <w:r w:rsidRPr="00981ADE">
        <w:rPr>
          <w:rFonts w:hint="eastAsia"/>
          <w:color w:val="000000"/>
          <w:sz w:val="24"/>
          <w:szCs w:val="24"/>
        </w:rPr>
        <w:t>月中旬十年期国债收益率阶段性见底，市场随之出现一定程度的调整。市场热点持续性依然不强，二季度表现突出的新能源汽车、电子等板块在三季度均表现不佳。宏观经济方面，短期增长相对平稳，判断明年上半年仍有压力。分结构来看，一、二线城市房地产成交火爆，但限购政策陆续推出，后续成交量增速存在回落风险。而基建投资自年初以来始终保持较高增速，未来主要受制于财政收入增速压力，基建投资增速进一步提升的难度较大。制造业投资则表现出明显的后周期特征，投资增速下滑至</w:t>
      </w:r>
      <w:r w:rsidRPr="00981ADE">
        <w:rPr>
          <w:rFonts w:hint="eastAsia"/>
          <w:color w:val="000000"/>
          <w:sz w:val="24"/>
          <w:szCs w:val="24"/>
        </w:rPr>
        <w:t>5%</w:t>
      </w:r>
      <w:r w:rsidRPr="00981ADE">
        <w:rPr>
          <w:rFonts w:hint="eastAsia"/>
          <w:color w:val="000000"/>
          <w:sz w:val="24"/>
          <w:szCs w:val="24"/>
        </w:rPr>
        <w:t>以内。从民间固定资产投资等指标来看，投资回报率仍然缺乏吸引力，经济下行压力依然较大。政策判断上，我们认为货币政策处于进退维谷境地，经济基本面不支持货币政策收紧，而资产价格泡沫显现及汇率压力犹存也不支持进一步政策宽松。大类资产配置角度，权益市场的估值泡沫明显小于房地产和固定收益市场，除非发生系统性风险，权益市场的性价比可能是相对较高的。三季度本基金净值表现跑赢业绩比较基准，主要体现在行业配置和个股选择的优势。</w:t>
      </w:r>
    </w:p>
    <w:p w:rsidR="00981ADE" w:rsidRDefault="00981ADE" w:rsidP="00C15CAC">
      <w:pPr>
        <w:spacing w:before="29" w:line="288" w:lineRule="auto"/>
        <w:ind w:firstLineChars="200" w:firstLine="480"/>
        <w:rPr>
          <w:color w:val="000000"/>
          <w:sz w:val="24"/>
          <w:szCs w:val="24"/>
        </w:rPr>
      </w:pPr>
      <w:r w:rsidRPr="00981ADE">
        <w:rPr>
          <w:rFonts w:hint="eastAsia"/>
          <w:color w:val="000000"/>
          <w:sz w:val="24"/>
          <w:szCs w:val="24"/>
        </w:rPr>
        <w:t>展望未来一个季度，我们对市场持中性态度，判断指数上行空间和下行空间均不大。增量资金流入的匮乏和经济增长预期转弱是上行空间不大的主要原因，而在大类资产中的相对估值优势则是下行空间不大的主要原因。主要风险因素则包括增量资金入市（上行风险）和汇率风险（下行风险）。选股方向上，我们仍倾向于将行业景气度确定、估值性价比较高的行业作为底仓，将增长锐度高、估值水平相对较高的行业作为进攻性行业，并适当参与主题型机会。</w:t>
      </w:r>
    </w:p>
    <w:p w:rsidR="00627E2D" w:rsidRPr="00981ADE"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009A3F46">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009A3F46" w:rsidRPr="009A3F46">
        <w:rPr>
          <w:color w:val="000000"/>
          <w:sz w:val="24"/>
          <w:szCs w:val="24"/>
        </w:rPr>
        <w:t>1.155</w:t>
      </w:r>
      <w:r w:rsidRPr="00414345">
        <w:rPr>
          <w:color w:val="000000"/>
          <w:sz w:val="24"/>
          <w:szCs w:val="24"/>
        </w:rPr>
        <w:t>元，本报告期份额净值增长率为</w:t>
      </w:r>
      <w:r w:rsidR="009A3F46">
        <w:rPr>
          <w:color w:val="000000"/>
          <w:sz w:val="24"/>
          <w:szCs w:val="24"/>
        </w:rPr>
        <w:t>6.86</w:t>
      </w:r>
      <w:r w:rsidRPr="00414345">
        <w:rPr>
          <w:color w:val="000000"/>
          <w:sz w:val="24"/>
          <w:szCs w:val="24"/>
        </w:rPr>
        <w:t>%</w:t>
      </w:r>
      <w:r w:rsidRPr="00414345">
        <w:rPr>
          <w:color w:val="000000"/>
          <w:sz w:val="24"/>
          <w:szCs w:val="24"/>
        </w:rPr>
        <w:t>，同期业绩比较基准增长率为</w:t>
      </w:r>
      <w:r w:rsidR="009A3F46">
        <w:rPr>
          <w:color w:val="000000"/>
          <w:sz w:val="24"/>
          <w:szCs w:val="24"/>
        </w:rPr>
        <w:t>2.89%</w:t>
      </w:r>
      <w:r w:rsidRPr="00414345">
        <w:rPr>
          <w:color w:val="000000"/>
          <w:sz w:val="24"/>
          <w:szCs w:val="24"/>
        </w:rPr>
        <w:t>。</w:t>
      </w:r>
    </w:p>
    <w:p w:rsidR="009C5186" w:rsidRPr="009A3F46"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849,123,783.85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86.96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849,123,783.85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86.96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51,359,827.92</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5.26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75,935,741.42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7.78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976,419,353.19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17,719,255.76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1.82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720,724,022.19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74.12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32,424,881.62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31,687,287.10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25,677,014.70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20,891,322.48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849,123,783.85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87.32</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AC386C">
        <w:trPr>
          <w:jc w:val="center"/>
        </w:trPr>
        <w:tc>
          <w:tcPr>
            <w:tcW w:w="855" w:type="dxa"/>
            <w:vAlign w:val="center"/>
          </w:tcPr>
          <w:p w:rsidR="00AC386C" w:rsidRDefault="0012782E">
            <w:pPr>
              <w:jc w:val="center"/>
            </w:pPr>
            <w:r>
              <w:rPr>
                <w:color w:val="000000"/>
                <w:sz w:val="24"/>
                <w:szCs w:val="24"/>
              </w:rPr>
              <w:t>1</w:t>
            </w:r>
          </w:p>
        </w:tc>
        <w:tc>
          <w:tcPr>
            <w:tcW w:w="1334" w:type="dxa"/>
            <w:vAlign w:val="center"/>
          </w:tcPr>
          <w:p w:rsidR="00AC386C" w:rsidRDefault="0012782E">
            <w:pPr>
              <w:jc w:val="center"/>
            </w:pPr>
            <w:r>
              <w:rPr>
                <w:color w:val="000000"/>
                <w:sz w:val="24"/>
                <w:szCs w:val="24"/>
              </w:rPr>
              <w:t>300279</w:t>
            </w:r>
          </w:p>
        </w:tc>
        <w:tc>
          <w:tcPr>
            <w:tcW w:w="1777" w:type="dxa"/>
            <w:vAlign w:val="center"/>
          </w:tcPr>
          <w:p w:rsidR="00AC386C" w:rsidRDefault="0012782E">
            <w:pPr>
              <w:jc w:val="center"/>
            </w:pPr>
            <w:r>
              <w:rPr>
                <w:color w:val="000000"/>
                <w:sz w:val="24"/>
                <w:szCs w:val="24"/>
              </w:rPr>
              <w:t>和晶科技</w:t>
            </w:r>
          </w:p>
        </w:tc>
        <w:tc>
          <w:tcPr>
            <w:tcW w:w="1334" w:type="dxa"/>
            <w:vAlign w:val="center"/>
          </w:tcPr>
          <w:p w:rsidR="00AC386C" w:rsidRDefault="0012782E">
            <w:pPr>
              <w:jc w:val="right"/>
            </w:pPr>
            <w:r>
              <w:rPr>
                <w:color w:val="000000"/>
                <w:sz w:val="24"/>
                <w:szCs w:val="24"/>
              </w:rPr>
              <w:t>1,507,418</w:t>
            </w:r>
          </w:p>
        </w:tc>
        <w:tc>
          <w:tcPr>
            <w:tcW w:w="1924" w:type="dxa"/>
            <w:vAlign w:val="center"/>
          </w:tcPr>
          <w:p w:rsidR="00AC386C" w:rsidRDefault="0012782E">
            <w:pPr>
              <w:jc w:val="right"/>
            </w:pPr>
            <w:r>
              <w:rPr>
                <w:color w:val="000000"/>
                <w:sz w:val="24"/>
                <w:szCs w:val="24"/>
              </w:rPr>
              <w:t>70,622,533.30</w:t>
            </w:r>
          </w:p>
        </w:tc>
        <w:tc>
          <w:tcPr>
            <w:tcW w:w="1644" w:type="dxa"/>
            <w:vAlign w:val="center"/>
          </w:tcPr>
          <w:p w:rsidR="00AC386C" w:rsidRDefault="0012782E">
            <w:pPr>
              <w:jc w:val="right"/>
            </w:pPr>
            <w:r>
              <w:rPr>
                <w:color w:val="000000"/>
                <w:sz w:val="24"/>
                <w:szCs w:val="24"/>
              </w:rPr>
              <w:t>7.26</w:t>
            </w:r>
          </w:p>
        </w:tc>
      </w:tr>
      <w:tr w:rsidR="00AC386C">
        <w:trPr>
          <w:jc w:val="center"/>
        </w:trPr>
        <w:tc>
          <w:tcPr>
            <w:tcW w:w="855" w:type="dxa"/>
            <w:vAlign w:val="center"/>
          </w:tcPr>
          <w:p w:rsidR="00AC386C" w:rsidRDefault="0012782E">
            <w:pPr>
              <w:jc w:val="center"/>
            </w:pPr>
            <w:r>
              <w:rPr>
                <w:color w:val="000000"/>
                <w:sz w:val="24"/>
                <w:szCs w:val="24"/>
              </w:rPr>
              <w:t>2</w:t>
            </w:r>
          </w:p>
        </w:tc>
        <w:tc>
          <w:tcPr>
            <w:tcW w:w="1334" w:type="dxa"/>
            <w:vAlign w:val="center"/>
          </w:tcPr>
          <w:p w:rsidR="00AC386C" w:rsidRDefault="0012782E">
            <w:pPr>
              <w:jc w:val="center"/>
            </w:pPr>
            <w:r>
              <w:rPr>
                <w:color w:val="000000"/>
                <w:sz w:val="24"/>
                <w:szCs w:val="24"/>
              </w:rPr>
              <w:t>002120</w:t>
            </w:r>
          </w:p>
        </w:tc>
        <w:tc>
          <w:tcPr>
            <w:tcW w:w="1777" w:type="dxa"/>
            <w:vAlign w:val="center"/>
          </w:tcPr>
          <w:p w:rsidR="00AC386C" w:rsidRDefault="0012782E">
            <w:pPr>
              <w:jc w:val="center"/>
            </w:pPr>
            <w:r>
              <w:rPr>
                <w:color w:val="000000"/>
                <w:sz w:val="24"/>
                <w:szCs w:val="24"/>
              </w:rPr>
              <w:t>新海股份</w:t>
            </w:r>
          </w:p>
        </w:tc>
        <w:tc>
          <w:tcPr>
            <w:tcW w:w="1334" w:type="dxa"/>
            <w:vAlign w:val="center"/>
          </w:tcPr>
          <w:p w:rsidR="00AC386C" w:rsidRDefault="0012782E">
            <w:pPr>
              <w:jc w:val="right"/>
            </w:pPr>
            <w:r>
              <w:rPr>
                <w:color w:val="000000"/>
                <w:sz w:val="24"/>
                <w:szCs w:val="24"/>
              </w:rPr>
              <w:t>1,149,970</w:t>
            </w:r>
          </w:p>
        </w:tc>
        <w:tc>
          <w:tcPr>
            <w:tcW w:w="1924" w:type="dxa"/>
            <w:vAlign w:val="center"/>
          </w:tcPr>
          <w:p w:rsidR="00AC386C" w:rsidRDefault="0012782E">
            <w:pPr>
              <w:jc w:val="right"/>
            </w:pPr>
            <w:r>
              <w:rPr>
                <w:color w:val="000000"/>
                <w:sz w:val="24"/>
                <w:szCs w:val="24"/>
              </w:rPr>
              <w:t>58,188,482.00</w:t>
            </w:r>
          </w:p>
        </w:tc>
        <w:tc>
          <w:tcPr>
            <w:tcW w:w="1644" w:type="dxa"/>
            <w:vAlign w:val="center"/>
          </w:tcPr>
          <w:p w:rsidR="00AC386C" w:rsidRDefault="0012782E">
            <w:pPr>
              <w:jc w:val="right"/>
            </w:pPr>
            <w:r>
              <w:rPr>
                <w:color w:val="000000"/>
                <w:sz w:val="24"/>
                <w:szCs w:val="24"/>
              </w:rPr>
              <w:t>5.98</w:t>
            </w:r>
          </w:p>
        </w:tc>
      </w:tr>
      <w:tr w:rsidR="00AC386C">
        <w:trPr>
          <w:jc w:val="center"/>
        </w:trPr>
        <w:tc>
          <w:tcPr>
            <w:tcW w:w="855" w:type="dxa"/>
            <w:vAlign w:val="center"/>
          </w:tcPr>
          <w:p w:rsidR="00AC386C" w:rsidRDefault="0012782E">
            <w:pPr>
              <w:jc w:val="center"/>
            </w:pPr>
            <w:r>
              <w:rPr>
                <w:color w:val="000000"/>
                <w:sz w:val="24"/>
                <w:szCs w:val="24"/>
              </w:rPr>
              <w:t>3</w:t>
            </w:r>
          </w:p>
        </w:tc>
        <w:tc>
          <w:tcPr>
            <w:tcW w:w="1334" w:type="dxa"/>
            <w:vAlign w:val="center"/>
          </w:tcPr>
          <w:p w:rsidR="00AC386C" w:rsidRDefault="0012782E">
            <w:pPr>
              <w:jc w:val="center"/>
            </w:pPr>
            <w:r>
              <w:rPr>
                <w:color w:val="000000"/>
                <w:sz w:val="24"/>
                <w:szCs w:val="24"/>
              </w:rPr>
              <w:t>000820</w:t>
            </w:r>
          </w:p>
        </w:tc>
        <w:tc>
          <w:tcPr>
            <w:tcW w:w="1777" w:type="dxa"/>
            <w:vAlign w:val="center"/>
          </w:tcPr>
          <w:p w:rsidR="00AC386C" w:rsidRDefault="0012782E">
            <w:pPr>
              <w:jc w:val="center"/>
            </w:pPr>
            <w:r>
              <w:rPr>
                <w:color w:val="000000"/>
                <w:sz w:val="24"/>
                <w:szCs w:val="24"/>
              </w:rPr>
              <w:t>金城股份</w:t>
            </w:r>
          </w:p>
        </w:tc>
        <w:tc>
          <w:tcPr>
            <w:tcW w:w="1334" w:type="dxa"/>
            <w:vAlign w:val="center"/>
          </w:tcPr>
          <w:p w:rsidR="00AC386C" w:rsidRDefault="0012782E">
            <w:pPr>
              <w:jc w:val="right"/>
            </w:pPr>
            <w:r>
              <w:rPr>
                <w:color w:val="000000"/>
                <w:sz w:val="24"/>
                <w:szCs w:val="24"/>
              </w:rPr>
              <w:t>2,000,382</w:t>
            </w:r>
          </w:p>
        </w:tc>
        <w:tc>
          <w:tcPr>
            <w:tcW w:w="1924" w:type="dxa"/>
            <w:vAlign w:val="center"/>
          </w:tcPr>
          <w:p w:rsidR="00AC386C" w:rsidRDefault="0012782E">
            <w:pPr>
              <w:jc w:val="right"/>
            </w:pPr>
            <w:r>
              <w:rPr>
                <w:color w:val="000000"/>
                <w:sz w:val="24"/>
                <w:szCs w:val="24"/>
              </w:rPr>
              <w:t>49,909,530.90</w:t>
            </w:r>
          </w:p>
        </w:tc>
        <w:tc>
          <w:tcPr>
            <w:tcW w:w="1644" w:type="dxa"/>
            <w:vAlign w:val="center"/>
          </w:tcPr>
          <w:p w:rsidR="00AC386C" w:rsidRDefault="0012782E">
            <w:pPr>
              <w:jc w:val="right"/>
            </w:pPr>
            <w:r>
              <w:rPr>
                <w:color w:val="000000"/>
                <w:sz w:val="24"/>
                <w:szCs w:val="24"/>
              </w:rPr>
              <w:t>5.13</w:t>
            </w:r>
          </w:p>
        </w:tc>
      </w:tr>
      <w:tr w:rsidR="00AC386C">
        <w:trPr>
          <w:jc w:val="center"/>
        </w:trPr>
        <w:tc>
          <w:tcPr>
            <w:tcW w:w="855" w:type="dxa"/>
            <w:vAlign w:val="center"/>
          </w:tcPr>
          <w:p w:rsidR="00AC386C" w:rsidRDefault="0012782E">
            <w:pPr>
              <w:jc w:val="center"/>
            </w:pPr>
            <w:r>
              <w:rPr>
                <w:color w:val="000000"/>
                <w:sz w:val="24"/>
                <w:szCs w:val="24"/>
              </w:rPr>
              <w:t>4</w:t>
            </w:r>
          </w:p>
        </w:tc>
        <w:tc>
          <w:tcPr>
            <w:tcW w:w="1334" w:type="dxa"/>
            <w:vAlign w:val="center"/>
          </w:tcPr>
          <w:p w:rsidR="00AC386C" w:rsidRDefault="0012782E">
            <w:pPr>
              <w:jc w:val="center"/>
            </w:pPr>
            <w:r>
              <w:rPr>
                <w:color w:val="000000"/>
                <w:sz w:val="24"/>
                <w:szCs w:val="24"/>
              </w:rPr>
              <w:t>000651</w:t>
            </w:r>
          </w:p>
        </w:tc>
        <w:tc>
          <w:tcPr>
            <w:tcW w:w="1777" w:type="dxa"/>
            <w:vAlign w:val="center"/>
          </w:tcPr>
          <w:p w:rsidR="00AC386C" w:rsidRDefault="0012782E">
            <w:pPr>
              <w:jc w:val="center"/>
            </w:pPr>
            <w:r>
              <w:rPr>
                <w:color w:val="000000"/>
                <w:sz w:val="24"/>
                <w:szCs w:val="24"/>
              </w:rPr>
              <w:t>格力电器</w:t>
            </w:r>
          </w:p>
        </w:tc>
        <w:tc>
          <w:tcPr>
            <w:tcW w:w="1334" w:type="dxa"/>
            <w:vAlign w:val="center"/>
          </w:tcPr>
          <w:p w:rsidR="00AC386C" w:rsidRDefault="0012782E">
            <w:pPr>
              <w:jc w:val="right"/>
            </w:pPr>
            <w:r>
              <w:rPr>
                <w:color w:val="000000"/>
                <w:sz w:val="24"/>
                <w:szCs w:val="24"/>
              </w:rPr>
              <w:t>2,009,700</w:t>
            </w:r>
          </w:p>
        </w:tc>
        <w:tc>
          <w:tcPr>
            <w:tcW w:w="1924" w:type="dxa"/>
            <w:vAlign w:val="center"/>
          </w:tcPr>
          <w:p w:rsidR="00AC386C" w:rsidRDefault="0012782E">
            <w:pPr>
              <w:jc w:val="right"/>
            </w:pPr>
            <w:r>
              <w:rPr>
                <w:color w:val="000000"/>
                <w:sz w:val="24"/>
                <w:szCs w:val="24"/>
              </w:rPr>
              <w:t>44,655,534.00</w:t>
            </w:r>
          </w:p>
        </w:tc>
        <w:tc>
          <w:tcPr>
            <w:tcW w:w="1644" w:type="dxa"/>
            <w:vAlign w:val="center"/>
          </w:tcPr>
          <w:p w:rsidR="00AC386C" w:rsidRDefault="0012782E">
            <w:pPr>
              <w:jc w:val="right"/>
            </w:pPr>
            <w:r>
              <w:rPr>
                <w:color w:val="000000"/>
                <w:sz w:val="24"/>
                <w:szCs w:val="24"/>
              </w:rPr>
              <w:t>4.59</w:t>
            </w:r>
          </w:p>
        </w:tc>
      </w:tr>
      <w:tr w:rsidR="00AC386C">
        <w:trPr>
          <w:jc w:val="center"/>
        </w:trPr>
        <w:tc>
          <w:tcPr>
            <w:tcW w:w="855" w:type="dxa"/>
            <w:vAlign w:val="center"/>
          </w:tcPr>
          <w:p w:rsidR="00AC386C" w:rsidRDefault="0012782E">
            <w:pPr>
              <w:jc w:val="center"/>
            </w:pPr>
            <w:r>
              <w:rPr>
                <w:color w:val="000000"/>
                <w:sz w:val="24"/>
                <w:szCs w:val="24"/>
              </w:rPr>
              <w:t>5</w:t>
            </w:r>
          </w:p>
        </w:tc>
        <w:tc>
          <w:tcPr>
            <w:tcW w:w="1334" w:type="dxa"/>
            <w:vAlign w:val="center"/>
          </w:tcPr>
          <w:p w:rsidR="00AC386C" w:rsidRDefault="0012782E">
            <w:pPr>
              <w:jc w:val="center"/>
            </w:pPr>
            <w:r>
              <w:rPr>
                <w:color w:val="000000"/>
                <w:sz w:val="24"/>
                <w:szCs w:val="24"/>
              </w:rPr>
              <w:t>600233</w:t>
            </w:r>
          </w:p>
        </w:tc>
        <w:tc>
          <w:tcPr>
            <w:tcW w:w="1777" w:type="dxa"/>
            <w:vAlign w:val="center"/>
          </w:tcPr>
          <w:p w:rsidR="00AC386C" w:rsidRDefault="0012782E">
            <w:pPr>
              <w:jc w:val="center"/>
            </w:pPr>
            <w:r>
              <w:rPr>
                <w:color w:val="000000"/>
                <w:sz w:val="24"/>
                <w:szCs w:val="24"/>
              </w:rPr>
              <w:t>大杨创世</w:t>
            </w:r>
          </w:p>
        </w:tc>
        <w:tc>
          <w:tcPr>
            <w:tcW w:w="1334" w:type="dxa"/>
            <w:vAlign w:val="center"/>
          </w:tcPr>
          <w:p w:rsidR="00AC386C" w:rsidRDefault="0012782E">
            <w:pPr>
              <w:jc w:val="right"/>
            </w:pPr>
            <w:r>
              <w:rPr>
                <w:color w:val="000000"/>
                <w:sz w:val="24"/>
                <w:szCs w:val="24"/>
              </w:rPr>
              <w:t>1,500,000</w:t>
            </w:r>
          </w:p>
        </w:tc>
        <w:tc>
          <w:tcPr>
            <w:tcW w:w="1924" w:type="dxa"/>
            <w:vAlign w:val="center"/>
          </w:tcPr>
          <w:p w:rsidR="00AC386C" w:rsidRDefault="0012782E">
            <w:pPr>
              <w:jc w:val="right"/>
            </w:pPr>
            <w:r>
              <w:rPr>
                <w:color w:val="000000"/>
                <w:sz w:val="24"/>
                <w:szCs w:val="24"/>
              </w:rPr>
              <w:t>42,615,000.00</w:t>
            </w:r>
          </w:p>
        </w:tc>
        <w:tc>
          <w:tcPr>
            <w:tcW w:w="1644" w:type="dxa"/>
            <w:vAlign w:val="center"/>
          </w:tcPr>
          <w:p w:rsidR="00AC386C" w:rsidRDefault="0012782E">
            <w:pPr>
              <w:jc w:val="right"/>
            </w:pPr>
            <w:r>
              <w:rPr>
                <w:color w:val="000000"/>
                <w:sz w:val="24"/>
                <w:szCs w:val="24"/>
              </w:rPr>
              <w:t>4.38</w:t>
            </w:r>
          </w:p>
        </w:tc>
      </w:tr>
      <w:tr w:rsidR="00AC386C">
        <w:trPr>
          <w:jc w:val="center"/>
        </w:trPr>
        <w:tc>
          <w:tcPr>
            <w:tcW w:w="855" w:type="dxa"/>
            <w:vAlign w:val="center"/>
          </w:tcPr>
          <w:p w:rsidR="00AC386C" w:rsidRDefault="0012782E">
            <w:pPr>
              <w:jc w:val="center"/>
            </w:pPr>
            <w:r>
              <w:rPr>
                <w:color w:val="000000"/>
                <w:sz w:val="24"/>
                <w:szCs w:val="24"/>
              </w:rPr>
              <w:t>6</w:t>
            </w:r>
          </w:p>
        </w:tc>
        <w:tc>
          <w:tcPr>
            <w:tcW w:w="1334" w:type="dxa"/>
            <w:vAlign w:val="center"/>
          </w:tcPr>
          <w:p w:rsidR="00AC386C" w:rsidRDefault="0012782E">
            <w:pPr>
              <w:jc w:val="center"/>
            </w:pPr>
            <w:r>
              <w:rPr>
                <w:color w:val="000000"/>
                <w:sz w:val="24"/>
                <w:szCs w:val="24"/>
              </w:rPr>
              <w:t>002045</w:t>
            </w:r>
          </w:p>
        </w:tc>
        <w:tc>
          <w:tcPr>
            <w:tcW w:w="1777" w:type="dxa"/>
            <w:vAlign w:val="center"/>
          </w:tcPr>
          <w:p w:rsidR="00AC386C" w:rsidRDefault="0012782E">
            <w:pPr>
              <w:jc w:val="center"/>
            </w:pPr>
            <w:r>
              <w:rPr>
                <w:color w:val="000000"/>
                <w:sz w:val="24"/>
                <w:szCs w:val="24"/>
              </w:rPr>
              <w:t>国光电器</w:t>
            </w:r>
          </w:p>
        </w:tc>
        <w:tc>
          <w:tcPr>
            <w:tcW w:w="1334" w:type="dxa"/>
            <w:vAlign w:val="center"/>
          </w:tcPr>
          <w:p w:rsidR="00AC386C" w:rsidRDefault="0012782E">
            <w:pPr>
              <w:jc w:val="right"/>
            </w:pPr>
            <w:r>
              <w:rPr>
                <w:color w:val="000000"/>
                <w:sz w:val="24"/>
                <w:szCs w:val="24"/>
              </w:rPr>
              <w:t>2,999,953</w:t>
            </w:r>
          </w:p>
        </w:tc>
        <w:tc>
          <w:tcPr>
            <w:tcW w:w="1924" w:type="dxa"/>
            <w:vAlign w:val="center"/>
          </w:tcPr>
          <w:p w:rsidR="00AC386C" w:rsidRDefault="0012782E">
            <w:pPr>
              <w:jc w:val="right"/>
            </w:pPr>
            <w:r>
              <w:rPr>
                <w:color w:val="000000"/>
                <w:sz w:val="24"/>
                <w:szCs w:val="24"/>
              </w:rPr>
              <w:t>38,039,404.04</w:t>
            </w:r>
          </w:p>
        </w:tc>
        <w:tc>
          <w:tcPr>
            <w:tcW w:w="1644" w:type="dxa"/>
            <w:vAlign w:val="center"/>
          </w:tcPr>
          <w:p w:rsidR="00AC386C" w:rsidRDefault="0012782E">
            <w:pPr>
              <w:jc w:val="right"/>
            </w:pPr>
            <w:r>
              <w:rPr>
                <w:color w:val="000000"/>
                <w:sz w:val="24"/>
                <w:szCs w:val="24"/>
              </w:rPr>
              <w:t>3.91</w:t>
            </w:r>
          </w:p>
        </w:tc>
      </w:tr>
      <w:tr w:rsidR="00AC386C">
        <w:trPr>
          <w:jc w:val="center"/>
        </w:trPr>
        <w:tc>
          <w:tcPr>
            <w:tcW w:w="855" w:type="dxa"/>
            <w:vAlign w:val="center"/>
          </w:tcPr>
          <w:p w:rsidR="00AC386C" w:rsidRDefault="0012782E">
            <w:pPr>
              <w:jc w:val="center"/>
            </w:pPr>
            <w:r>
              <w:rPr>
                <w:color w:val="000000"/>
                <w:sz w:val="24"/>
                <w:szCs w:val="24"/>
              </w:rPr>
              <w:t>7</w:t>
            </w:r>
          </w:p>
        </w:tc>
        <w:tc>
          <w:tcPr>
            <w:tcW w:w="1334" w:type="dxa"/>
            <w:vAlign w:val="center"/>
          </w:tcPr>
          <w:p w:rsidR="00AC386C" w:rsidRDefault="0012782E">
            <w:pPr>
              <w:jc w:val="center"/>
            </w:pPr>
            <w:r>
              <w:rPr>
                <w:color w:val="000000"/>
                <w:sz w:val="24"/>
                <w:szCs w:val="24"/>
              </w:rPr>
              <w:t>300203</w:t>
            </w:r>
          </w:p>
        </w:tc>
        <w:tc>
          <w:tcPr>
            <w:tcW w:w="1777" w:type="dxa"/>
            <w:vAlign w:val="center"/>
          </w:tcPr>
          <w:p w:rsidR="00AC386C" w:rsidRDefault="0012782E">
            <w:pPr>
              <w:jc w:val="center"/>
            </w:pPr>
            <w:r>
              <w:rPr>
                <w:color w:val="000000"/>
                <w:sz w:val="24"/>
                <w:szCs w:val="24"/>
              </w:rPr>
              <w:t>聚光科技</w:t>
            </w:r>
          </w:p>
        </w:tc>
        <w:tc>
          <w:tcPr>
            <w:tcW w:w="1334" w:type="dxa"/>
            <w:vAlign w:val="center"/>
          </w:tcPr>
          <w:p w:rsidR="00AC386C" w:rsidRDefault="0012782E">
            <w:pPr>
              <w:jc w:val="right"/>
            </w:pPr>
            <w:r>
              <w:rPr>
                <w:color w:val="000000"/>
                <w:sz w:val="24"/>
                <w:szCs w:val="24"/>
              </w:rPr>
              <w:t>1,000,472</w:t>
            </w:r>
          </w:p>
        </w:tc>
        <w:tc>
          <w:tcPr>
            <w:tcW w:w="1924" w:type="dxa"/>
            <w:vAlign w:val="center"/>
          </w:tcPr>
          <w:p w:rsidR="00AC386C" w:rsidRDefault="0012782E">
            <w:pPr>
              <w:jc w:val="right"/>
            </w:pPr>
            <w:r>
              <w:rPr>
                <w:color w:val="000000"/>
                <w:sz w:val="24"/>
                <w:szCs w:val="24"/>
              </w:rPr>
              <w:t>32,905,524.08</w:t>
            </w:r>
          </w:p>
        </w:tc>
        <w:tc>
          <w:tcPr>
            <w:tcW w:w="1644" w:type="dxa"/>
            <w:vAlign w:val="center"/>
          </w:tcPr>
          <w:p w:rsidR="00AC386C" w:rsidRDefault="0012782E">
            <w:pPr>
              <w:jc w:val="right"/>
            </w:pPr>
            <w:r>
              <w:rPr>
                <w:color w:val="000000"/>
                <w:sz w:val="24"/>
                <w:szCs w:val="24"/>
              </w:rPr>
              <w:t>3.38</w:t>
            </w:r>
          </w:p>
        </w:tc>
      </w:tr>
      <w:tr w:rsidR="00AC386C">
        <w:trPr>
          <w:jc w:val="center"/>
        </w:trPr>
        <w:tc>
          <w:tcPr>
            <w:tcW w:w="855" w:type="dxa"/>
            <w:vAlign w:val="center"/>
          </w:tcPr>
          <w:p w:rsidR="00AC386C" w:rsidRDefault="0012782E">
            <w:pPr>
              <w:jc w:val="center"/>
            </w:pPr>
            <w:r>
              <w:rPr>
                <w:color w:val="000000"/>
                <w:sz w:val="24"/>
                <w:szCs w:val="24"/>
              </w:rPr>
              <w:t>8</w:t>
            </w:r>
          </w:p>
        </w:tc>
        <w:tc>
          <w:tcPr>
            <w:tcW w:w="1334" w:type="dxa"/>
            <w:vAlign w:val="center"/>
          </w:tcPr>
          <w:p w:rsidR="00AC386C" w:rsidRDefault="0012782E">
            <w:pPr>
              <w:jc w:val="center"/>
            </w:pPr>
            <w:r>
              <w:rPr>
                <w:color w:val="000000"/>
                <w:sz w:val="24"/>
                <w:szCs w:val="24"/>
              </w:rPr>
              <w:t>300115</w:t>
            </w:r>
          </w:p>
        </w:tc>
        <w:tc>
          <w:tcPr>
            <w:tcW w:w="1777" w:type="dxa"/>
            <w:vAlign w:val="center"/>
          </w:tcPr>
          <w:p w:rsidR="00AC386C" w:rsidRDefault="0012782E">
            <w:pPr>
              <w:jc w:val="center"/>
            </w:pPr>
            <w:r>
              <w:rPr>
                <w:color w:val="000000"/>
                <w:sz w:val="24"/>
                <w:szCs w:val="24"/>
              </w:rPr>
              <w:t>长盈精密</w:t>
            </w:r>
          </w:p>
        </w:tc>
        <w:tc>
          <w:tcPr>
            <w:tcW w:w="1334" w:type="dxa"/>
            <w:vAlign w:val="center"/>
          </w:tcPr>
          <w:p w:rsidR="00AC386C" w:rsidRDefault="0012782E">
            <w:pPr>
              <w:jc w:val="right"/>
            </w:pPr>
            <w:r>
              <w:rPr>
                <w:color w:val="000000"/>
                <w:sz w:val="24"/>
                <w:szCs w:val="24"/>
              </w:rPr>
              <w:t>1,172,481</w:t>
            </w:r>
          </w:p>
        </w:tc>
        <w:tc>
          <w:tcPr>
            <w:tcW w:w="1924" w:type="dxa"/>
            <w:vAlign w:val="center"/>
          </w:tcPr>
          <w:p w:rsidR="00AC386C" w:rsidRDefault="0012782E">
            <w:pPr>
              <w:jc w:val="right"/>
            </w:pPr>
            <w:r>
              <w:rPr>
                <w:color w:val="000000"/>
                <w:sz w:val="24"/>
                <w:szCs w:val="24"/>
              </w:rPr>
              <w:t>32,583,246.99</w:t>
            </w:r>
          </w:p>
        </w:tc>
        <w:tc>
          <w:tcPr>
            <w:tcW w:w="1644" w:type="dxa"/>
            <w:vAlign w:val="center"/>
          </w:tcPr>
          <w:p w:rsidR="00AC386C" w:rsidRDefault="0012782E">
            <w:pPr>
              <w:jc w:val="right"/>
            </w:pPr>
            <w:r>
              <w:rPr>
                <w:color w:val="000000"/>
                <w:sz w:val="24"/>
                <w:szCs w:val="24"/>
              </w:rPr>
              <w:t>3.35</w:t>
            </w:r>
          </w:p>
        </w:tc>
      </w:tr>
      <w:tr w:rsidR="00AC386C">
        <w:trPr>
          <w:jc w:val="center"/>
        </w:trPr>
        <w:tc>
          <w:tcPr>
            <w:tcW w:w="855" w:type="dxa"/>
            <w:vAlign w:val="center"/>
          </w:tcPr>
          <w:p w:rsidR="00AC386C" w:rsidRDefault="0012782E">
            <w:pPr>
              <w:jc w:val="center"/>
            </w:pPr>
            <w:r>
              <w:rPr>
                <w:color w:val="000000"/>
                <w:sz w:val="24"/>
                <w:szCs w:val="24"/>
              </w:rPr>
              <w:t>9</w:t>
            </w:r>
          </w:p>
        </w:tc>
        <w:tc>
          <w:tcPr>
            <w:tcW w:w="1334" w:type="dxa"/>
            <w:vAlign w:val="center"/>
          </w:tcPr>
          <w:p w:rsidR="00AC386C" w:rsidRDefault="0012782E">
            <w:pPr>
              <w:jc w:val="center"/>
            </w:pPr>
            <w:r>
              <w:rPr>
                <w:color w:val="000000"/>
                <w:sz w:val="24"/>
                <w:szCs w:val="24"/>
              </w:rPr>
              <w:t>600486</w:t>
            </w:r>
          </w:p>
        </w:tc>
        <w:tc>
          <w:tcPr>
            <w:tcW w:w="1777" w:type="dxa"/>
            <w:vAlign w:val="center"/>
          </w:tcPr>
          <w:p w:rsidR="00AC386C" w:rsidRDefault="0012782E">
            <w:pPr>
              <w:jc w:val="center"/>
            </w:pPr>
            <w:r>
              <w:rPr>
                <w:color w:val="000000"/>
                <w:sz w:val="24"/>
                <w:szCs w:val="24"/>
              </w:rPr>
              <w:t>扬农化工</w:t>
            </w:r>
          </w:p>
        </w:tc>
        <w:tc>
          <w:tcPr>
            <w:tcW w:w="1334" w:type="dxa"/>
            <w:vAlign w:val="center"/>
          </w:tcPr>
          <w:p w:rsidR="00AC386C" w:rsidRDefault="0012782E">
            <w:pPr>
              <w:jc w:val="right"/>
            </w:pPr>
            <w:r>
              <w:rPr>
                <w:color w:val="000000"/>
                <w:sz w:val="24"/>
                <w:szCs w:val="24"/>
              </w:rPr>
              <w:t>1,000,022</w:t>
            </w:r>
          </w:p>
        </w:tc>
        <w:tc>
          <w:tcPr>
            <w:tcW w:w="1924" w:type="dxa"/>
            <w:vAlign w:val="center"/>
          </w:tcPr>
          <w:p w:rsidR="00AC386C" w:rsidRDefault="0012782E">
            <w:pPr>
              <w:jc w:val="right"/>
            </w:pPr>
            <w:r>
              <w:rPr>
                <w:color w:val="000000"/>
                <w:sz w:val="24"/>
                <w:szCs w:val="24"/>
              </w:rPr>
              <w:t>31,390,690.58</w:t>
            </w:r>
          </w:p>
        </w:tc>
        <w:tc>
          <w:tcPr>
            <w:tcW w:w="1644" w:type="dxa"/>
            <w:vAlign w:val="center"/>
          </w:tcPr>
          <w:p w:rsidR="00AC386C" w:rsidRDefault="0012782E">
            <w:pPr>
              <w:jc w:val="right"/>
            </w:pPr>
            <w:r>
              <w:rPr>
                <w:color w:val="000000"/>
                <w:sz w:val="24"/>
                <w:szCs w:val="24"/>
              </w:rPr>
              <w:t>3.23</w:t>
            </w:r>
          </w:p>
        </w:tc>
      </w:tr>
      <w:tr w:rsidR="00AC386C">
        <w:trPr>
          <w:jc w:val="center"/>
        </w:trPr>
        <w:tc>
          <w:tcPr>
            <w:tcW w:w="855" w:type="dxa"/>
            <w:vAlign w:val="center"/>
          </w:tcPr>
          <w:p w:rsidR="00AC386C" w:rsidRDefault="0012782E">
            <w:pPr>
              <w:jc w:val="center"/>
            </w:pPr>
            <w:r>
              <w:rPr>
                <w:color w:val="000000"/>
                <w:sz w:val="24"/>
                <w:szCs w:val="24"/>
              </w:rPr>
              <w:t>10</w:t>
            </w:r>
          </w:p>
        </w:tc>
        <w:tc>
          <w:tcPr>
            <w:tcW w:w="1334" w:type="dxa"/>
            <w:vAlign w:val="center"/>
          </w:tcPr>
          <w:p w:rsidR="00AC386C" w:rsidRDefault="0012782E">
            <w:pPr>
              <w:jc w:val="center"/>
            </w:pPr>
            <w:r>
              <w:rPr>
                <w:color w:val="000000"/>
                <w:sz w:val="24"/>
                <w:szCs w:val="24"/>
              </w:rPr>
              <w:t>600521</w:t>
            </w:r>
          </w:p>
        </w:tc>
        <w:tc>
          <w:tcPr>
            <w:tcW w:w="1777" w:type="dxa"/>
            <w:vAlign w:val="center"/>
          </w:tcPr>
          <w:p w:rsidR="00AC386C" w:rsidRDefault="0012782E">
            <w:pPr>
              <w:jc w:val="center"/>
            </w:pPr>
            <w:r>
              <w:rPr>
                <w:color w:val="000000"/>
                <w:sz w:val="24"/>
                <w:szCs w:val="24"/>
              </w:rPr>
              <w:t>华海药业</w:t>
            </w:r>
          </w:p>
        </w:tc>
        <w:tc>
          <w:tcPr>
            <w:tcW w:w="1334" w:type="dxa"/>
            <w:vAlign w:val="center"/>
          </w:tcPr>
          <w:p w:rsidR="00AC386C" w:rsidRDefault="0012782E">
            <w:pPr>
              <w:jc w:val="right"/>
            </w:pPr>
            <w:r>
              <w:rPr>
                <w:color w:val="000000"/>
                <w:sz w:val="24"/>
                <w:szCs w:val="24"/>
              </w:rPr>
              <w:t>1,204,930</w:t>
            </w:r>
          </w:p>
        </w:tc>
        <w:tc>
          <w:tcPr>
            <w:tcW w:w="1924" w:type="dxa"/>
            <w:vAlign w:val="center"/>
          </w:tcPr>
          <w:p w:rsidR="00AC386C" w:rsidRDefault="0012782E">
            <w:pPr>
              <w:jc w:val="right"/>
            </w:pPr>
            <w:r>
              <w:rPr>
                <w:color w:val="000000"/>
                <w:sz w:val="24"/>
                <w:szCs w:val="24"/>
              </w:rPr>
              <w:t>31,231,785.60</w:t>
            </w:r>
          </w:p>
        </w:tc>
        <w:tc>
          <w:tcPr>
            <w:tcW w:w="1644" w:type="dxa"/>
            <w:vAlign w:val="center"/>
          </w:tcPr>
          <w:p w:rsidR="00AC386C" w:rsidRDefault="0012782E">
            <w:pPr>
              <w:jc w:val="right"/>
            </w:pPr>
            <w:r>
              <w:rPr>
                <w:color w:val="000000"/>
                <w:sz w:val="24"/>
                <w:szCs w:val="24"/>
              </w:rPr>
              <w:t>3.21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472,699.98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74,989,929.81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33,342.22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439,769.41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75,935,741.42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180,451,451.18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3,244,961,245.72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2,583,757,591.82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841,655,105.08</w:t>
            </w:r>
          </w:p>
        </w:tc>
      </w:tr>
    </w:tbl>
    <w:p w:rsidR="00AC386C" w:rsidRDefault="0012782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20,001,800.00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9,050,588.24</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29,052,388.24</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3.45</w:t>
            </w:r>
          </w:p>
        </w:tc>
      </w:tr>
    </w:tbl>
    <w:p w:rsidR="00AC386C" w:rsidRDefault="0012782E">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12782E">
      <w:pPr>
        <w:autoSpaceDE w:val="0"/>
        <w:autoSpaceDN w:val="0"/>
        <w:adjustRightInd w:val="0"/>
        <w:spacing w:before="29" w:line="288" w:lineRule="auto"/>
        <w:ind w:firstLineChars="200" w:firstLine="480"/>
        <w:jc w:val="left"/>
        <w:rPr>
          <w:rFonts w:eastAsiaTheme="minorEastAsia"/>
          <w:color w:val="000000"/>
          <w:sz w:val="24"/>
        </w:rPr>
      </w:pPr>
      <w:r w:rsidRPr="00ED2620">
        <w:rPr>
          <w:rFonts w:eastAsiaTheme="minorEastAsia"/>
          <w:color w:val="000000"/>
          <w:sz w:val="24"/>
        </w:rPr>
        <w:t>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6D1D2D" w:rsidRPr="008A3BCC" w:rsidRDefault="006D1D2D" w:rsidP="006D1D2D">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583"/>
        <w:gridCol w:w="1510"/>
        <w:gridCol w:w="1633"/>
        <w:gridCol w:w="1767"/>
        <w:gridCol w:w="1343"/>
      </w:tblGrid>
      <w:tr w:rsidR="006D1D2D" w:rsidRPr="007F52FA" w:rsidTr="001F4E10">
        <w:trPr>
          <w:trHeight w:val="340"/>
          <w:jc w:val="center"/>
        </w:trPr>
        <w:tc>
          <w:tcPr>
            <w:tcW w:w="1032" w:type="dxa"/>
            <w:vAlign w:val="center"/>
          </w:tcPr>
          <w:p w:rsidR="006D1D2D" w:rsidRPr="007F52FA" w:rsidRDefault="006D1D2D" w:rsidP="001F4E10">
            <w:pPr>
              <w:pStyle w:val="ad"/>
              <w:adjustRightInd w:val="0"/>
              <w:snapToGrid w:val="0"/>
              <w:spacing w:before="29" w:line="288" w:lineRule="auto"/>
              <w:jc w:val="center"/>
              <w:rPr>
                <w:color w:val="000000"/>
                <w:kern w:val="0"/>
              </w:rPr>
            </w:pPr>
            <w:r w:rsidRPr="007F52FA">
              <w:rPr>
                <w:color w:val="000000"/>
                <w:kern w:val="0"/>
              </w:rPr>
              <w:t>序号</w:t>
            </w:r>
          </w:p>
        </w:tc>
        <w:tc>
          <w:tcPr>
            <w:tcW w:w="1583" w:type="dxa"/>
            <w:vAlign w:val="center"/>
          </w:tcPr>
          <w:p w:rsidR="006D1D2D" w:rsidRPr="007F52FA" w:rsidRDefault="006D1D2D" w:rsidP="001F4E10">
            <w:pPr>
              <w:adjustRightInd w:val="0"/>
              <w:snapToGrid w:val="0"/>
              <w:spacing w:before="29" w:line="288" w:lineRule="auto"/>
              <w:jc w:val="center"/>
              <w:rPr>
                <w:color w:val="000000"/>
                <w:kern w:val="0"/>
                <w:sz w:val="24"/>
              </w:rPr>
            </w:pPr>
            <w:r w:rsidRPr="007F52FA">
              <w:rPr>
                <w:color w:val="000000"/>
                <w:kern w:val="0"/>
                <w:sz w:val="24"/>
              </w:rPr>
              <w:t>交易方式</w:t>
            </w:r>
          </w:p>
        </w:tc>
        <w:tc>
          <w:tcPr>
            <w:tcW w:w="1510" w:type="dxa"/>
            <w:vAlign w:val="center"/>
          </w:tcPr>
          <w:p w:rsidR="006D1D2D" w:rsidRPr="007F52FA" w:rsidRDefault="006D1D2D" w:rsidP="001F4E10">
            <w:pPr>
              <w:adjustRightInd w:val="0"/>
              <w:snapToGrid w:val="0"/>
              <w:spacing w:before="29" w:line="288" w:lineRule="auto"/>
              <w:rPr>
                <w:color w:val="000000"/>
                <w:kern w:val="0"/>
                <w:sz w:val="24"/>
              </w:rPr>
            </w:pPr>
            <w:r w:rsidRPr="007F52FA">
              <w:rPr>
                <w:color w:val="000000"/>
                <w:kern w:val="0"/>
                <w:sz w:val="24"/>
              </w:rPr>
              <w:t>交易日期</w:t>
            </w:r>
          </w:p>
        </w:tc>
        <w:tc>
          <w:tcPr>
            <w:tcW w:w="1633" w:type="dxa"/>
            <w:vAlign w:val="center"/>
          </w:tcPr>
          <w:p w:rsidR="006D1D2D" w:rsidRPr="007F52FA" w:rsidRDefault="006D1D2D" w:rsidP="001F4E10">
            <w:pPr>
              <w:adjustRightInd w:val="0"/>
              <w:snapToGrid w:val="0"/>
              <w:spacing w:before="29" w:line="288" w:lineRule="auto"/>
              <w:jc w:val="center"/>
              <w:rPr>
                <w:color w:val="000000"/>
                <w:kern w:val="0"/>
                <w:sz w:val="24"/>
              </w:rPr>
            </w:pPr>
            <w:r w:rsidRPr="007F52FA">
              <w:rPr>
                <w:color w:val="000000"/>
                <w:kern w:val="0"/>
                <w:sz w:val="24"/>
              </w:rPr>
              <w:t>交易份额（份）</w:t>
            </w:r>
          </w:p>
        </w:tc>
        <w:tc>
          <w:tcPr>
            <w:tcW w:w="1767" w:type="dxa"/>
            <w:vAlign w:val="center"/>
          </w:tcPr>
          <w:p w:rsidR="006D1D2D" w:rsidRPr="007F52FA" w:rsidRDefault="006D1D2D" w:rsidP="001F4E10">
            <w:pPr>
              <w:adjustRightInd w:val="0"/>
              <w:snapToGrid w:val="0"/>
              <w:spacing w:before="29" w:line="288" w:lineRule="auto"/>
              <w:jc w:val="center"/>
              <w:rPr>
                <w:color w:val="000000"/>
                <w:kern w:val="0"/>
                <w:sz w:val="24"/>
              </w:rPr>
            </w:pPr>
            <w:r w:rsidRPr="007F52FA">
              <w:rPr>
                <w:color w:val="000000"/>
                <w:kern w:val="0"/>
                <w:sz w:val="24"/>
              </w:rPr>
              <w:t>交易金额（元）</w:t>
            </w:r>
          </w:p>
        </w:tc>
        <w:tc>
          <w:tcPr>
            <w:tcW w:w="1343" w:type="dxa"/>
            <w:vAlign w:val="center"/>
          </w:tcPr>
          <w:p w:rsidR="006D1D2D" w:rsidRPr="007F52FA" w:rsidRDefault="006D1D2D" w:rsidP="001F4E10">
            <w:pPr>
              <w:adjustRightInd w:val="0"/>
              <w:snapToGrid w:val="0"/>
              <w:spacing w:before="29" w:line="288" w:lineRule="auto"/>
              <w:jc w:val="center"/>
              <w:rPr>
                <w:color w:val="000000"/>
                <w:kern w:val="0"/>
                <w:sz w:val="24"/>
              </w:rPr>
            </w:pPr>
            <w:r w:rsidRPr="007F52FA">
              <w:rPr>
                <w:color w:val="000000"/>
                <w:kern w:val="0"/>
                <w:sz w:val="24"/>
              </w:rPr>
              <w:t>适用费率</w:t>
            </w:r>
          </w:p>
        </w:tc>
      </w:tr>
      <w:tr w:rsidR="006D1D2D" w:rsidTr="001F4E10">
        <w:trPr>
          <w:jc w:val="center"/>
        </w:trPr>
        <w:tc>
          <w:tcPr>
            <w:tcW w:w="1032" w:type="dxa"/>
            <w:vAlign w:val="center"/>
          </w:tcPr>
          <w:p w:rsidR="006D1D2D" w:rsidRDefault="006D1D2D" w:rsidP="001F4E10">
            <w:pPr>
              <w:jc w:val="center"/>
            </w:pPr>
            <w:r>
              <w:rPr>
                <w:rFonts w:eastAsiaTheme="minorEastAsia"/>
                <w:color w:val="000000"/>
                <w:sz w:val="24"/>
              </w:rPr>
              <w:t>1</w:t>
            </w:r>
          </w:p>
        </w:tc>
        <w:tc>
          <w:tcPr>
            <w:tcW w:w="1583" w:type="dxa"/>
            <w:vAlign w:val="center"/>
          </w:tcPr>
          <w:p w:rsidR="006D1D2D" w:rsidRDefault="006D1D2D" w:rsidP="001F4E10">
            <w:pPr>
              <w:jc w:val="center"/>
            </w:pPr>
            <w:r>
              <w:rPr>
                <w:rFonts w:eastAsiaTheme="minorEastAsia"/>
                <w:color w:val="000000"/>
                <w:sz w:val="24"/>
              </w:rPr>
              <w:t>红利再投</w:t>
            </w:r>
          </w:p>
        </w:tc>
        <w:tc>
          <w:tcPr>
            <w:tcW w:w="1510" w:type="dxa"/>
            <w:vAlign w:val="center"/>
          </w:tcPr>
          <w:p w:rsidR="006D1D2D" w:rsidRDefault="006D1D2D" w:rsidP="001F4E10">
            <w:pPr>
              <w:jc w:val="center"/>
            </w:pPr>
            <w:r w:rsidRPr="006D1D2D">
              <w:rPr>
                <w:rFonts w:eastAsiaTheme="minorEastAsia"/>
                <w:color w:val="000000"/>
                <w:sz w:val="24"/>
              </w:rPr>
              <w:t>2016-07-15</w:t>
            </w:r>
          </w:p>
        </w:tc>
        <w:tc>
          <w:tcPr>
            <w:tcW w:w="1633" w:type="dxa"/>
            <w:vAlign w:val="center"/>
          </w:tcPr>
          <w:p w:rsidR="006D1D2D" w:rsidRDefault="006D1D2D" w:rsidP="001F4E10">
            <w:pPr>
              <w:jc w:val="right"/>
            </w:pPr>
            <w:r w:rsidRPr="006D1D2D">
              <w:rPr>
                <w:rFonts w:eastAsiaTheme="minorEastAsia"/>
                <w:color w:val="000000"/>
                <w:sz w:val="24"/>
              </w:rPr>
              <w:t>9,050,588.24</w:t>
            </w:r>
          </w:p>
        </w:tc>
        <w:tc>
          <w:tcPr>
            <w:tcW w:w="1767" w:type="dxa"/>
            <w:vAlign w:val="center"/>
          </w:tcPr>
          <w:p w:rsidR="006D1D2D" w:rsidRDefault="006D1D2D" w:rsidP="001F4E10">
            <w:pPr>
              <w:jc w:val="right"/>
            </w:pPr>
            <w:r w:rsidRPr="006D1D2D">
              <w:rPr>
                <w:rFonts w:eastAsiaTheme="minorEastAsia"/>
                <w:color w:val="000000"/>
                <w:sz w:val="24"/>
              </w:rPr>
              <w:t>10,000,900.00</w:t>
            </w:r>
          </w:p>
        </w:tc>
        <w:tc>
          <w:tcPr>
            <w:tcW w:w="1343" w:type="dxa"/>
            <w:vAlign w:val="center"/>
          </w:tcPr>
          <w:p w:rsidR="006D1D2D" w:rsidRDefault="006D1D2D" w:rsidP="001F4E10">
            <w:pPr>
              <w:jc w:val="center"/>
            </w:pPr>
            <w:r>
              <w:rPr>
                <w:rFonts w:eastAsiaTheme="minorEastAsia"/>
                <w:color w:val="000000"/>
                <w:sz w:val="24"/>
              </w:rPr>
              <w:t>-</w:t>
            </w:r>
          </w:p>
        </w:tc>
      </w:tr>
      <w:tr w:rsidR="006D1D2D" w:rsidRPr="007F52FA" w:rsidTr="001F4E10">
        <w:trPr>
          <w:trHeight w:val="340"/>
          <w:jc w:val="center"/>
        </w:trPr>
        <w:tc>
          <w:tcPr>
            <w:tcW w:w="1032" w:type="dxa"/>
            <w:vAlign w:val="center"/>
          </w:tcPr>
          <w:p w:rsidR="006D1D2D" w:rsidRPr="007F52FA" w:rsidRDefault="006D1D2D" w:rsidP="001F4E10">
            <w:pPr>
              <w:pStyle w:val="ad"/>
              <w:adjustRightInd w:val="0"/>
              <w:snapToGrid w:val="0"/>
              <w:spacing w:before="29" w:line="288" w:lineRule="auto"/>
              <w:jc w:val="center"/>
              <w:rPr>
                <w:color w:val="000000"/>
                <w:kern w:val="0"/>
              </w:rPr>
            </w:pPr>
            <w:r w:rsidRPr="007F52FA">
              <w:rPr>
                <w:color w:val="000000"/>
                <w:kern w:val="0"/>
              </w:rPr>
              <w:t>合计</w:t>
            </w:r>
          </w:p>
        </w:tc>
        <w:tc>
          <w:tcPr>
            <w:tcW w:w="1583" w:type="dxa"/>
            <w:vAlign w:val="center"/>
          </w:tcPr>
          <w:p w:rsidR="006D1D2D" w:rsidRPr="007F52FA" w:rsidRDefault="006D1D2D" w:rsidP="001F4E10">
            <w:pPr>
              <w:adjustRightInd w:val="0"/>
              <w:snapToGrid w:val="0"/>
              <w:spacing w:before="29" w:line="288" w:lineRule="auto"/>
              <w:jc w:val="right"/>
              <w:rPr>
                <w:color w:val="0000FF"/>
                <w:kern w:val="0"/>
                <w:sz w:val="24"/>
              </w:rPr>
            </w:pPr>
          </w:p>
        </w:tc>
        <w:tc>
          <w:tcPr>
            <w:tcW w:w="1510" w:type="dxa"/>
            <w:vAlign w:val="center"/>
          </w:tcPr>
          <w:p w:rsidR="006D1D2D" w:rsidRPr="007F52FA" w:rsidRDefault="006D1D2D" w:rsidP="001F4E10">
            <w:pPr>
              <w:adjustRightInd w:val="0"/>
              <w:snapToGrid w:val="0"/>
              <w:spacing w:before="29" w:line="288" w:lineRule="auto"/>
              <w:jc w:val="right"/>
              <w:rPr>
                <w:color w:val="0000FF"/>
                <w:kern w:val="0"/>
                <w:sz w:val="24"/>
              </w:rPr>
            </w:pPr>
          </w:p>
        </w:tc>
        <w:tc>
          <w:tcPr>
            <w:tcW w:w="1633" w:type="dxa"/>
            <w:vAlign w:val="center"/>
          </w:tcPr>
          <w:p w:rsidR="006D1D2D" w:rsidRPr="007F52FA" w:rsidRDefault="006D1D2D" w:rsidP="001F4E10">
            <w:pPr>
              <w:adjustRightInd w:val="0"/>
              <w:snapToGrid w:val="0"/>
              <w:spacing w:before="29" w:line="288" w:lineRule="auto"/>
              <w:jc w:val="right"/>
              <w:rPr>
                <w:rFonts w:eastAsiaTheme="minorEastAsia"/>
                <w:color w:val="000000"/>
                <w:sz w:val="24"/>
              </w:rPr>
            </w:pPr>
            <w:r w:rsidRPr="006D1D2D">
              <w:rPr>
                <w:rFonts w:eastAsiaTheme="minorEastAsia"/>
                <w:color w:val="000000"/>
                <w:sz w:val="24"/>
              </w:rPr>
              <w:t>9,050,588.24</w:t>
            </w:r>
          </w:p>
        </w:tc>
        <w:tc>
          <w:tcPr>
            <w:tcW w:w="1767" w:type="dxa"/>
            <w:vAlign w:val="center"/>
          </w:tcPr>
          <w:p w:rsidR="006D1D2D" w:rsidRPr="007F52FA" w:rsidRDefault="006D1D2D" w:rsidP="001F4E10">
            <w:pPr>
              <w:adjustRightInd w:val="0"/>
              <w:snapToGrid w:val="0"/>
              <w:spacing w:before="29" w:line="288" w:lineRule="auto"/>
              <w:jc w:val="right"/>
              <w:rPr>
                <w:rFonts w:eastAsiaTheme="minorEastAsia"/>
                <w:color w:val="000000"/>
                <w:sz w:val="24"/>
              </w:rPr>
            </w:pPr>
            <w:r w:rsidRPr="006D1D2D">
              <w:rPr>
                <w:rFonts w:eastAsiaTheme="minorEastAsia"/>
                <w:color w:val="000000"/>
                <w:sz w:val="24"/>
              </w:rPr>
              <w:t>10,000,900.00</w:t>
            </w:r>
          </w:p>
        </w:tc>
        <w:tc>
          <w:tcPr>
            <w:tcW w:w="1343" w:type="dxa"/>
            <w:vAlign w:val="center"/>
          </w:tcPr>
          <w:p w:rsidR="006D1D2D" w:rsidRPr="007F52FA" w:rsidRDefault="006D1D2D" w:rsidP="001F4E10">
            <w:pPr>
              <w:adjustRightInd w:val="0"/>
              <w:snapToGrid w:val="0"/>
              <w:spacing w:before="29" w:line="288" w:lineRule="auto"/>
              <w:jc w:val="right"/>
              <w:rPr>
                <w:color w:val="0000FF"/>
                <w:kern w:val="0"/>
                <w:sz w:val="24"/>
              </w:rPr>
            </w:pPr>
          </w:p>
        </w:tc>
      </w:tr>
    </w:tbl>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AC386C" w:rsidRDefault="0012782E">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、中国证监会核准交银施罗德趋势优先股票证券投资基金募集的文件；</w:t>
      </w:r>
      <w:r>
        <w:rPr>
          <w:color w:val="000000"/>
          <w:sz w:val="24"/>
          <w:szCs w:val="24"/>
        </w:rPr>
        <w:t xml:space="preserve"> </w:t>
      </w:r>
    </w:p>
    <w:p w:rsidR="00AC386C" w:rsidRDefault="0012782E">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、《交银施罗德趋势优先混合型证券投资基金基金合同》；</w:t>
      </w:r>
      <w:r>
        <w:rPr>
          <w:color w:val="000000"/>
          <w:sz w:val="24"/>
          <w:szCs w:val="24"/>
        </w:rPr>
        <w:t xml:space="preserve"> </w:t>
      </w:r>
    </w:p>
    <w:p w:rsidR="00AC386C" w:rsidRDefault="0012782E">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、《交银施罗德趋势优先混合型证券投资基金招募说明书》；</w:t>
      </w:r>
    </w:p>
    <w:p w:rsidR="00AC386C" w:rsidRDefault="0012782E">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、《交银施罗德趋势优先混合型证券投资基金托管协议》；</w:t>
      </w:r>
      <w:r>
        <w:rPr>
          <w:color w:val="000000"/>
          <w:sz w:val="24"/>
          <w:szCs w:val="24"/>
        </w:rPr>
        <w:t xml:space="preserve"> </w:t>
      </w:r>
    </w:p>
    <w:p w:rsidR="00AC386C" w:rsidRDefault="0012782E">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、关于申请募集交银施罗德趋势优先股票证券投资基金之法律意见书；</w:t>
      </w:r>
    </w:p>
    <w:p w:rsidR="00AC386C" w:rsidRDefault="0012782E">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AC386C" w:rsidRDefault="0012782E">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、报告期内交银施罗德趋势优先混合型证券投资基金在指定报刊上各项公告的原稿。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AC386C" w:rsidRDefault="0012782E">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6D8" w:rsidRDefault="008B46D8" w:rsidP="00876D65">
      <w:r>
        <w:separator/>
      </w:r>
    </w:p>
  </w:endnote>
  <w:endnote w:type="continuationSeparator" w:id="0">
    <w:p w:rsidR="008B46D8" w:rsidRDefault="008B46D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DC272E">
      <w:rPr>
        <w:noProof/>
        <w:kern w:val="0"/>
        <w:szCs w:val="21"/>
      </w:rPr>
      <w:t>1</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DC272E">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6D8" w:rsidRDefault="008B46D8" w:rsidP="00876D65">
      <w:r>
        <w:separator/>
      </w:r>
    </w:p>
  </w:footnote>
  <w:footnote w:type="continuationSeparator" w:id="0">
    <w:p w:rsidR="008B46D8" w:rsidRDefault="008B46D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2782E"/>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1D2D"/>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6D8"/>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1ADE"/>
    <w:rsid w:val="00986596"/>
    <w:rsid w:val="00990685"/>
    <w:rsid w:val="009A0ABE"/>
    <w:rsid w:val="009A3F46"/>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386C"/>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72E"/>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46633"/>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DC83A-E408-45F3-9849-83553073B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1800</TotalTime>
  <Pages>11</Pages>
  <Words>1042</Words>
  <Characters>5944</Characters>
  <Application>Microsoft Office Word</Application>
  <DocSecurity>0</DocSecurity>
  <Lines>49</Lines>
  <Paragraphs>13</Paragraphs>
  <ScaleCrop>false</ScaleCrop>
  <Company/>
  <LinksUpToDate>false</LinksUpToDate>
  <CharactersWithSpaces>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567</cp:revision>
  <dcterms:created xsi:type="dcterms:W3CDTF">2012-10-16T06:07:00Z</dcterms:created>
  <dcterms:modified xsi:type="dcterms:W3CDTF">2016-10-20T11:20:00Z</dcterms:modified>
</cp:coreProperties>
</file>