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交银施罗德先进制造混合型证券投资基金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二〇一六年十月二十五日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C62899" w:rsidRDefault="007E50B3">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C62899" w:rsidRDefault="007E50B3">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2016</w:t>
      </w:r>
      <w:r>
        <w:rPr>
          <w:color w:val="000000"/>
          <w:sz w:val="24"/>
          <w:szCs w:val="24"/>
        </w:rPr>
        <w:t>年</w:t>
      </w:r>
      <w:r>
        <w:rPr>
          <w:color w:val="000000"/>
          <w:sz w:val="24"/>
          <w:szCs w:val="24"/>
        </w:rPr>
        <w:t>10</w:t>
      </w:r>
      <w:r>
        <w:rPr>
          <w:color w:val="000000"/>
          <w:sz w:val="24"/>
          <w:szCs w:val="24"/>
        </w:rPr>
        <w:t>月</w:t>
      </w:r>
      <w:r>
        <w:rPr>
          <w:color w:val="000000"/>
          <w:sz w:val="24"/>
          <w:szCs w:val="24"/>
        </w:rPr>
        <w:t>24</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C62899" w:rsidRDefault="007E50B3">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C62899" w:rsidRDefault="007E50B3">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C62899" w:rsidRDefault="007E50B3">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交银先进制造混合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519704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2011</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22</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609,876,438.15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本基金通过重点投资于与装备制造相关的优质企业，把握中国产业结构升级的投资机会，在控制风险并保持基金资产良好的流动性的前提下，力争实现基金资产的长期稳定增值。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本基金充分发挥基金管理人的研究优势，将严谨、规范化的选股方法与积极主动的投资风格相结合，自下而上挖掘与装备制造相关的上市公司投资机会，以谋求良好收益。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申银万国装备制造指数收益率</w:t>
            </w:r>
            <w:r w:rsidRPr="00414345">
              <w:rPr>
                <w:color w:val="000000"/>
                <w:kern w:val="0"/>
                <w:sz w:val="24"/>
                <w:szCs w:val="24"/>
              </w:rPr>
              <w:t>+25%×</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w:t>
            </w:r>
            <w:r w:rsidRPr="00414345">
              <w:rPr>
                <w:color w:val="000000"/>
                <w:kern w:val="0"/>
                <w:sz w:val="24"/>
                <w:szCs w:val="24"/>
              </w:rPr>
              <w:lastRenderedPageBreak/>
              <w:t>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7E50B3" w:rsidRPr="00414345" w:rsidTr="007E50B3">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7E50B3" w:rsidRPr="00414345" w:rsidTr="007E50B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87,845,311.75</w:t>
            </w:r>
          </w:p>
        </w:tc>
      </w:tr>
      <w:tr w:rsidR="007E50B3" w:rsidRPr="00414345" w:rsidTr="007E50B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55,602,666.72</w:t>
            </w:r>
          </w:p>
        </w:tc>
      </w:tr>
      <w:tr w:rsidR="007E50B3" w:rsidRPr="00414345" w:rsidTr="007E50B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7E50B3">
            <w:pPr>
              <w:adjustRightInd w:val="0"/>
              <w:spacing w:before="29" w:line="288" w:lineRule="auto"/>
              <w:ind w:left="17"/>
              <w:jc w:val="right"/>
              <w:rPr>
                <w:color w:val="000000"/>
                <w:sz w:val="24"/>
                <w:szCs w:val="24"/>
              </w:rPr>
            </w:pPr>
            <w:r w:rsidRPr="00414345">
              <w:rPr>
                <w:color w:val="000000"/>
                <w:sz w:val="24"/>
                <w:szCs w:val="24"/>
              </w:rPr>
              <w:t>0.095</w:t>
            </w:r>
            <w:r w:rsidR="007E50B3">
              <w:rPr>
                <w:color w:val="000000"/>
                <w:sz w:val="24"/>
                <w:szCs w:val="24"/>
              </w:rPr>
              <w:t>3</w:t>
            </w:r>
          </w:p>
        </w:tc>
      </w:tr>
      <w:tr w:rsidR="007E50B3" w:rsidRPr="00414345" w:rsidTr="007E50B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1,587,178,426.39</w:t>
            </w:r>
          </w:p>
        </w:tc>
      </w:tr>
      <w:tr w:rsidR="007E50B3" w:rsidRPr="00414345" w:rsidTr="007E50B3">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2.602</w:t>
            </w:r>
          </w:p>
        </w:tc>
      </w:tr>
    </w:tbl>
    <w:p w:rsidR="00C62899" w:rsidRDefault="007E50B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C62899">
        <w:trPr>
          <w:jc w:val="center"/>
        </w:trPr>
        <w:tc>
          <w:tcPr>
            <w:tcW w:w="1701" w:type="dxa"/>
            <w:vAlign w:val="center"/>
          </w:tcPr>
          <w:p w:rsidR="00C62899" w:rsidRDefault="007E50B3">
            <w:pPr>
              <w:jc w:val="left"/>
            </w:pPr>
            <w:r>
              <w:rPr>
                <w:color w:val="000000"/>
                <w:sz w:val="24"/>
                <w:szCs w:val="24"/>
              </w:rPr>
              <w:t>过去三个月</w:t>
            </w:r>
          </w:p>
        </w:tc>
        <w:tc>
          <w:tcPr>
            <w:tcW w:w="1045" w:type="dxa"/>
            <w:vAlign w:val="center"/>
          </w:tcPr>
          <w:p w:rsidR="00C62899" w:rsidRDefault="007E50B3">
            <w:pPr>
              <w:jc w:val="center"/>
            </w:pPr>
            <w:r>
              <w:rPr>
                <w:color w:val="000000"/>
                <w:sz w:val="24"/>
                <w:szCs w:val="24"/>
              </w:rPr>
              <w:t>3.87%</w:t>
            </w:r>
          </w:p>
        </w:tc>
        <w:tc>
          <w:tcPr>
            <w:tcW w:w="1344" w:type="dxa"/>
            <w:vAlign w:val="center"/>
          </w:tcPr>
          <w:p w:rsidR="00C62899" w:rsidRDefault="007E50B3">
            <w:pPr>
              <w:jc w:val="center"/>
            </w:pPr>
            <w:r>
              <w:rPr>
                <w:color w:val="000000"/>
                <w:sz w:val="24"/>
                <w:szCs w:val="24"/>
              </w:rPr>
              <w:t>0.84%</w:t>
            </w:r>
          </w:p>
        </w:tc>
        <w:tc>
          <w:tcPr>
            <w:tcW w:w="1194" w:type="dxa"/>
            <w:vAlign w:val="center"/>
          </w:tcPr>
          <w:p w:rsidR="00C62899" w:rsidRDefault="007E50B3">
            <w:pPr>
              <w:jc w:val="center"/>
            </w:pPr>
            <w:r>
              <w:rPr>
                <w:color w:val="000000"/>
                <w:sz w:val="24"/>
                <w:szCs w:val="24"/>
              </w:rPr>
              <w:t>0.52%</w:t>
            </w:r>
          </w:p>
        </w:tc>
        <w:tc>
          <w:tcPr>
            <w:tcW w:w="1492" w:type="dxa"/>
            <w:vAlign w:val="center"/>
          </w:tcPr>
          <w:p w:rsidR="00C62899" w:rsidRDefault="007E50B3">
            <w:pPr>
              <w:jc w:val="center"/>
            </w:pPr>
            <w:r>
              <w:rPr>
                <w:color w:val="000000"/>
                <w:sz w:val="24"/>
                <w:szCs w:val="24"/>
              </w:rPr>
              <w:t>0.78%</w:t>
            </w:r>
          </w:p>
        </w:tc>
        <w:tc>
          <w:tcPr>
            <w:tcW w:w="1194" w:type="dxa"/>
            <w:vAlign w:val="center"/>
          </w:tcPr>
          <w:p w:rsidR="00C62899" w:rsidRDefault="007E50B3">
            <w:pPr>
              <w:jc w:val="center"/>
            </w:pPr>
            <w:r>
              <w:rPr>
                <w:color w:val="000000"/>
                <w:sz w:val="24"/>
                <w:szCs w:val="24"/>
              </w:rPr>
              <w:t>3.35%</w:t>
            </w:r>
          </w:p>
        </w:tc>
        <w:tc>
          <w:tcPr>
            <w:tcW w:w="898" w:type="dxa"/>
            <w:vAlign w:val="center"/>
          </w:tcPr>
          <w:p w:rsidR="00C62899" w:rsidRDefault="007E50B3">
            <w:pPr>
              <w:jc w:val="center"/>
            </w:pPr>
            <w:r>
              <w:rPr>
                <w:color w:val="000000"/>
                <w:sz w:val="24"/>
                <w:szCs w:val="24"/>
              </w:rPr>
              <w:t>0.06%</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申银万国装备制造指数收益率</w:t>
      </w:r>
      <w:r w:rsidRPr="00414345">
        <w:rPr>
          <w:color w:val="000000"/>
          <w:sz w:val="24"/>
          <w:szCs w:val="24"/>
        </w:rPr>
        <w:t>+25%×</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申银万国装备制造指数收益率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w:t>
      </w:r>
      <w:r w:rsidR="00C6002A" w:rsidRPr="00414345">
        <w:rPr>
          <w:b/>
          <w:bCs/>
          <w:color w:val="000000"/>
          <w:sz w:val="24"/>
        </w:rPr>
        <w:lastRenderedPageBreak/>
        <w:t>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交银施罗德先进制造混合型证券投资基金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2011</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C62899">
        <w:trPr>
          <w:jc w:val="center"/>
        </w:trPr>
        <w:tc>
          <w:tcPr>
            <w:tcW w:w="846" w:type="dxa"/>
            <w:vAlign w:val="center"/>
          </w:tcPr>
          <w:p w:rsidR="00C62899" w:rsidRDefault="007E50B3">
            <w:pPr>
              <w:jc w:val="center"/>
            </w:pPr>
            <w:r>
              <w:rPr>
                <w:color w:val="000000"/>
                <w:sz w:val="24"/>
                <w:szCs w:val="24"/>
              </w:rPr>
              <w:t>任相栋</w:t>
            </w:r>
          </w:p>
        </w:tc>
        <w:tc>
          <w:tcPr>
            <w:tcW w:w="845" w:type="dxa"/>
            <w:vAlign w:val="center"/>
          </w:tcPr>
          <w:p w:rsidR="00C62899" w:rsidRDefault="007E50B3">
            <w:pPr>
              <w:jc w:val="center"/>
            </w:pPr>
            <w:r>
              <w:rPr>
                <w:color w:val="000000"/>
                <w:sz w:val="24"/>
                <w:szCs w:val="24"/>
              </w:rPr>
              <w:t>交银先进制造混合的基金经理</w:t>
            </w:r>
          </w:p>
        </w:tc>
        <w:tc>
          <w:tcPr>
            <w:tcW w:w="1549" w:type="dxa"/>
            <w:vAlign w:val="center"/>
          </w:tcPr>
          <w:p w:rsidR="00C62899" w:rsidRDefault="007E50B3">
            <w:pPr>
              <w:jc w:val="center"/>
            </w:pPr>
            <w:r>
              <w:rPr>
                <w:color w:val="000000"/>
                <w:sz w:val="24"/>
                <w:szCs w:val="24"/>
              </w:rPr>
              <w:t>2015-01-21</w:t>
            </w:r>
          </w:p>
        </w:tc>
        <w:tc>
          <w:tcPr>
            <w:tcW w:w="1548" w:type="dxa"/>
            <w:vAlign w:val="center"/>
          </w:tcPr>
          <w:p w:rsidR="00C62899" w:rsidRDefault="007E50B3">
            <w:pPr>
              <w:jc w:val="center"/>
            </w:pPr>
            <w:r>
              <w:rPr>
                <w:color w:val="000000"/>
                <w:sz w:val="24"/>
                <w:szCs w:val="24"/>
              </w:rPr>
              <w:t>-</w:t>
            </w:r>
          </w:p>
        </w:tc>
        <w:tc>
          <w:tcPr>
            <w:tcW w:w="1407" w:type="dxa"/>
            <w:vAlign w:val="center"/>
          </w:tcPr>
          <w:p w:rsidR="00C62899" w:rsidRDefault="007E50B3">
            <w:pPr>
              <w:jc w:val="center"/>
            </w:pPr>
            <w:r>
              <w:rPr>
                <w:color w:val="000000"/>
                <w:sz w:val="24"/>
                <w:szCs w:val="24"/>
              </w:rPr>
              <w:t>6</w:t>
            </w:r>
            <w:r>
              <w:rPr>
                <w:color w:val="000000"/>
                <w:sz w:val="24"/>
                <w:szCs w:val="24"/>
              </w:rPr>
              <w:t>年</w:t>
            </w:r>
          </w:p>
        </w:tc>
        <w:tc>
          <w:tcPr>
            <w:tcW w:w="2673" w:type="dxa"/>
            <w:vAlign w:val="center"/>
          </w:tcPr>
          <w:p w:rsidR="00C62899" w:rsidRDefault="007E50B3">
            <w:r>
              <w:rPr>
                <w:color w:val="000000"/>
                <w:sz w:val="24"/>
                <w:szCs w:val="24"/>
              </w:rPr>
              <w:t>任相栋先生，上海交通大学金融学硕士。</w:t>
            </w:r>
            <w:r>
              <w:rPr>
                <w:color w:val="000000"/>
                <w:sz w:val="24"/>
                <w:szCs w:val="24"/>
              </w:rPr>
              <w:t>2010</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C62899" w:rsidRDefault="007E50B3">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C62899" w:rsidRDefault="007E50B3">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C62899" w:rsidRDefault="007E50B3">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E86B19" w:rsidRPr="00E86B19" w:rsidRDefault="00E86B19" w:rsidP="001843D6">
      <w:pPr>
        <w:spacing w:before="29" w:line="288" w:lineRule="auto"/>
        <w:ind w:firstLine="420"/>
        <w:rPr>
          <w:color w:val="000000"/>
          <w:sz w:val="24"/>
          <w:szCs w:val="24"/>
        </w:rPr>
      </w:pPr>
      <w:r w:rsidRPr="00E86B19">
        <w:rPr>
          <w:rFonts w:hint="eastAsia"/>
          <w:color w:val="000000"/>
          <w:sz w:val="24"/>
          <w:szCs w:val="24"/>
        </w:rPr>
        <w:t>三季度市场仍然延续了开始于二季度初的震荡行情，三季度初高股息率、稳定增长类资产受到市场明显追捧，相关个股涨幅明显，成长类个股在整个三季度表现则相对暗淡。</w:t>
      </w:r>
    </w:p>
    <w:p w:rsidR="00E86B19" w:rsidRPr="00E86B19" w:rsidRDefault="00E86B19" w:rsidP="001843D6">
      <w:pPr>
        <w:spacing w:before="29" w:line="288" w:lineRule="auto"/>
        <w:ind w:firstLine="420"/>
        <w:rPr>
          <w:color w:val="000000"/>
          <w:sz w:val="24"/>
          <w:szCs w:val="24"/>
        </w:rPr>
      </w:pPr>
      <w:r w:rsidRPr="00E86B19">
        <w:rPr>
          <w:rFonts w:hint="eastAsia"/>
          <w:color w:val="000000"/>
          <w:sz w:val="24"/>
          <w:szCs w:val="24"/>
        </w:rPr>
        <w:t>本基金三季度表现欠佳，主要是在</w:t>
      </w:r>
      <w:r w:rsidRPr="00E86B19">
        <w:rPr>
          <w:rFonts w:hint="eastAsia"/>
          <w:color w:val="000000"/>
          <w:sz w:val="24"/>
          <w:szCs w:val="24"/>
        </w:rPr>
        <w:t>8</w:t>
      </w:r>
      <w:r w:rsidRPr="00E86B19">
        <w:rPr>
          <w:rFonts w:hint="eastAsia"/>
          <w:color w:val="000000"/>
          <w:sz w:val="24"/>
          <w:szCs w:val="24"/>
        </w:rPr>
        <w:t>月中旬市场的大涨中没有很好把握蓝筹股的投资机会。</w:t>
      </w:r>
    </w:p>
    <w:p w:rsidR="00E86B19" w:rsidRDefault="00E86B19" w:rsidP="00C15CAC">
      <w:pPr>
        <w:spacing w:before="29" w:line="288" w:lineRule="auto"/>
        <w:ind w:firstLineChars="200" w:firstLine="480"/>
        <w:rPr>
          <w:color w:val="000000"/>
          <w:sz w:val="24"/>
          <w:szCs w:val="24"/>
        </w:rPr>
      </w:pPr>
      <w:r w:rsidRPr="00E86B19">
        <w:rPr>
          <w:rFonts w:hint="eastAsia"/>
          <w:color w:val="000000"/>
          <w:sz w:val="24"/>
          <w:szCs w:val="24"/>
        </w:rPr>
        <w:t>展望未来，我们认为市场在震荡市的总格局下结构性机会仍不缺乏。我们判断目前市场处在震荡市的大格局之中，大涨大跌的可能性都比较小。市场的结构性机会仍主要活跃在有“业绩利润”支撑的领域，单纯靠讲故事带来的机会比较困难。四季度本基金的投资将更加聚焦在“真”成长和“真”价值，会制定更加严格的股票甄选标准，计划更多地从低涨幅个股中寻找机会。本基金将继续致力于在控制好风险的情况下，努力为基金份额持有人取得更高的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2.602</w:t>
      </w:r>
      <w:r w:rsidRPr="00414345">
        <w:rPr>
          <w:color w:val="000000"/>
          <w:sz w:val="24"/>
          <w:szCs w:val="24"/>
        </w:rPr>
        <w:t>元，本报告期份额净值增长率为</w:t>
      </w:r>
      <w:r w:rsidRPr="00414345">
        <w:rPr>
          <w:color w:val="000000"/>
          <w:sz w:val="24"/>
          <w:szCs w:val="24"/>
        </w:rPr>
        <w:t>3.87%</w:t>
      </w:r>
      <w:r w:rsidRPr="00414345">
        <w:rPr>
          <w:color w:val="000000"/>
          <w:sz w:val="24"/>
          <w:szCs w:val="24"/>
        </w:rPr>
        <w:t>，同期业绩比较基准增长率</w:t>
      </w:r>
      <w:r w:rsidRPr="00414345">
        <w:rPr>
          <w:color w:val="000000"/>
          <w:sz w:val="24"/>
          <w:szCs w:val="24"/>
        </w:rPr>
        <w:t>0.52%</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1,276,042,761.87</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79.65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1,276,042,761.87</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79.65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99,700,349.55</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6.22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192,189,633.18</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12.00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34,187,396.18</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2.13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1,602,120,140.78</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1,050,421,751.69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66.18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86,593,216.20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5.46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26,300,562.30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67,899,516.58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44,827,715.10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1,276,042,761.87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80.40</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C62899">
        <w:trPr>
          <w:jc w:val="center"/>
        </w:trPr>
        <w:tc>
          <w:tcPr>
            <w:tcW w:w="855" w:type="dxa"/>
            <w:vAlign w:val="center"/>
          </w:tcPr>
          <w:p w:rsidR="00C62899" w:rsidRDefault="007E50B3">
            <w:pPr>
              <w:jc w:val="center"/>
            </w:pPr>
            <w:r>
              <w:rPr>
                <w:color w:val="000000"/>
                <w:sz w:val="24"/>
                <w:szCs w:val="24"/>
              </w:rPr>
              <w:t>1</w:t>
            </w:r>
          </w:p>
        </w:tc>
        <w:tc>
          <w:tcPr>
            <w:tcW w:w="1334" w:type="dxa"/>
            <w:vAlign w:val="center"/>
          </w:tcPr>
          <w:p w:rsidR="00C62899" w:rsidRDefault="007E50B3">
            <w:pPr>
              <w:jc w:val="center"/>
            </w:pPr>
            <w:r>
              <w:rPr>
                <w:color w:val="000000"/>
                <w:sz w:val="24"/>
                <w:szCs w:val="24"/>
              </w:rPr>
              <w:t>600967</w:t>
            </w:r>
          </w:p>
        </w:tc>
        <w:tc>
          <w:tcPr>
            <w:tcW w:w="1777" w:type="dxa"/>
            <w:vAlign w:val="center"/>
          </w:tcPr>
          <w:p w:rsidR="00C62899" w:rsidRDefault="007E50B3">
            <w:pPr>
              <w:jc w:val="center"/>
            </w:pPr>
            <w:r>
              <w:rPr>
                <w:color w:val="000000"/>
                <w:sz w:val="24"/>
                <w:szCs w:val="24"/>
              </w:rPr>
              <w:t>北方创业</w:t>
            </w:r>
          </w:p>
        </w:tc>
        <w:tc>
          <w:tcPr>
            <w:tcW w:w="1334" w:type="dxa"/>
            <w:vAlign w:val="center"/>
          </w:tcPr>
          <w:p w:rsidR="00C62899" w:rsidRDefault="007E50B3">
            <w:pPr>
              <w:jc w:val="right"/>
            </w:pPr>
            <w:r>
              <w:rPr>
                <w:color w:val="000000"/>
                <w:sz w:val="24"/>
                <w:szCs w:val="24"/>
              </w:rPr>
              <w:t>10,176,283</w:t>
            </w:r>
          </w:p>
        </w:tc>
        <w:tc>
          <w:tcPr>
            <w:tcW w:w="1924" w:type="dxa"/>
            <w:vAlign w:val="center"/>
          </w:tcPr>
          <w:p w:rsidR="00C62899" w:rsidRDefault="007E50B3">
            <w:pPr>
              <w:jc w:val="right"/>
            </w:pPr>
            <w:r>
              <w:rPr>
                <w:color w:val="000000"/>
                <w:sz w:val="24"/>
                <w:szCs w:val="24"/>
              </w:rPr>
              <w:t>118,960,748.27</w:t>
            </w:r>
          </w:p>
        </w:tc>
        <w:tc>
          <w:tcPr>
            <w:tcW w:w="1644" w:type="dxa"/>
            <w:vAlign w:val="center"/>
          </w:tcPr>
          <w:p w:rsidR="00C62899" w:rsidRDefault="007E50B3">
            <w:pPr>
              <w:jc w:val="right"/>
            </w:pPr>
            <w:r>
              <w:rPr>
                <w:color w:val="000000"/>
                <w:sz w:val="24"/>
                <w:szCs w:val="24"/>
              </w:rPr>
              <w:t>7.50</w:t>
            </w:r>
          </w:p>
        </w:tc>
      </w:tr>
      <w:tr w:rsidR="00C62899">
        <w:trPr>
          <w:jc w:val="center"/>
        </w:trPr>
        <w:tc>
          <w:tcPr>
            <w:tcW w:w="855" w:type="dxa"/>
            <w:vAlign w:val="center"/>
          </w:tcPr>
          <w:p w:rsidR="00C62899" w:rsidRDefault="007E50B3">
            <w:pPr>
              <w:jc w:val="center"/>
            </w:pPr>
            <w:r>
              <w:rPr>
                <w:color w:val="000000"/>
                <w:sz w:val="24"/>
                <w:szCs w:val="24"/>
              </w:rPr>
              <w:t>2</w:t>
            </w:r>
          </w:p>
        </w:tc>
        <w:tc>
          <w:tcPr>
            <w:tcW w:w="1334" w:type="dxa"/>
            <w:vAlign w:val="center"/>
          </w:tcPr>
          <w:p w:rsidR="00C62899" w:rsidRDefault="007E50B3">
            <w:pPr>
              <w:jc w:val="center"/>
            </w:pPr>
            <w:r>
              <w:rPr>
                <w:color w:val="000000"/>
                <w:sz w:val="24"/>
                <w:szCs w:val="24"/>
              </w:rPr>
              <w:t>001696</w:t>
            </w:r>
          </w:p>
        </w:tc>
        <w:tc>
          <w:tcPr>
            <w:tcW w:w="1777" w:type="dxa"/>
            <w:vAlign w:val="center"/>
          </w:tcPr>
          <w:p w:rsidR="00C62899" w:rsidRDefault="007E50B3">
            <w:pPr>
              <w:jc w:val="center"/>
            </w:pPr>
            <w:r>
              <w:rPr>
                <w:color w:val="000000"/>
                <w:sz w:val="24"/>
                <w:szCs w:val="24"/>
              </w:rPr>
              <w:t>宗申动力</w:t>
            </w:r>
          </w:p>
        </w:tc>
        <w:tc>
          <w:tcPr>
            <w:tcW w:w="1334" w:type="dxa"/>
            <w:vAlign w:val="center"/>
          </w:tcPr>
          <w:p w:rsidR="00C62899" w:rsidRDefault="007E50B3">
            <w:pPr>
              <w:jc w:val="right"/>
            </w:pPr>
            <w:r>
              <w:rPr>
                <w:color w:val="000000"/>
                <w:sz w:val="24"/>
                <w:szCs w:val="24"/>
              </w:rPr>
              <w:t>7,862,712</w:t>
            </w:r>
          </w:p>
        </w:tc>
        <w:tc>
          <w:tcPr>
            <w:tcW w:w="1924" w:type="dxa"/>
            <w:vAlign w:val="center"/>
          </w:tcPr>
          <w:p w:rsidR="00C62899" w:rsidRDefault="007E50B3">
            <w:pPr>
              <w:jc w:val="right"/>
            </w:pPr>
            <w:r>
              <w:rPr>
                <w:color w:val="000000"/>
                <w:sz w:val="24"/>
                <w:szCs w:val="24"/>
              </w:rPr>
              <w:t>79,885,153.92</w:t>
            </w:r>
          </w:p>
        </w:tc>
        <w:tc>
          <w:tcPr>
            <w:tcW w:w="1644" w:type="dxa"/>
            <w:vAlign w:val="center"/>
          </w:tcPr>
          <w:p w:rsidR="00C62899" w:rsidRDefault="007E50B3">
            <w:pPr>
              <w:jc w:val="right"/>
            </w:pPr>
            <w:r>
              <w:rPr>
                <w:color w:val="000000"/>
                <w:sz w:val="24"/>
                <w:szCs w:val="24"/>
              </w:rPr>
              <w:t>5.03</w:t>
            </w:r>
          </w:p>
        </w:tc>
      </w:tr>
      <w:tr w:rsidR="00C62899">
        <w:trPr>
          <w:jc w:val="center"/>
        </w:trPr>
        <w:tc>
          <w:tcPr>
            <w:tcW w:w="855" w:type="dxa"/>
            <w:vAlign w:val="center"/>
          </w:tcPr>
          <w:p w:rsidR="00C62899" w:rsidRDefault="007E50B3">
            <w:pPr>
              <w:jc w:val="center"/>
            </w:pPr>
            <w:r>
              <w:rPr>
                <w:color w:val="000000"/>
                <w:sz w:val="24"/>
                <w:szCs w:val="24"/>
              </w:rPr>
              <w:t>3</w:t>
            </w:r>
          </w:p>
        </w:tc>
        <w:tc>
          <w:tcPr>
            <w:tcW w:w="1334" w:type="dxa"/>
            <w:vAlign w:val="center"/>
          </w:tcPr>
          <w:p w:rsidR="00C62899" w:rsidRDefault="007E50B3">
            <w:pPr>
              <w:jc w:val="center"/>
            </w:pPr>
            <w:r>
              <w:rPr>
                <w:color w:val="000000"/>
                <w:sz w:val="24"/>
                <w:szCs w:val="24"/>
              </w:rPr>
              <w:t>002045</w:t>
            </w:r>
          </w:p>
        </w:tc>
        <w:tc>
          <w:tcPr>
            <w:tcW w:w="1777" w:type="dxa"/>
            <w:vAlign w:val="center"/>
          </w:tcPr>
          <w:p w:rsidR="00C62899" w:rsidRDefault="007E50B3">
            <w:pPr>
              <w:jc w:val="center"/>
            </w:pPr>
            <w:r>
              <w:rPr>
                <w:color w:val="000000"/>
                <w:sz w:val="24"/>
                <w:szCs w:val="24"/>
              </w:rPr>
              <w:t>国光电器</w:t>
            </w:r>
          </w:p>
        </w:tc>
        <w:tc>
          <w:tcPr>
            <w:tcW w:w="1334" w:type="dxa"/>
            <w:vAlign w:val="center"/>
          </w:tcPr>
          <w:p w:rsidR="00C62899" w:rsidRDefault="007E50B3">
            <w:pPr>
              <w:jc w:val="right"/>
            </w:pPr>
            <w:r>
              <w:rPr>
                <w:color w:val="000000"/>
                <w:sz w:val="24"/>
                <w:szCs w:val="24"/>
              </w:rPr>
              <w:t>5,511,000</w:t>
            </w:r>
          </w:p>
        </w:tc>
        <w:tc>
          <w:tcPr>
            <w:tcW w:w="1924" w:type="dxa"/>
            <w:vAlign w:val="center"/>
          </w:tcPr>
          <w:p w:rsidR="00C62899" w:rsidRDefault="007E50B3">
            <w:pPr>
              <w:jc w:val="right"/>
            </w:pPr>
            <w:r>
              <w:rPr>
                <w:color w:val="000000"/>
                <w:sz w:val="24"/>
                <w:szCs w:val="24"/>
              </w:rPr>
              <w:t>69,879,480.00</w:t>
            </w:r>
          </w:p>
        </w:tc>
        <w:tc>
          <w:tcPr>
            <w:tcW w:w="1644" w:type="dxa"/>
            <w:vAlign w:val="center"/>
          </w:tcPr>
          <w:p w:rsidR="00C62899" w:rsidRDefault="007E50B3">
            <w:pPr>
              <w:jc w:val="right"/>
            </w:pPr>
            <w:r>
              <w:rPr>
                <w:color w:val="000000"/>
                <w:sz w:val="24"/>
                <w:szCs w:val="24"/>
              </w:rPr>
              <w:t>4.40</w:t>
            </w:r>
          </w:p>
        </w:tc>
      </w:tr>
      <w:tr w:rsidR="00C62899">
        <w:trPr>
          <w:jc w:val="center"/>
        </w:trPr>
        <w:tc>
          <w:tcPr>
            <w:tcW w:w="855" w:type="dxa"/>
            <w:vAlign w:val="center"/>
          </w:tcPr>
          <w:p w:rsidR="00C62899" w:rsidRDefault="007E50B3">
            <w:pPr>
              <w:jc w:val="center"/>
            </w:pPr>
            <w:r>
              <w:rPr>
                <w:color w:val="000000"/>
                <w:sz w:val="24"/>
                <w:szCs w:val="24"/>
              </w:rPr>
              <w:t>4</w:t>
            </w:r>
          </w:p>
        </w:tc>
        <w:tc>
          <w:tcPr>
            <w:tcW w:w="1334" w:type="dxa"/>
            <w:vAlign w:val="center"/>
          </w:tcPr>
          <w:p w:rsidR="00C62899" w:rsidRDefault="007E50B3">
            <w:pPr>
              <w:jc w:val="center"/>
            </w:pPr>
            <w:r>
              <w:rPr>
                <w:color w:val="000000"/>
                <w:sz w:val="24"/>
                <w:szCs w:val="24"/>
              </w:rPr>
              <w:t>000821</w:t>
            </w:r>
          </w:p>
        </w:tc>
        <w:tc>
          <w:tcPr>
            <w:tcW w:w="1777" w:type="dxa"/>
            <w:vAlign w:val="center"/>
          </w:tcPr>
          <w:p w:rsidR="00C62899" w:rsidRDefault="007E50B3">
            <w:pPr>
              <w:jc w:val="center"/>
            </w:pPr>
            <w:r>
              <w:rPr>
                <w:color w:val="000000"/>
                <w:sz w:val="24"/>
                <w:szCs w:val="24"/>
              </w:rPr>
              <w:t>京山轻机</w:t>
            </w:r>
          </w:p>
        </w:tc>
        <w:tc>
          <w:tcPr>
            <w:tcW w:w="1334" w:type="dxa"/>
            <w:vAlign w:val="center"/>
          </w:tcPr>
          <w:p w:rsidR="00C62899" w:rsidRDefault="007E50B3">
            <w:pPr>
              <w:jc w:val="right"/>
            </w:pPr>
            <w:r>
              <w:rPr>
                <w:color w:val="000000"/>
                <w:sz w:val="24"/>
                <w:szCs w:val="24"/>
              </w:rPr>
              <w:t>4,340,155</w:t>
            </w:r>
          </w:p>
        </w:tc>
        <w:tc>
          <w:tcPr>
            <w:tcW w:w="1924" w:type="dxa"/>
            <w:vAlign w:val="center"/>
          </w:tcPr>
          <w:p w:rsidR="00C62899" w:rsidRDefault="007E50B3">
            <w:pPr>
              <w:jc w:val="right"/>
            </w:pPr>
            <w:r>
              <w:rPr>
                <w:color w:val="000000"/>
                <w:sz w:val="24"/>
                <w:szCs w:val="24"/>
              </w:rPr>
              <w:t>65,102,325.00</w:t>
            </w:r>
          </w:p>
        </w:tc>
        <w:tc>
          <w:tcPr>
            <w:tcW w:w="1644" w:type="dxa"/>
            <w:vAlign w:val="center"/>
          </w:tcPr>
          <w:p w:rsidR="00C62899" w:rsidRDefault="007E50B3">
            <w:pPr>
              <w:jc w:val="right"/>
            </w:pPr>
            <w:r>
              <w:rPr>
                <w:color w:val="000000"/>
                <w:sz w:val="24"/>
                <w:szCs w:val="24"/>
              </w:rPr>
              <w:t>4.10</w:t>
            </w:r>
          </w:p>
        </w:tc>
      </w:tr>
      <w:tr w:rsidR="00C62899">
        <w:trPr>
          <w:jc w:val="center"/>
        </w:trPr>
        <w:tc>
          <w:tcPr>
            <w:tcW w:w="855" w:type="dxa"/>
            <w:vAlign w:val="center"/>
          </w:tcPr>
          <w:p w:rsidR="00C62899" w:rsidRDefault="007E50B3">
            <w:pPr>
              <w:jc w:val="center"/>
            </w:pPr>
            <w:r>
              <w:rPr>
                <w:color w:val="000000"/>
                <w:sz w:val="24"/>
                <w:szCs w:val="24"/>
              </w:rPr>
              <w:t>5</w:t>
            </w:r>
          </w:p>
        </w:tc>
        <w:tc>
          <w:tcPr>
            <w:tcW w:w="1334" w:type="dxa"/>
            <w:vAlign w:val="center"/>
          </w:tcPr>
          <w:p w:rsidR="00C62899" w:rsidRDefault="007E50B3">
            <w:pPr>
              <w:jc w:val="center"/>
            </w:pPr>
            <w:r>
              <w:rPr>
                <w:color w:val="000000"/>
                <w:sz w:val="24"/>
                <w:szCs w:val="24"/>
              </w:rPr>
              <w:t>300221</w:t>
            </w:r>
          </w:p>
        </w:tc>
        <w:tc>
          <w:tcPr>
            <w:tcW w:w="1777" w:type="dxa"/>
            <w:vAlign w:val="center"/>
          </w:tcPr>
          <w:p w:rsidR="00C62899" w:rsidRDefault="007E50B3">
            <w:pPr>
              <w:jc w:val="center"/>
            </w:pPr>
            <w:r>
              <w:rPr>
                <w:color w:val="000000"/>
                <w:sz w:val="24"/>
                <w:szCs w:val="24"/>
              </w:rPr>
              <w:t>银禧科技</w:t>
            </w:r>
          </w:p>
        </w:tc>
        <w:tc>
          <w:tcPr>
            <w:tcW w:w="1334" w:type="dxa"/>
            <w:vAlign w:val="center"/>
          </w:tcPr>
          <w:p w:rsidR="00C62899" w:rsidRDefault="007E50B3">
            <w:pPr>
              <w:jc w:val="right"/>
            </w:pPr>
            <w:r>
              <w:rPr>
                <w:color w:val="000000"/>
                <w:sz w:val="24"/>
                <w:szCs w:val="24"/>
              </w:rPr>
              <w:t>2,078,452</w:t>
            </w:r>
          </w:p>
        </w:tc>
        <w:tc>
          <w:tcPr>
            <w:tcW w:w="1924" w:type="dxa"/>
            <w:vAlign w:val="center"/>
          </w:tcPr>
          <w:p w:rsidR="00C62899" w:rsidRDefault="007E50B3">
            <w:pPr>
              <w:jc w:val="right"/>
            </w:pPr>
            <w:r>
              <w:rPr>
                <w:color w:val="000000"/>
                <w:sz w:val="24"/>
                <w:szCs w:val="24"/>
              </w:rPr>
              <w:t>58,591,561.88</w:t>
            </w:r>
          </w:p>
        </w:tc>
        <w:tc>
          <w:tcPr>
            <w:tcW w:w="1644" w:type="dxa"/>
            <w:vAlign w:val="center"/>
          </w:tcPr>
          <w:p w:rsidR="00C62899" w:rsidRDefault="007E50B3">
            <w:pPr>
              <w:jc w:val="right"/>
            </w:pPr>
            <w:r>
              <w:rPr>
                <w:color w:val="000000"/>
                <w:sz w:val="24"/>
                <w:szCs w:val="24"/>
              </w:rPr>
              <w:t>3.69</w:t>
            </w:r>
          </w:p>
        </w:tc>
      </w:tr>
      <w:tr w:rsidR="00C62899">
        <w:trPr>
          <w:jc w:val="center"/>
        </w:trPr>
        <w:tc>
          <w:tcPr>
            <w:tcW w:w="855" w:type="dxa"/>
            <w:vAlign w:val="center"/>
          </w:tcPr>
          <w:p w:rsidR="00C62899" w:rsidRDefault="007E50B3">
            <w:pPr>
              <w:jc w:val="center"/>
            </w:pPr>
            <w:r>
              <w:rPr>
                <w:color w:val="000000"/>
                <w:sz w:val="24"/>
                <w:szCs w:val="24"/>
              </w:rPr>
              <w:t>6</w:t>
            </w:r>
          </w:p>
        </w:tc>
        <w:tc>
          <w:tcPr>
            <w:tcW w:w="1334" w:type="dxa"/>
            <w:vAlign w:val="center"/>
          </w:tcPr>
          <w:p w:rsidR="00C62899" w:rsidRDefault="007E50B3">
            <w:pPr>
              <w:jc w:val="center"/>
            </w:pPr>
            <w:r>
              <w:rPr>
                <w:color w:val="000000"/>
                <w:sz w:val="24"/>
                <w:szCs w:val="24"/>
              </w:rPr>
              <w:t>002635</w:t>
            </w:r>
          </w:p>
        </w:tc>
        <w:tc>
          <w:tcPr>
            <w:tcW w:w="1777" w:type="dxa"/>
            <w:vAlign w:val="center"/>
          </w:tcPr>
          <w:p w:rsidR="00C62899" w:rsidRDefault="007E50B3">
            <w:pPr>
              <w:jc w:val="center"/>
            </w:pPr>
            <w:r>
              <w:rPr>
                <w:color w:val="000000"/>
                <w:sz w:val="24"/>
                <w:szCs w:val="24"/>
              </w:rPr>
              <w:t>安洁科技</w:t>
            </w:r>
          </w:p>
        </w:tc>
        <w:tc>
          <w:tcPr>
            <w:tcW w:w="1334" w:type="dxa"/>
            <w:vAlign w:val="center"/>
          </w:tcPr>
          <w:p w:rsidR="00C62899" w:rsidRDefault="007E50B3">
            <w:pPr>
              <w:jc w:val="right"/>
            </w:pPr>
            <w:r>
              <w:rPr>
                <w:color w:val="000000"/>
                <w:sz w:val="24"/>
                <w:szCs w:val="24"/>
              </w:rPr>
              <w:t>1,856,500</w:t>
            </w:r>
          </w:p>
        </w:tc>
        <w:tc>
          <w:tcPr>
            <w:tcW w:w="1924" w:type="dxa"/>
            <w:vAlign w:val="center"/>
          </w:tcPr>
          <w:p w:rsidR="00C62899" w:rsidRDefault="007E50B3">
            <w:pPr>
              <w:jc w:val="right"/>
            </w:pPr>
            <w:r>
              <w:rPr>
                <w:color w:val="000000"/>
                <w:sz w:val="24"/>
                <w:szCs w:val="24"/>
              </w:rPr>
              <w:t>56,771,770.00</w:t>
            </w:r>
          </w:p>
        </w:tc>
        <w:tc>
          <w:tcPr>
            <w:tcW w:w="1644" w:type="dxa"/>
            <w:vAlign w:val="center"/>
          </w:tcPr>
          <w:p w:rsidR="00C62899" w:rsidRDefault="007E50B3">
            <w:pPr>
              <w:jc w:val="right"/>
            </w:pPr>
            <w:r>
              <w:rPr>
                <w:color w:val="000000"/>
                <w:sz w:val="24"/>
                <w:szCs w:val="24"/>
              </w:rPr>
              <w:t>3.58</w:t>
            </w:r>
          </w:p>
        </w:tc>
      </w:tr>
      <w:tr w:rsidR="00C62899">
        <w:trPr>
          <w:jc w:val="center"/>
        </w:trPr>
        <w:tc>
          <w:tcPr>
            <w:tcW w:w="855" w:type="dxa"/>
            <w:vAlign w:val="center"/>
          </w:tcPr>
          <w:p w:rsidR="00C62899" w:rsidRDefault="007E50B3">
            <w:pPr>
              <w:jc w:val="center"/>
            </w:pPr>
            <w:r>
              <w:rPr>
                <w:color w:val="000000"/>
                <w:sz w:val="24"/>
                <w:szCs w:val="24"/>
              </w:rPr>
              <w:t>7</w:t>
            </w:r>
          </w:p>
        </w:tc>
        <w:tc>
          <w:tcPr>
            <w:tcW w:w="1334" w:type="dxa"/>
            <w:vAlign w:val="center"/>
          </w:tcPr>
          <w:p w:rsidR="00C62899" w:rsidRDefault="007E50B3">
            <w:pPr>
              <w:jc w:val="center"/>
            </w:pPr>
            <w:r>
              <w:rPr>
                <w:color w:val="000000"/>
                <w:sz w:val="24"/>
                <w:szCs w:val="24"/>
              </w:rPr>
              <w:t>600268</w:t>
            </w:r>
          </w:p>
        </w:tc>
        <w:tc>
          <w:tcPr>
            <w:tcW w:w="1777" w:type="dxa"/>
            <w:vAlign w:val="center"/>
          </w:tcPr>
          <w:p w:rsidR="00C62899" w:rsidRDefault="007E50B3">
            <w:pPr>
              <w:jc w:val="center"/>
            </w:pPr>
            <w:r>
              <w:rPr>
                <w:color w:val="000000"/>
                <w:sz w:val="24"/>
                <w:szCs w:val="24"/>
              </w:rPr>
              <w:t>国电南自</w:t>
            </w:r>
          </w:p>
        </w:tc>
        <w:tc>
          <w:tcPr>
            <w:tcW w:w="1334" w:type="dxa"/>
            <w:vAlign w:val="center"/>
          </w:tcPr>
          <w:p w:rsidR="00C62899" w:rsidRDefault="007E50B3">
            <w:pPr>
              <w:jc w:val="right"/>
            </w:pPr>
            <w:r>
              <w:rPr>
                <w:color w:val="000000"/>
                <w:sz w:val="24"/>
                <w:szCs w:val="24"/>
              </w:rPr>
              <w:t>5,635,484</w:t>
            </w:r>
          </w:p>
        </w:tc>
        <w:tc>
          <w:tcPr>
            <w:tcW w:w="1924" w:type="dxa"/>
            <w:vAlign w:val="center"/>
          </w:tcPr>
          <w:p w:rsidR="00C62899" w:rsidRDefault="007E50B3">
            <w:pPr>
              <w:jc w:val="right"/>
            </w:pPr>
            <w:r>
              <w:rPr>
                <w:color w:val="000000"/>
                <w:sz w:val="24"/>
                <w:szCs w:val="24"/>
              </w:rPr>
              <w:t>47,281,710.76</w:t>
            </w:r>
          </w:p>
        </w:tc>
        <w:tc>
          <w:tcPr>
            <w:tcW w:w="1644" w:type="dxa"/>
            <w:vAlign w:val="center"/>
          </w:tcPr>
          <w:p w:rsidR="00C62899" w:rsidRDefault="007E50B3">
            <w:pPr>
              <w:jc w:val="right"/>
            </w:pPr>
            <w:r>
              <w:rPr>
                <w:color w:val="000000"/>
                <w:sz w:val="24"/>
                <w:szCs w:val="24"/>
              </w:rPr>
              <w:t>2.98</w:t>
            </w:r>
          </w:p>
        </w:tc>
      </w:tr>
      <w:tr w:rsidR="00C62899">
        <w:trPr>
          <w:jc w:val="center"/>
        </w:trPr>
        <w:tc>
          <w:tcPr>
            <w:tcW w:w="855" w:type="dxa"/>
            <w:vAlign w:val="center"/>
          </w:tcPr>
          <w:p w:rsidR="00C62899" w:rsidRDefault="007E50B3">
            <w:pPr>
              <w:jc w:val="center"/>
            </w:pPr>
            <w:r>
              <w:rPr>
                <w:color w:val="000000"/>
                <w:sz w:val="24"/>
                <w:szCs w:val="24"/>
              </w:rPr>
              <w:t>8</w:t>
            </w:r>
          </w:p>
        </w:tc>
        <w:tc>
          <w:tcPr>
            <w:tcW w:w="1334" w:type="dxa"/>
            <w:vAlign w:val="center"/>
          </w:tcPr>
          <w:p w:rsidR="00C62899" w:rsidRDefault="007E50B3">
            <w:pPr>
              <w:jc w:val="center"/>
            </w:pPr>
            <w:r>
              <w:rPr>
                <w:color w:val="000000"/>
                <w:sz w:val="24"/>
                <w:szCs w:val="24"/>
              </w:rPr>
              <w:t>002343</w:t>
            </w:r>
          </w:p>
        </w:tc>
        <w:tc>
          <w:tcPr>
            <w:tcW w:w="1777" w:type="dxa"/>
            <w:vAlign w:val="center"/>
          </w:tcPr>
          <w:p w:rsidR="00C62899" w:rsidRDefault="007E50B3">
            <w:pPr>
              <w:jc w:val="center"/>
            </w:pPr>
            <w:r>
              <w:rPr>
                <w:color w:val="000000"/>
                <w:sz w:val="24"/>
                <w:szCs w:val="24"/>
              </w:rPr>
              <w:t>慈文传媒</w:t>
            </w:r>
          </w:p>
        </w:tc>
        <w:tc>
          <w:tcPr>
            <w:tcW w:w="1334" w:type="dxa"/>
            <w:vAlign w:val="center"/>
          </w:tcPr>
          <w:p w:rsidR="00C62899" w:rsidRDefault="007E50B3">
            <w:pPr>
              <w:jc w:val="right"/>
            </w:pPr>
            <w:r>
              <w:rPr>
                <w:color w:val="000000"/>
                <w:sz w:val="24"/>
                <w:szCs w:val="24"/>
              </w:rPr>
              <w:t>1,072,690</w:t>
            </w:r>
          </w:p>
        </w:tc>
        <w:tc>
          <w:tcPr>
            <w:tcW w:w="1924" w:type="dxa"/>
            <w:vAlign w:val="center"/>
          </w:tcPr>
          <w:p w:rsidR="00C62899" w:rsidRDefault="007E50B3">
            <w:pPr>
              <w:jc w:val="right"/>
            </w:pPr>
            <w:r>
              <w:rPr>
                <w:color w:val="000000"/>
                <w:sz w:val="24"/>
                <w:szCs w:val="24"/>
              </w:rPr>
              <w:t>44,827,715.10</w:t>
            </w:r>
          </w:p>
        </w:tc>
        <w:tc>
          <w:tcPr>
            <w:tcW w:w="1644" w:type="dxa"/>
            <w:vAlign w:val="center"/>
          </w:tcPr>
          <w:p w:rsidR="00C62899" w:rsidRDefault="007E50B3">
            <w:pPr>
              <w:jc w:val="right"/>
            </w:pPr>
            <w:r>
              <w:rPr>
                <w:color w:val="000000"/>
                <w:sz w:val="24"/>
                <w:szCs w:val="24"/>
              </w:rPr>
              <w:t>2.82</w:t>
            </w:r>
          </w:p>
        </w:tc>
      </w:tr>
      <w:tr w:rsidR="00C62899">
        <w:trPr>
          <w:jc w:val="center"/>
        </w:trPr>
        <w:tc>
          <w:tcPr>
            <w:tcW w:w="855" w:type="dxa"/>
            <w:vAlign w:val="center"/>
          </w:tcPr>
          <w:p w:rsidR="00C62899" w:rsidRDefault="007E50B3">
            <w:pPr>
              <w:jc w:val="center"/>
            </w:pPr>
            <w:r>
              <w:rPr>
                <w:color w:val="000000"/>
                <w:sz w:val="24"/>
                <w:szCs w:val="24"/>
              </w:rPr>
              <w:t>9</w:t>
            </w:r>
          </w:p>
        </w:tc>
        <w:tc>
          <w:tcPr>
            <w:tcW w:w="1334" w:type="dxa"/>
            <w:vAlign w:val="center"/>
          </w:tcPr>
          <w:p w:rsidR="00C62899" w:rsidRDefault="007E50B3">
            <w:pPr>
              <w:jc w:val="center"/>
            </w:pPr>
            <w:r>
              <w:rPr>
                <w:color w:val="000000"/>
                <w:sz w:val="24"/>
                <w:szCs w:val="24"/>
              </w:rPr>
              <w:t>600894</w:t>
            </w:r>
          </w:p>
        </w:tc>
        <w:tc>
          <w:tcPr>
            <w:tcW w:w="1777" w:type="dxa"/>
            <w:vAlign w:val="center"/>
          </w:tcPr>
          <w:p w:rsidR="00C62899" w:rsidRDefault="007E50B3">
            <w:pPr>
              <w:jc w:val="center"/>
            </w:pPr>
            <w:r>
              <w:rPr>
                <w:color w:val="000000"/>
                <w:sz w:val="24"/>
                <w:szCs w:val="24"/>
              </w:rPr>
              <w:t>广日股份</w:t>
            </w:r>
          </w:p>
        </w:tc>
        <w:tc>
          <w:tcPr>
            <w:tcW w:w="1334" w:type="dxa"/>
            <w:vAlign w:val="center"/>
          </w:tcPr>
          <w:p w:rsidR="00C62899" w:rsidRDefault="007E50B3">
            <w:pPr>
              <w:jc w:val="right"/>
            </w:pPr>
            <w:r>
              <w:rPr>
                <w:color w:val="000000"/>
                <w:sz w:val="24"/>
                <w:szCs w:val="24"/>
              </w:rPr>
              <w:t>2,875,424</w:t>
            </w:r>
          </w:p>
        </w:tc>
        <w:tc>
          <w:tcPr>
            <w:tcW w:w="1924" w:type="dxa"/>
            <w:vAlign w:val="center"/>
          </w:tcPr>
          <w:p w:rsidR="00C62899" w:rsidRDefault="007E50B3">
            <w:pPr>
              <w:jc w:val="right"/>
            </w:pPr>
            <w:r>
              <w:rPr>
                <w:color w:val="000000"/>
                <w:sz w:val="24"/>
                <w:szCs w:val="24"/>
              </w:rPr>
              <w:t>42,096,207.36</w:t>
            </w:r>
          </w:p>
        </w:tc>
        <w:tc>
          <w:tcPr>
            <w:tcW w:w="1644" w:type="dxa"/>
            <w:vAlign w:val="center"/>
          </w:tcPr>
          <w:p w:rsidR="00C62899" w:rsidRDefault="007E50B3">
            <w:pPr>
              <w:jc w:val="right"/>
            </w:pPr>
            <w:r>
              <w:rPr>
                <w:color w:val="000000"/>
                <w:sz w:val="24"/>
                <w:szCs w:val="24"/>
              </w:rPr>
              <w:t>2.65</w:t>
            </w:r>
          </w:p>
        </w:tc>
      </w:tr>
      <w:tr w:rsidR="00C62899">
        <w:trPr>
          <w:jc w:val="center"/>
        </w:trPr>
        <w:tc>
          <w:tcPr>
            <w:tcW w:w="855" w:type="dxa"/>
            <w:vAlign w:val="center"/>
          </w:tcPr>
          <w:p w:rsidR="00C62899" w:rsidRDefault="007E50B3">
            <w:pPr>
              <w:jc w:val="center"/>
            </w:pPr>
            <w:r>
              <w:rPr>
                <w:color w:val="000000"/>
                <w:sz w:val="24"/>
                <w:szCs w:val="24"/>
              </w:rPr>
              <w:t>10</w:t>
            </w:r>
          </w:p>
        </w:tc>
        <w:tc>
          <w:tcPr>
            <w:tcW w:w="1334" w:type="dxa"/>
            <w:vAlign w:val="center"/>
          </w:tcPr>
          <w:p w:rsidR="00C62899" w:rsidRDefault="007E50B3">
            <w:pPr>
              <w:jc w:val="center"/>
            </w:pPr>
            <w:r>
              <w:rPr>
                <w:color w:val="000000"/>
                <w:sz w:val="24"/>
                <w:szCs w:val="24"/>
              </w:rPr>
              <w:t>600098</w:t>
            </w:r>
          </w:p>
        </w:tc>
        <w:tc>
          <w:tcPr>
            <w:tcW w:w="1777" w:type="dxa"/>
            <w:vAlign w:val="center"/>
          </w:tcPr>
          <w:p w:rsidR="00C62899" w:rsidRDefault="007E50B3">
            <w:pPr>
              <w:jc w:val="center"/>
            </w:pPr>
            <w:r>
              <w:rPr>
                <w:color w:val="000000"/>
                <w:sz w:val="24"/>
                <w:szCs w:val="24"/>
              </w:rPr>
              <w:t>广州发展</w:t>
            </w:r>
          </w:p>
        </w:tc>
        <w:tc>
          <w:tcPr>
            <w:tcW w:w="1334" w:type="dxa"/>
            <w:vAlign w:val="center"/>
          </w:tcPr>
          <w:p w:rsidR="00C62899" w:rsidRDefault="007E50B3">
            <w:pPr>
              <w:jc w:val="right"/>
            </w:pPr>
            <w:r>
              <w:rPr>
                <w:color w:val="000000"/>
                <w:sz w:val="24"/>
                <w:szCs w:val="24"/>
              </w:rPr>
              <w:t>5,080,765</w:t>
            </w:r>
          </w:p>
        </w:tc>
        <w:tc>
          <w:tcPr>
            <w:tcW w:w="1924" w:type="dxa"/>
            <w:vAlign w:val="center"/>
          </w:tcPr>
          <w:p w:rsidR="00C62899" w:rsidRDefault="007E50B3">
            <w:pPr>
              <w:jc w:val="right"/>
            </w:pPr>
            <w:r>
              <w:rPr>
                <w:color w:val="000000"/>
                <w:sz w:val="24"/>
                <w:szCs w:val="24"/>
              </w:rPr>
              <w:t>41,916,311.25</w:t>
            </w:r>
          </w:p>
        </w:tc>
        <w:tc>
          <w:tcPr>
            <w:tcW w:w="1644" w:type="dxa"/>
            <w:vAlign w:val="center"/>
          </w:tcPr>
          <w:p w:rsidR="00C62899" w:rsidRDefault="007E50B3">
            <w:pPr>
              <w:jc w:val="right"/>
            </w:pPr>
            <w:r>
              <w:rPr>
                <w:color w:val="000000"/>
                <w:sz w:val="24"/>
                <w:szCs w:val="24"/>
              </w:rPr>
              <w:t>2.64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1,366,358.90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25,360,787.71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64,352.13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7,395,897.44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34,187,396.18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545,283,997.81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179,752,909.00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115,160,468.66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609,876,438.15</w:t>
            </w:r>
          </w:p>
        </w:tc>
      </w:tr>
    </w:tbl>
    <w:p w:rsidR="00C62899" w:rsidRDefault="007E50B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C62899" w:rsidRDefault="007E50B3">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、中国证监会核准交银施罗德先进制造股票证券投资基金募集的文件；</w:t>
      </w:r>
      <w:r>
        <w:rPr>
          <w:color w:val="000000"/>
          <w:sz w:val="24"/>
          <w:szCs w:val="24"/>
        </w:rPr>
        <w:t xml:space="preserve"> </w:t>
      </w:r>
    </w:p>
    <w:p w:rsidR="00C62899" w:rsidRDefault="007E50B3">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、《交银施罗德先进制造混合型证券投资基金基金合同》；</w:t>
      </w:r>
      <w:r>
        <w:rPr>
          <w:color w:val="000000"/>
          <w:sz w:val="24"/>
          <w:szCs w:val="24"/>
        </w:rPr>
        <w:t xml:space="preserve"> </w:t>
      </w:r>
    </w:p>
    <w:p w:rsidR="00C62899" w:rsidRDefault="007E50B3">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、《交银施罗德先进制造混合型证券投资基金招募说明书》；</w:t>
      </w:r>
      <w:r>
        <w:rPr>
          <w:color w:val="000000"/>
          <w:sz w:val="24"/>
          <w:szCs w:val="24"/>
        </w:rPr>
        <w:t xml:space="preserve"> </w:t>
      </w:r>
    </w:p>
    <w:p w:rsidR="00C62899" w:rsidRDefault="007E50B3">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、《交银施罗德先进制造混合型证券投资基金托管协议》；</w:t>
      </w:r>
    </w:p>
    <w:p w:rsidR="00C62899" w:rsidRDefault="007E50B3">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、关于募集交银施罗德先进制造股票证券投资基金之法律意见书；</w:t>
      </w:r>
    </w:p>
    <w:p w:rsidR="00C62899" w:rsidRDefault="007E50B3">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C62899" w:rsidRDefault="007E50B3">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、报告期内交银施罗德先进制造混合型证券投资基金在指定报刊上各项公告的原稿。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C62899" w:rsidRDefault="007E50B3">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842" w:rsidRDefault="00BD0842" w:rsidP="00876D65">
      <w:r>
        <w:separator/>
      </w:r>
    </w:p>
  </w:endnote>
  <w:endnote w:type="continuationSeparator" w:id="0">
    <w:p w:rsidR="00BD0842" w:rsidRDefault="00BD0842"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1843D6">
      <w:rPr>
        <w:noProof/>
        <w:kern w:val="0"/>
        <w:szCs w:val="21"/>
      </w:rPr>
      <w:t>1</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1843D6">
      <w:rPr>
        <w:noProof/>
        <w:kern w:val="0"/>
        <w:szCs w:val="21"/>
      </w:rPr>
      <w:t>10</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842" w:rsidRDefault="00BD0842" w:rsidP="00876D65">
      <w:r>
        <w:separator/>
      </w:r>
    </w:p>
  </w:footnote>
  <w:footnote w:type="continuationSeparator" w:id="0">
    <w:p w:rsidR="00BD0842" w:rsidRDefault="00BD0842"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43D6"/>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0B3"/>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842"/>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899"/>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86B19"/>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5C2CC-6948-4CA8-8E64-C4C656BF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1802</TotalTime>
  <Pages>10</Pages>
  <Words>934</Words>
  <Characters>5327</Characters>
  <Application>Microsoft Office Word</Application>
  <DocSecurity>0</DocSecurity>
  <Lines>44</Lines>
  <Paragraphs>12</Paragraphs>
  <ScaleCrop>false</ScaleCrop>
  <Company/>
  <LinksUpToDate>false</LinksUpToDate>
  <CharactersWithSpaces>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564</cp:revision>
  <dcterms:created xsi:type="dcterms:W3CDTF">2012-10-16T06:07:00Z</dcterms:created>
  <dcterms:modified xsi:type="dcterms:W3CDTF">2016-10-20T11:21:00Z</dcterms:modified>
</cp:coreProperties>
</file>