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22B94" w:rsidRDefault="004B5A9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61,118,403.01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A2D93" w:rsidRPr="00414345" w:rsidTr="000A2D9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A2D93" w:rsidRPr="00414345" w:rsidTr="000A2D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-562,340.89</w:t>
            </w:r>
          </w:p>
        </w:tc>
      </w:tr>
      <w:tr w:rsidR="000A2D93" w:rsidRPr="00414345" w:rsidTr="000A2D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7,163,627.30</w:t>
            </w:r>
          </w:p>
        </w:tc>
      </w:tr>
      <w:tr w:rsidR="000A2D93" w:rsidRPr="00414345" w:rsidTr="000A2D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0.1094</w:t>
            </w:r>
          </w:p>
        </w:tc>
      </w:tr>
      <w:tr w:rsidR="000A2D93" w:rsidRPr="00414345" w:rsidTr="000A2D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89,478,382.22</w:t>
            </w:r>
          </w:p>
        </w:tc>
      </w:tr>
      <w:tr w:rsidR="000A2D93" w:rsidRPr="00414345" w:rsidTr="000A2D9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1.464</w:t>
            </w:r>
          </w:p>
        </w:tc>
      </w:tr>
    </w:tbl>
    <w:p w:rsidR="00822B94" w:rsidRDefault="004B5A9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22B94">
        <w:trPr>
          <w:jc w:val="center"/>
        </w:trPr>
        <w:tc>
          <w:tcPr>
            <w:tcW w:w="1701" w:type="dxa"/>
            <w:vAlign w:val="center"/>
          </w:tcPr>
          <w:p w:rsidR="00822B94" w:rsidRDefault="004B5A95">
            <w:pPr>
              <w:jc w:val="left"/>
            </w:pPr>
            <w:r>
              <w:rPr>
                <w:color w:val="000000"/>
                <w:sz w:val="24"/>
                <w:szCs w:val="24"/>
              </w:rPr>
              <w:t>过去三个月</w:t>
            </w:r>
          </w:p>
        </w:tc>
        <w:tc>
          <w:tcPr>
            <w:tcW w:w="1045" w:type="dxa"/>
            <w:vAlign w:val="center"/>
          </w:tcPr>
          <w:p w:rsidR="00822B94" w:rsidRDefault="004B5A95">
            <w:pPr>
              <w:jc w:val="center"/>
            </w:pPr>
            <w:r>
              <w:rPr>
                <w:color w:val="000000"/>
                <w:sz w:val="24"/>
                <w:szCs w:val="24"/>
              </w:rPr>
              <w:t>8.04%</w:t>
            </w:r>
          </w:p>
        </w:tc>
        <w:tc>
          <w:tcPr>
            <w:tcW w:w="1344" w:type="dxa"/>
            <w:vAlign w:val="center"/>
          </w:tcPr>
          <w:p w:rsidR="00822B94" w:rsidRDefault="004B5A95">
            <w:pPr>
              <w:jc w:val="center"/>
            </w:pPr>
            <w:r>
              <w:rPr>
                <w:color w:val="000000"/>
                <w:sz w:val="24"/>
                <w:szCs w:val="24"/>
              </w:rPr>
              <w:t>0.87%</w:t>
            </w:r>
          </w:p>
        </w:tc>
        <w:tc>
          <w:tcPr>
            <w:tcW w:w="1194" w:type="dxa"/>
            <w:vAlign w:val="center"/>
          </w:tcPr>
          <w:p w:rsidR="00822B94" w:rsidRDefault="004B5A95">
            <w:pPr>
              <w:jc w:val="center"/>
            </w:pPr>
            <w:r>
              <w:rPr>
                <w:color w:val="000000"/>
                <w:sz w:val="24"/>
                <w:szCs w:val="24"/>
              </w:rPr>
              <w:t>1.54%</w:t>
            </w:r>
          </w:p>
        </w:tc>
        <w:tc>
          <w:tcPr>
            <w:tcW w:w="1492" w:type="dxa"/>
            <w:vAlign w:val="center"/>
          </w:tcPr>
          <w:p w:rsidR="00822B94" w:rsidRDefault="004B5A95">
            <w:pPr>
              <w:jc w:val="center"/>
            </w:pPr>
            <w:r>
              <w:rPr>
                <w:color w:val="000000"/>
                <w:sz w:val="24"/>
                <w:szCs w:val="24"/>
              </w:rPr>
              <w:t>0.68%</w:t>
            </w:r>
          </w:p>
        </w:tc>
        <w:tc>
          <w:tcPr>
            <w:tcW w:w="1194" w:type="dxa"/>
            <w:vAlign w:val="center"/>
          </w:tcPr>
          <w:p w:rsidR="00822B94" w:rsidRDefault="004B5A95">
            <w:pPr>
              <w:jc w:val="center"/>
            </w:pPr>
            <w:r>
              <w:rPr>
                <w:color w:val="000000"/>
                <w:sz w:val="24"/>
                <w:szCs w:val="24"/>
              </w:rPr>
              <w:t>6.50%</w:t>
            </w:r>
          </w:p>
        </w:tc>
        <w:tc>
          <w:tcPr>
            <w:tcW w:w="898" w:type="dxa"/>
            <w:vAlign w:val="center"/>
          </w:tcPr>
          <w:p w:rsidR="00822B94" w:rsidRDefault="004B5A95">
            <w:pPr>
              <w:jc w:val="center"/>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w:t>
      </w:r>
      <w:r w:rsidRPr="00414345">
        <w:rPr>
          <w:color w:val="000000"/>
          <w:sz w:val="24"/>
          <w:szCs w:val="24"/>
        </w:rPr>
        <w:lastRenderedPageBreak/>
        <w:t>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22B94">
        <w:trPr>
          <w:jc w:val="center"/>
        </w:trPr>
        <w:tc>
          <w:tcPr>
            <w:tcW w:w="846" w:type="dxa"/>
            <w:vAlign w:val="center"/>
          </w:tcPr>
          <w:p w:rsidR="00822B94" w:rsidRDefault="004B5A95">
            <w:pPr>
              <w:jc w:val="center"/>
            </w:pPr>
            <w:r>
              <w:rPr>
                <w:color w:val="000000"/>
                <w:sz w:val="24"/>
                <w:szCs w:val="24"/>
              </w:rPr>
              <w:t>王少成</w:t>
            </w:r>
          </w:p>
        </w:tc>
        <w:tc>
          <w:tcPr>
            <w:tcW w:w="845" w:type="dxa"/>
            <w:vAlign w:val="center"/>
          </w:tcPr>
          <w:p w:rsidR="00822B94" w:rsidRDefault="004B5A95">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822B94" w:rsidRDefault="004B5A95">
            <w:pPr>
              <w:jc w:val="center"/>
            </w:pPr>
            <w:r>
              <w:rPr>
                <w:color w:val="000000"/>
                <w:sz w:val="24"/>
                <w:szCs w:val="24"/>
              </w:rPr>
              <w:t>2013-07-02</w:t>
            </w:r>
          </w:p>
        </w:tc>
        <w:tc>
          <w:tcPr>
            <w:tcW w:w="1548" w:type="dxa"/>
            <w:vAlign w:val="center"/>
          </w:tcPr>
          <w:p w:rsidR="00822B94" w:rsidRDefault="004B5A95">
            <w:pPr>
              <w:jc w:val="center"/>
            </w:pPr>
            <w:r>
              <w:rPr>
                <w:color w:val="000000"/>
                <w:sz w:val="24"/>
                <w:szCs w:val="24"/>
              </w:rPr>
              <w:t>-</w:t>
            </w:r>
          </w:p>
        </w:tc>
        <w:tc>
          <w:tcPr>
            <w:tcW w:w="1407" w:type="dxa"/>
            <w:vAlign w:val="center"/>
          </w:tcPr>
          <w:p w:rsidR="00822B94" w:rsidRDefault="004B5A95">
            <w:pPr>
              <w:jc w:val="center"/>
            </w:pPr>
            <w:r>
              <w:rPr>
                <w:color w:val="000000"/>
                <w:sz w:val="24"/>
                <w:szCs w:val="24"/>
              </w:rPr>
              <w:t>12</w:t>
            </w:r>
            <w:r>
              <w:rPr>
                <w:color w:val="000000"/>
                <w:sz w:val="24"/>
                <w:szCs w:val="24"/>
              </w:rPr>
              <w:t>年</w:t>
            </w:r>
          </w:p>
        </w:tc>
        <w:tc>
          <w:tcPr>
            <w:tcW w:w="2673" w:type="dxa"/>
            <w:vAlign w:val="center"/>
          </w:tcPr>
          <w:p w:rsidR="00822B94" w:rsidRDefault="004B5A95">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22B94" w:rsidRDefault="004B5A9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22B94" w:rsidRDefault="004B5A9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22B94" w:rsidRDefault="004B5A9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A2D93" w:rsidRPr="000A2D93" w:rsidRDefault="000A2D93" w:rsidP="00C95F9D">
      <w:pPr>
        <w:spacing w:before="29" w:line="288" w:lineRule="auto"/>
        <w:ind w:firstLineChars="200" w:firstLine="480"/>
        <w:rPr>
          <w:color w:val="000000"/>
          <w:sz w:val="24"/>
          <w:szCs w:val="24"/>
        </w:rPr>
      </w:pPr>
      <w:r w:rsidRPr="000A2D93">
        <w:rPr>
          <w:rFonts w:hint="eastAsia"/>
          <w:color w:val="000000"/>
          <w:sz w:val="24"/>
          <w:szCs w:val="24"/>
        </w:rPr>
        <w:t>三季度全球风险资产价格走势波澜不惊，波动率持续走低。但全球货币政策的拐点似乎已经出现。日央行和欧央行没有进一步推进负利率和超预期的货币宽松，美联储</w:t>
      </w:r>
      <w:r w:rsidRPr="000A2D93">
        <w:rPr>
          <w:rFonts w:hint="eastAsia"/>
          <w:color w:val="000000"/>
          <w:sz w:val="24"/>
          <w:szCs w:val="24"/>
        </w:rPr>
        <w:t>12</w:t>
      </w:r>
      <w:r w:rsidRPr="000A2D93">
        <w:rPr>
          <w:rFonts w:hint="eastAsia"/>
          <w:color w:val="000000"/>
          <w:sz w:val="24"/>
          <w:szCs w:val="24"/>
        </w:rPr>
        <w:t>月加息的概率持续上升。</w:t>
      </w:r>
    </w:p>
    <w:p w:rsidR="000A2D93" w:rsidRPr="000A2D93" w:rsidRDefault="000A2D93" w:rsidP="00C95F9D">
      <w:pPr>
        <w:spacing w:before="29" w:line="288" w:lineRule="auto"/>
        <w:ind w:firstLineChars="200" w:firstLine="480"/>
        <w:rPr>
          <w:color w:val="000000"/>
          <w:sz w:val="24"/>
          <w:szCs w:val="24"/>
        </w:rPr>
      </w:pPr>
      <w:r w:rsidRPr="000A2D93">
        <w:rPr>
          <w:rFonts w:hint="eastAsia"/>
          <w:color w:val="000000"/>
          <w:sz w:val="24"/>
          <w:szCs w:val="24"/>
        </w:rPr>
        <w:t>三季度本基金保持中性仓位，继续降低创业板小票配置比重，增加蓝筹和新兴高成长行业的配置。房地产价格飙升，显著的增加了中国资产价格泡沫风险，使得宏观调控变得越发紧迫。考虑到资产价格的约束，中国货币宽松的空间值得思考。</w:t>
      </w:r>
      <w:r w:rsidRPr="000A2D93">
        <w:rPr>
          <w:rFonts w:hint="eastAsia"/>
          <w:color w:val="000000"/>
          <w:sz w:val="24"/>
          <w:szCs w:val="24"/>
        </w:rPr>
        <w:t>20</w:t>
      </w:r>
      <w:r w:rsidRPr="000A2D93">
        <w:rPr>
          <w:rFonts w:hint="eastAsia"/>
          <w:color w:val="000000"/>
          <w:sz w:val="24"/>
          <w:szCs w:val="24"/>
        </w:rPr>
        <w:t>世纪</w:t>
      </w:r>
      <w:r w:rsidRPr="000A2D93">
        <w:rPr>
          <w:rFonts w:hint="eastAsia"/>
          <w:color w:val="000000"/>
          <w:sz w:val="24"/>
          <w:szCs w:val="24"/>
        </w:rPr>
        <w:t>90</w:t>
      </w:r>
      <w:r w:rsidRPr="000A2D93">
        <w:rPr>
          <w:rFonts w:hint="eastAsia"/>
          <w:color w:val="000000"/>
          <w:sz w:val="24"/>
          <w:szCs w:val="24"/>
        </w:rPr>
        <w:t>年代，日本房地产价格泡沫后，日本的</w:t>
      </w:r>
      <w:r w:rsidRPr="000A2D93">
        <w:rPr>
          <w:rFonts w:hint="eastAsia"/>
          <w:color w:val="000000"/>
          <w:sz w:val="24"/>
          <w:szCs w:val="24"/>
        </w:rPr>
        <w:t>M2</w:t>
      </w:r>
      <w:r w:rsidRPr="000A2D93">
        <w:rPr>
          <w:rFonts w:hint="eastAsia"/>
          <w:color w:val="000000"/>
          <w:sz w:val="24"/>
          <w:szCs w:val="24"/>
        </w:rPr>
        <w:t>增长速度经历了断崖式下跌，总量始终保持增长，只是增速保持在低位。当下中国如果房地产价格见顶，</w:t>
      </w:r>
      <w:r w:rsidRPr="000A2D93">
        <w:rPr>
          <w:rFonts w:hint="eastAsia"/>
          <w:color w:val="000000"/>
          <w:sz w:val="24"/>
          <w:szCs w:val="24"/>
        </w:rPr>
        <w:t>M2</w:t>
      </w:r>
      <w:r w:rsidRPr="000A2D93">
        <w:rPr>
          <w:rFonts w:hint="eastAsia"/>
          <w:color w:val="000000"/>
          <w:sz w:val="24"/>
          <w:szCs w:val="24"/>
        </w:rPr>
        <w:t>的增长将更多的依赖实体，在寻找到新的成长动力之前，是否能继续增长是存疑的。</w:t>
      </w:r>
    </w:p>
    <w:p w:rsidR="004061AC" w:rsidRPr="00414345" w:rsidRDefault="000A2D93" w:rsidP="00C15CAC">
      <w:pPr>
        <w:spacing w:before="29" w:line="288" w:lineRule="auto"/>
        <w:ind w:firstLineChars="200" w:firstLine="480"/>
        <w:rPr>
          <w:color w:val="000000"/>
          <w:sz w:val="24"/>
          <w:szCs w:val="24"/>
        </w:rPr>
      </w:pPr>
      <w:r w:rsidRPr="000A2D93">
        <w:rPr>
          <w:rFonts w:hint="eastAsia"/>
          <w:color w:val="000000"/>
          <w:sz w:val="24"/>
          <w:szCs w:val="24"/>
        </w:rPr>
        <w:t>2016</w:t>
      </w:r>
      <w:r w:rsidRPr="000A2D93">
        <w:rPr>
          <w:rFonts w:hint="eastAsia"/>
          <w:color w:val="000000"/>
          <w:sz w:val="24"/>
          <w:szCs w:val="24"/>
        </w:rPr>
        <w:t>年四季度，房地产引致宏观风险阶段性得到化解后，股市的风险偏好预计会持续回升。房地产、汇率、流动性，三个问题是一体三面，任何一个层面的变化都会影响另外两者。在不对汇率和整体宏观层面流动性，特别是实体的流动性造成实质性伤害情况下，调控房地产抑制全民投机，从而为经济转型寻找新兴动力赢得时间。在股票配置上，未来一个季度将继续关注高景气的新兴成长行业，比如快递物流，低估值的大盘蓝筹，比如央企改革相关行业和个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1.464</w:t>
      </w:r>
      <w:r w:rsidRPr="00414345">
        <w:rPr>
          <w:color w:val="000000"/>
          <w:sz w:val="24"/>
          <w:szCs w:val="24"/>
        </w:rPr>
        <w:t>元，本报告期份额净值增长率为</w:t>
      </w:r>
      <w:r w:rsidRPr="00414345">
        <w:rPr>
          <w:color w:val="000000"/>
          <w:sz w:val="24"/>
          <w:szCs w:val="24"/>
        </w:rPr>
        <w:t>8.04%</w:t>
      </w:r>
      <w:r w:rsidRPr="00414345">
        <w:rPr>
          <w:color w:val="000000"/>
          <w:sz w:val="24"/>
          <w:szCs w:val="24"/>
        </w:rPr>
        <w:t>，同期业绩比较基准增长率为</w:t>
      </w:r>
      <w:r w:rsidRPr="00414345">
        <w:rPr>
          <w:color w:val="000000"/>
          <w:sz w:val="24"/>
          <w:szCs w:val="24"/>
        </w:rPr>
        <w:t>1.54%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74,088,644.15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74,088,644.15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16,036,963.28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17.78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68,465.89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90,194,073.32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59,131,386.31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1,510,973.52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3,589,422.88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838,488.00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3,027,564.00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5,990,809.44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74,088,644.15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82.80</w:t>
            </w:r>
          </w:p>
        </w:tc>
      </w:tr>
    </w:tbl>
    <w:p w:rsidR="009E49EA" w:rsidRDefault="009E49EA"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22B94">
        <w:trPr>
          <w:jc w:val="center"/>
        </w:trPr>
        <w:tc>
          <w:tcPr>
            <w:tcW w:w="855" w:type="dxa"/>
            <w:vAlign w:val="center"/>
          </w:tcPr>
          <w:p w:rsidR="00822B94" w:rsidRDefault="004B5A95">
            <w:pPr>
              <w:jc w:val="center"/>
            </w:pPr>
            <w:r>
              <w:rPr>
                <w:color w:val="000000"/>
                <w:sz w:val="24"/>
                <w:szCs w:val="24"/>
              </w:rPr>
              <w:t>1</w:t>
            </w:r>
          </w:p>
        </w:tc>
        <w:tc>
          <w:tcPr>
            <w:tcW w:w="1334" w:type="dxa"/>
            <w:vAlign w:val="center"/>
          </w:tcPr>
          <w:p w:rsidR="00822B94" w:rsidRDefault="004B5A95">
            <w:pPr>
              <w:jc w:val="center"/>
            </w:pPr>
            <w:r>
              <w:rPr>
                <w:color w:val="000000"/>
                <w:sz w:val="24"/>
                <w:szCs w:val="24"/>
              </w:rPr>
              <w:t>600389</w:t>
            </w:r>
          </w:p>
        </w:tc>
        <w:tc>
          <w:tcPr>
            <w:tcW w:w="1777" w:type="dxa"/>
            <w:vAlign w:val="center"/>
          </w:tcPr>
          <w:p w:rsidR="00822B94" w:rsidRDefault="004B5A95">
            <w:pPr>
              <w:jc w:val="center"/>
            </w:pPr>
            <w:r>
              <w:rPr>
                <w:color w:val="000000"/>
                <w:sz w:val="24"/>
                <w:szCs w:val="24"/>
              </w:rPr>
              <w:t>江山股份</w:t>
            </w:r>
          </w:p>
        </w:tc>
        <w:tc>
          <w:tcPr>
            <w:tcW w:w="1334" w:type="dxa"/>
            <w:vAlign w:val="center"/>
          </w:tcPr>
          <w:p w:rsidR="00822B94" w:rsidRDefault="004B5A95">
            <w:pPr>
              <w:jc w:val="right"/>
            </w:pPr>
            <w:r>
              <w:rPr>
                <w:color w:val="000000"/>
                <w:sz w:val="24"/>
                <w:szCs w:val="24"/>
              </w:rPr>
              <w:t>483,356</w:t>
            </w:r>
          </w:p>
        </w:tc>
        <w:tc>
          <w:tcPr>
            <w:tcW w:w="1924" w:type="dxa"/>
            <w:vAlign w:val="center"/>
          </w:tcPr>
          <w:p w:rsidR="00822B94" w:rsidRDefault="004B5A95">
            <w:pPr>
              <w:jc w:val="right"/>
            </w:pPr>
            <w:r>
              <w:rPr>
                <w:color w:val="000000"/>
                <w:sz w:val="24"/>
                <w:szCs w:val="24"/>
              </w:rPr>
              <w:t>8,685,907.32</w:t>
            </w:r>
          </w:p>
        </w:tc>
        <w:tc>
          <w:tcPr>
            <w:tcW w:w="1644" w:type="dxa"/>
            <w:vAlign w:val="center"/>
          </w:tcPr>
          <w:p w:rsidR="00822B94" w:rsidRDefault="004B5A95">
            <w:pPr>
              <w:jc w:val="right"/>
            </w:pPr>
            <w:r>
              <w:rPr>
                <w:color w:val="000000"/>
                <w:sz w:val="24"/>
                <w:szCs w:val="24"/>
              </w:rPr>
              <w:t>9.71</w:t>
            </w:r>
          </w:p>
        </w:tc>
      </w:tr>
      <w:tr w:rsidR="00822B94">
        <w:trPr>
          <w:jc w:val="center"/>
        </w:trPr>
        <w:tc>
          <w:tcPr>
            <w:tcW w:w="855" w:type="dxa"/>
            <w:vAlign w:val="center"/>
          </w:tcPr>
          <w:p w:rsidR="00822B94" w:rsidRDefault="004B5A95">
            <w:pPr>
              <w:jc w:val="center"/>
            </w:pPr>
            <w:r>
              <w:rPr>
                <w:color w:val="000000"/>
                <w:sz w:val="24"/>
                <w:szCs w:val="24"/>
              </w:rPr>
              <w:t>2</w:t>
            </w:r>
          </w:p>
        </w:tc>
        <w:tc>
          <w:tcPr>
            <w:tcW w:w="1334" w:type="dxa"/>
            <w:vAlign w:val="center"/>
          </w:tcPr>
          <w:p w:rsidR="00822B94" w:rsidRDefault="004B5A95">
            <w:pPr>
              <w:jc w:val="center"/>
            </w:pPr>
            <w:r>
              <w:rPr>
                <w:color w:val="000000"/>
                <w:sz w:val="24"/>
                <w:szCs w:val="24"/>
              </w:rPr>
              <w:t>600500</w:t>
            </w:r>
          </w:p>
        </w:tc>
        <w:tc>
          <w:tcPr>
            <w:tcW w:w="1777" w:type="dxa"/>
            <w:vAlign w:val="center"/>
          </w:tcPr>
          <w:p w:rsidR="00822B94" w:rsidRDefault="004B5A95">
            <w:pPr>
              <w:jc w:val="center"/>
            </w:pPr>
            <w:r>
              <w:rPr>
                <w:color w:val="000000"/>
                <w:sz w:val="24"/>
                <w:szCs w:val="24"/>
              </w:rPr>
              <w:t>中化国际</w:t>
            </w:r>
          </w:p>
        </w:tc>
        <w:tc>
          <w:tcPr>
            <w:tcW w:w="1334" w:type="dxa"/>
            <w:vAlign w:val="center"/>
          </w:tcPr>
          <w:p w:rsidR="00822B94" w:rsidRDefault="004B5A95">
            <w:pPr>
              <w:jc w:val="right"/>
            </w:pPr>
            <w:r>
              <w:rPr>
                <w:color w:val="000000"/>
                <w:sz w:val="24"/>
                <w:szCs w:val="24"/>
              </w:rPr>
              <w:t>880,600</w:t>
            </w:r>
          </w:p>
        </w:tc>
        <w:tc>
          <w:tcPr>
            <w:tcW w:w="1924" w:type="dxa"/>
            <w:vAlign w:val="center"/>
          </w:tcPr>
          <w:p w:rsidR="00822B94" w:rsidRDefault="004B5A95">
            <w:pPr>
              <w:jc w:val="right"/>
            </w:pPr>
            <w:r>
              <w:rPr>
                <w:color w:val="000000"/>
                <w:sz w:val="24"/>
                <w:szCs w:val="24"/>
              </w:rPr>
              <w:t>8,453,760.00</w:t>
            </w:r>
          </w:p>
        </w:tc>
        <w:tc>
          <w:tcPr>
            <w:tcW w:w="1644" w:type="dxa"/>
            <w:vAlign w:val="center"/>
          </w:tcPr>
          <w:p w:rsidR="00822B94" w:rsidRDefault="004B5A95">
            <w:pPr>
              <w:jc w:val="right"/>
            </w:pPr>
            <w:r>
              <w:rPr>
                <w:color w:val="000000"/>
                <w:sz w:val="24"/>
                <w:szCs w:val="24"/>
              </w:rPr>
              <w:t>9.45</w:t>
            </w:r>
          </w:p>
        </w:tc>
      </w:tr>
      <w:tr w:rsidR="00822B94">
        <w:trPr>
          <w:jc w:val="center"/>
        </w:trPr>
        <w:tc>
          <w:tcPr>
            <w:tcW w:w="855" w:type="dxa"/>
            <w:vAlign w:val="center"/>
          </w:tcPr>
          <w:p w:rsidR="00822B94" w:rsidRDefault="004B5A95">
            <w:pPr>
              <w:jc w:val="center"/>
            </w:pPr>
            <w:r>
              <w:rPr>
                <w:color w:val="000000"/>
                <w:sz w:val="24"/>
                <w:szCs w:val="24"/>
              </w:rPr>
              <w:t>3</w:t>
            </w:r>
          </w:p>
        </w:tc>
        <w:tc>
          <w:tcPr>
            <w:tcW w:w="1334" w:type="dxa"/>
            <w:vAlign w:val="center"/>
          </w:tcPr>
          <w:p w:rsidR="00822B94" w:rsidRDefault="004B5A95">
            <w:pPr>
              <w:jc w:val="center"/>
            </w:pPr>
            <w:r>
              <w:rPr>
                <w:color w:val="000000"/>
                <w:sz w:val="24"/>
                <w:szCs w:val="24"/>
              </w:rPr>
              <w:t>002180</w:t>
            </w:r>
          </w:p>
        </w:tc>
        <w:tc>
          <w:tcPr>
            <w:tcW w:w="1777" w:type="dxa"/>
            <w:vAlign w:val="center"/>
          </w:tcPr>
          <w:p w:rsidR="00822B94" w:rsidRDefault="004B5A95">
            <w:pPr>
              <w:jc w:val="center"/>
            </w:pPr>
            <w:r>
              <w:rPr>
                <w:color w:val="000000"/>
                <w:sz w:val="24"/>
                <w:szCs w:val="24"/>
              </w:rPr>
              <w:t>艾派克</w:t>
            </w:r>
          </w:p>
        </w:tc>
        <w:tc>
          <w:tcPr>
            <w:tcW w:w="1334" w:type="dxa"/>
            <w:vAlign w:val="center"/>
          </w:tcPr>
          <w:p w:rsidR="00822B94" w:rsidRDefault="004B5A95">
            <w:pPr>
              <w:jc w:val="right"/>
            </w:pPr>
            <w:r>
              <w:rPr>
                <w:color w:val="000000"/>
                <w:sz w:val="24"/>
                <w:szCs w:val="24"/>
              </w:rPr>
              <w:t>237,300</w:t>
            </w:r>
          </w:p>
        </w:tc>
        <w:tc>
          <w:tcPr>
            <w:tcW w:w="1924" w:type="dxa"/>
            <w:vAlign w:val="center"/>
          </w:tcPr>
          <w:p w:rsidR="00822B94" w:rsidRDefault="004B5A95">
            <w:pPr>
              <w:jc w:val="right"/>
            </w:pPr>
            <w:r>
              <w:rPr>
                <w:color w:val="000000"/>
                <w:sz w:val="24"/>
                <w:szCs w:val="24"/>
              </w:rPr>
              <w:t>8,144,136.00</w:t>
            </w:r>
          </w:p>
        </w:tc>
        <w:tc>
          <w:tcPr>
            <w:tcW w:w="1644" w:type="dxa"/>
            <w:vAlign w:val="center"/>
          </w:tcPr>
          <w:p w:rsidR="00822B94" w:rsidRDefault="004B5A95">
            <w:pPr>
              <w:jc w:val="right"/>
            </w:pPr>
            <w:r>
              <w:rPr>
                <w:color w:val="000000"/>
                <w:sz w:val="24"/>
                <w:szCs w:val="24"/>
              </w:rPr>
              <w:t>9.10</w:t>
            </w:r>
          </w:p>
        </w:tc>
      </w:tr>
      <w:tr w:rsidR="00822B94">
        <w:trPr>
          <w:jc w:val="center"/>
        </w:trPr>
        <w:tc>
          <w:tcPr>
            <w:tcW w:w="855" w:type="dxa"/>
            <w:vAlign w:val="center"/>
          </w:tcPr>
          <w:p w:rsidR="00822B94" w:rsidRDefault="004B5A95">
            <w:pPr>
              <w:jc w:val="center"/>
            </w:pPr>
            <w:r>
              <w:rPr>
                <w:color w:val="000000"/>
                <w:sz w:val="24"/>
                <w:szCs w:val="24"/>
              </w:rPr>
              <w:t>4</w:t>
            </w:r>
          </w:p>
        </w:tc>
        <w:tc>
          <w:tcPr>
            <w:tcW w:w="1334" w:type="dxa"/>
            <w:vAlign w:val="center"/>
          </w:tcPr>
          <w:p w:rsidR="00822B94" w:rsidRDefault="004B5A95">
            <w:pPr>
              <w:jc w:val="center"/>
            </w:pPr>
            <w:r>
              <w:rPr>
                <w:color w:val="000000"/>
                <w:sz w:val="24"/>
                <w:szCs w:val="24"/>
              </w:rPr>
              <w:t>002120</w:t>
            </w:r>
          </w:p>
        </w:tc>
        <w:tc>
          <w:tcPr>
            <w:tcW w:w="1777" w:type="dxa"/>
            <w:vAlign w:val="center"/>
          </w:tcPr>
          <w:p w:rsidR="00822B94" w:rsidRDefault="004B5A95">
            <w:pPr>
              <w:jc w:val="center"/>
            </w:pPr>
            <w:r>
              <w:rPr>
                <w:color w:val="000000"/>
                <w:sz w:val="24"/>
                <w:szCs w:val="24"/>
              </w:rPr>
              <w:t>新海股份</w:t>
            </w:r>
          </w:p>
        </w:tc>
        <w:tc>
          <w:tcPr>
            <w:tcW w:w="1334" w:type="dxa"/>
            <w:vAlign w:val="center"/>
          </w:tcPr>
          <w:p w:rsidR="00822B94" w:rsidRDefault="004B5A95">
            <w:pPr>
              <w:jc w:val="right"/>
            </w:pPr>
            <w:r>
              <w:rPr>
                <w:color w:val="000000"/>
                <w:sz w:val="24"/>
                <w:szCs w:val="24"/>
              </w:rPr>
              <w:t>138,300</w:t>
            </w:r>
          </w:p>
        </w:tc>
        <w:tc>
          <w:tcPr>
            <w:tcW w:w="1924" w:type="dxa"/>
            <w:vAlign w:val="center"/>
          </w:tcPr>
          <w:p w:rsidR="00822B94" w:rsidRDefault="004B5A95">
            <w:pPr>
              <w:jc w:val="right"/>
            </w:pPr>
            <w:r>
              <w:rPr>
                <w:color w:val="000000"/>
                <w:sz w:val="24"/>
                <w:szCs w:val="24"/>
              </w:rPr>
              <w:t>6,997,980.00</w:t>
            </w:r>
          </w:p>
        </w:tc>
        <w:tc>
          <w:tcPr>
            <w:tcW w:w="1644" w:type="dxa"/>
            <w:vAlign w:val="center"/>
          </w:tcPr>
          <w:p w:rsidR="00822B94" w:rsidRDefault="004B5A95">
            <w:pPr>
              <w:jc w:val="right"/>
            </w:pPr>
            <w:r>
              <w:rPr>
                <w:color w:val="000000"/>
                <w:sz w:val="24"/>
                <w:szCs w:val="24"/>
              </w:rPr>
              <w:t>7.82</w:t>
            </w:r>
          </w:p>
        </w:tc>
      </w:tr>
      <w:tr w:rsidR="00822B94">
        <w:trPr>
          <w:jc w:val="center"/>
        </w:trPr>
        <w:tc>
          <w:tcPr>
            <w:tcW w:w="855" w:type="dxa"/>
            <w:vAlign w:val="center"/>
          </w:tcPr>
          <w:p w:rsidR="00822B94" w:rsidRDefault="004B5A95">
            <w:pPr>
              <w:jc w:val="center"/>
            </w:pPr>
            <w:r>
              <w:rPr>
                <w:color w:val="000000"/>
                <w:sz w:val="24"/>
                <w:szCs w:val="24"/>
              </w:rPr>
              <w:t>5</w:t>
            </w:r>
          </w:p>
        </w:tc>
        <w:tc>
          <w:tcPr>
            <w:tcW w:w="1334" w:type="dxa"/>
            <w:vAlign w:val="center"/>
          </w:tcPr>
          <w:p w:rsidR="00822B94" w:rsidRDefault="004B5A95">
            <w:pPr>
              <w:jc w:val="center"/>
            </w:pPr>
            <w:r>
              <w:rPr>
                <w:color w:val="000000"/>
                <w:sz w:val="24"/>
                <w:szCs w:val="24"/>
              </w:rPr>
              <w:t>600967</w:t>
            </w:r>
          </w:p>
        </w:tc>
        <w:tc>
          <w:tcPr>
            <w:tcW w:w="1777" w:type="dxa"/>
            <w:vAlign w:val="center"/>
          </w:tcPr>
          <w:p w:rsidR="00822B94" w:rsidRDefault="004B5A95">
            <w:pPr>
              <w:jc w:val="center"/>
            </w:pPr>
            <w:r>
              <w:rPr>
                <w:color w:val="000000"/>
                <w:sz w:val="24"/>
                <w:szCs w:val="24"/>
              </w:rPr>
              <w:t>北方创业</w:t>
            </w:r>
          </w:p>
        </w:tc>
        <w:tc>
          <w:tcPr>
            <w:tcW w:w="1334" w:type="dxa"/>
            <w:vAlign w:val="center"/>
          </w:tcPr>
          <w:p w:rsidR="00822B94" w:rsidRDefault="004B5A95">
            <w:pPr>
              <w:jc w:val="right"/>
            </w:pPr>
            <w:r>
              <w:rPr>
                <w:color w:val="000000"/>
                <w:sz w:val="24"/>
                <w:szCs w:val="24"/>
              </w:rPr>
              <w:t>588,061</w:t>
            </w:r>
          </w:p>
        </w:tc>
        <w:tc>
          <w:tcPr>
            <w:tcW w:w="1924" w:type="dxa"/>
            <w:vAlign w:val="center"/>
          </w:tcPr>
          <w:p w:rsidR="00822B94" w:rsidRDefault="004B5A95">
            <w:pPr>
              <w:jc w:val="right"/>
            </w:pPr>
            <w:r>
              <w:rPr>
                <w:color w:val="000000"/>
                <w:sz w:val="24"/>
                <w:szCs w:val="24"/>
              </w:rPr>
              <w:t>6,874,433.09</w:t>
            </w:r>
          </w:p>
        </w:tc>
        <w:tc>
          <w:tcPr>
            <w:tcW w:w="1644" w:type="dxa"/>
            <w:vAlign w:val="center"/>
          </w:tcPr>
          <w:p w:rsidR="00822B94" w:rsidRDefault="004B5A95">
            <w:pPr>
              <w:jc w:val="right"/>
            </w:pPr>
            <w:r>
              <w:rPr>
                <w:color w:val="000000"/>
                <w:sz w:val="24"/>
                <w:szCs w:val="24"/>
              </w:rPr>
              <w:t>7.68</w:t>
            </w:r>
          </w:p>
        </w:tc>
      </w:tr>
      <w:tr w:rsidR="00822B94">
        <w:trPr>
          <w:jc w:val="center"/>
        </w:trPr>
        <w:tc>
          <w:tcPr>
            <w:tcW w:w="855" w:type="dxa"/>
            <w:vAlign w:val="center"/>
          </w:tcPr>
          <w:p w:rsidR="00822B94" w:rsidRDefault="004B5A95">
            <w:pPr>
              <w:jc w:val="center"/>
            </w:pPr>
            <w:r>
              <w:rPr>
                <w:color w:val="000000"/>
                <w:sz w:val="24"/>
                <w:szCs w:val="24"/>
              </w:rPr>
              <w:t>6</w:t>
            </w:r>
          </w:p>
        </w:tc>
        <w:tc>
          <w:tcPr>
            <w:tcW w:w="1334" w:type="dxa"/>
            <w:vAlign w:val="center"/>
          </w:tcPr>
          <w:p w:rsidR="00822B94" w:rsidRDefault="004B5A95">
            <w:pPr>
              <w:jc w:val="center"/>
            </w:pPr>
            <w:r>
              <w:rPr>
                <w:color w:val="000000"/>
                <w:sz w:val="24"/>
                <w:szCs w:val="24"/>
              </w:rPr>
              <w:t>600763</w:t>
            </w:r>
          </w:p>
        </w:tc>
        <w:tc>
          <w:tcPr>
            <w:tcW w:w="1777" w:type="dxa"/>
            <w:vAlign w:val="center"/>
          </w:tcPr>
          <w:p w:rsidR="00822B94" w:rsidRDefault="004B5A95">
            <w:pPr>
              <w:jc w:val="center"/>
            </w:pPr>
            <w:r>
              <w:rPr>
                <w:color w:val="000000"/>
                <w:sz w:val="24"/>
                <w:szCs w:val="24"/>
              </w:rPr>
              <w:t>通策医疗</w:t>
            </w:r>
          </w:p>
        </w:tc>
        <w:tc>
          <w:tcPr>
            <w:tcW w:w="1334" w:type="dxa"/>
            <w:vAlign w:val="center"/>
          </w:tcPr>
          <w:p w:rsidR="00822B94" w:rsidRDefault="004B5A95">
            <w:pPr>
              <w:jc w:val="right"/>
            </w:pPr>
            <w:r>
              <w:rPr>
                <w:color w:val="000000"/>
                <w:sz w:val="24"/>
                <w:szCs w:val="24"/>
              </w:rPr>
              <w:t>190,608</w:t>
            </w:r>
          </w:p>
        </w:tc>
        <w:tc>
          <w:tcPr>
            <w:tcW w:w="1924" w:type="dxa"/>
            <w:vAlign w:val="center"/>
          </w:tcPr>
          <w:p w:rsidR="00822B94" w:rsidRDefault="004B5A95">
            <w:pPr>
              <w:jc w:val="right"/>
            </w:pPr>
            <w:r>
              <w:rPr>
                <w:color w:val="000000"/>
                <w:sz w:val="24"/>
                <w:szCs w:val="24"/>
              </w:rPr>
              <w:t>5,990,809.44</w:t>
            </w:r>
          </w:p>
        </w:tc>
        <w:tc>
          <w:tcPr>
            <w:tcW w:w="1644" w:type="dxa"/>
            <w:vAlign w:val="center"/>
          </w:tcPr>
          <w:p w:rsidR="00822B94" w:rsidRDefault="004B5A95">
            <w:pPr>
              <w:jc w:val="right"/>
            </w:pPr>
            <w:r>
              <w:rPr>
                <w:color w:val="000000"/>
                <w:sz w:val="24"/>
                <w:szCs w:val="24"/>
              </w:rPr>
              <w:t>6.70</w:t>
            </w:r>
          </w:p>
        </w:tc>
      </w:tr>
      <w:tr w:rsidR="00822B94">
        <w:trPr>
          <w:jc w:val="center"/>
        </w:trPr>
        <w:tc>
          <w:tcPr>
            <w:tcW w:w="855" w:type="dxa"/>
            <w:vAlign w:val="center"/>
          </w:tcPr>
          <w:p w:rsidR="00822B94" w:rsidRDefault="004B5A95">
            <w:pPr>
              <w:jc w:val="center"/>
            </w:pPr>
            <w:r>
              <w:rPr>
                <w:color w:val="000000"/>
                <w:sz w:val="24"/>
                <w:szCs w:val="24"/>
              </w:rPr>
              <w:t>7</w:t>
            </w:r>
          </w:p>
        </w:tc>
        <w:tc>
          <w:tcPr>
            <w:tcW w:w="1334" w:type="dxa"/>
            <w:vAlign w:val="center"/>
          </w:tcPr>
          <w:p w:rsidR="00822B94" w:rsidRDefault="004B5A95">
            <w:pPr>
              <w:jc w:val="center"/>
            </w:pPr>
            <w:r>
              <w:rPr>
                <w:color w:val="000000"/>
                <w:sz w:val="24"/>
                <w:szCs w:val="24"/>
              </w:rPr>
              <w:t>600233</w:t>
            </w:r>
          </w:p>
        </w:tc>
        <w:tc>
          <w:tcPr>
            <w:tcW w:w="1777" w:type="dxa"/>
            <w:vAlign w:val="center"/>
          </w:tcPr>
          <w:p w:rsidR="00822B94" w:rsidRDefault="004B5A95">
            <w:pPr>
              <w:jc w:val="center"/>
            </w:pPr>
            <w:r>
              <w:rPr>
                <w:color w:val="000000"/>
                <w:sz w:val="24"/>
                <w:szCs w:val="24"/>
              </w:rPr>
              <w:t>大杨创世</w:t>
            </w:r>
          </w:p>
        </w:tc>
        <w:tc>
          <w:tcPr>
            <w:tcW w:w="1334" w:type="dxa"/>
            <w:vAlign w:val="center"/>
          </w:tcPr>
          <w:p w:rsidR="00822B94" w:rsidRDefault="004B5A95">
            <w:pPr>
              <w:jc w:val="right"/>
            </w:pPr>
            <w:r>
              <w:rPr>
                <w:color w:val="000000"/>
                <w:sz w:val="24"/>
                <w:szCs w:val="24"/>
              </w:rPr>
              <w:t>177,400</w:t>
            </w:r>
          </w:p>
        </w:tc>
        <w:tc>
          <w:tcPr>
            <w:tcW w:w="1924" w:type="dxa"/>
            <w:vAlign w:val="center"/>
          </w:tcPr>
          <w:p w:rsidR="00822B94" w:rsidRDefault="004B5A95">
            <w:pPr>
              <w:jc w:val="right"/>
            </w:pPr>
            <w:r>
              <w:rPr>
                <w:color w:val="000000"/>
                <w:sz w:val="24"/>
                <w:szCs w:val="24"/>
              </w:rPr>
              <w:t>5,039,934.00</w:t>
            </w:r>
          </w:p>
        </w:tc>
        <w:tc>
          <w:tcPr>
            <w:tcW w:w="1644" w:type="dxa"/>
            <w:vAlign w:val="center"/>
          </w:tcPr>
          <w:p w:rsidR="00822B94" w:rsidRDefault="004B5A95">
            <w:pPr>
              <w:jc w:val="right"/>
            </w:pPr>
            <w:r>
              <w:rPr>
                <w:color w:val="000000"/>
                <w:sz w:val="24"/>
                <w:szCs w:val="24"/>
              </w:rPr>
              <w:t>5.63</w:t>
            </w:r>
          </w:p>
        </w:tc>
      </w:tr>
      <w:tr w:rsidR="00822B94">
        <w:trPr>
          <w:jc w:val="center"/>
        </w:trPr>
        <w:tc>
          <w:tcPr>
            <w:tcW w:w="855" w:type="dxa"/>
            <w:vAlign w:val="center"/>
          </w:tcPr>
          <w:p w:rsidR="00822B94" w:rsidRDefault="004B5A95">
            <w:pPr>
              <w:jc w:val="center"/>
            </w:pPr>
            <w:r>
              <w:rPr>
                <w:color w:val="000000"/>
                <w:sz w:val="24"/>
                <w:szCs w:val="24"/>
              </w:rPr>
              <w:t>8</w:t>
            </w:r>
          </w:p>
        </w:tc>
        <w:tc>
          <w:tcPr>
            <w:tcW w:w="1334" w:type="dxa"/>
            <w:vAlign w:val="center"/>
          </w:tcPr>
          <w:p w:rsidR="00822B94" w:rsidRDefault="004B5A95">
            <w:pPr>
              <w:jc w:val="center"/>
            </w:pPr>
            <w:r>
              <w:rPr>
                <w:color w:val="000000"/>
                <w:sz w:val="24"/>
                <w:szCs w:val="24"/>
              </w:rPr>
              <w:t>002045</w:t>
            </w:r>
          </w:p>
        </w:tc>
        <w:tc>
          <w:tcPr>
            <w:tcW w:w="1777" w:type="dxa"/>
            <w:vAlign w:val="center"/>
          </w:tcPr>
          <w:p w:rsidR="00822B94" w:rsidRDefault="004B5A95">
            <w:pPr>
              <w:jc w:val="center"/>
            </w:pPr>
            <w:r>
              <w:rPr>
                <w:color w:val="000000"/>
                <w:sz w:val="24"/>
                <w:szCs w:val="24"/>
              </w:rPr>
              <w:t>国光电器</w:t>
            </w:r>
          </w:p>
        </w:tc>
        <w:tc>
          <w:tcPr>
            <w:tcW w:w="1334" w:type="dxa"/>
            <w:vAlign w:val="center"/>
          </w:tcPr>
          <w:p w:rsidR="00822B94" w:rsidRDefault="004B5A95">
            <w:pPr>
              <w:jc w:val="right"/>
            </w:pPr>
            <w:r>
              <w:rPr>
                <w:color w:val="000000"/>
                <w:sz w:val="24"/>
                <w:szCs w:val="24"/>
              </w:rPr>
              <w:t>249,000</w:t>
            </w:r>
          </w:p>
        </w:tc>
        <w:tc>
          <w:tcPr>
            <w:tcW w:w="1924" w:type="dxa"/>
            <w:vAlign w:val="center"/>
          </w:tcPr>
          <w:p w:rsidR="00822B94" w:rsidRDefault="004B5A95">
            <w:pPr>
              <w:jc w:val="right"/>
            </w:pPr>
            <w:r>
              <w:rPr>
                <w:color w:val="000000"/>
                <w:sz w:val="24"/>
                <w:szCs w:val="24"/>
              </w:rPr>
              <w:t>3,157,320.00</w:t>
            </w:r>
          </w:p>
        </w:tc>
        <w:tc>
          <w:tcPr>
            <w:tcW w:w="1644" w:type="dxa"/>
            <w:vAlign w:val="center"/>
          </w:tcPr>
          <w:p w:rsidR="00822B94" w:rsidRDefault="004B5A95">
            <w:pPr>
              <w:jc w:val="right"/>
            </w:pPr>
            <w:r>
              <w:rPr>
                <w:color w:val="000000"/>
                <w:sz w:val="24"/>
                <w:szCs w:val="24"/>
              </w:rPr>
              <w:t>3.53</w:t>
            </w:r>
          </w:p>
        </w:tc>
      </w:tr>
      <w:tr w:rsidR="00822B94">
        <w:trPr>
          <w:jc w:val="center"/>
        </w:trPr>
        <w:tc>
          <w:tcPr>
            <w:tcW w:w="855" w:type="dxa"/>
            <w:vAlign w:val="center"/>
          </w:tcPr>
          <w:p w:rsidR="00822B94" w:rsidRDefault="004B5A95">
            <w:pPr>
              <w:jc w:val="center"/>
            </w:pPr>
            <w:r>
              <w:rPr>
                <w:color w:val="000000"/>
                <w:sz w:val="24"/>
                <w:szCs w:val="24"/>
              </w:rPr>
              <w:t>9</w:t>
            </w:r>
          </w:p>
        </w:tc>
        <w:tc>
          <w:tcPr>
            <w:tcW w:w="1334" w:type="dxa"/>
            <w:vAlign w:val="center"/>
          </w:tcPr>
          <w:p w:rsidR="00822B94" w:rsidRDefault="004B5A95">
            <w:pPr>
              <w:jc w:val="center"/>
            </w:pPr>
            <w:r>
              <w:rPr>
                <w:color w:val="000000"/>
                <w:sz w:val="24"/>
                <w:szCs w:val="24"/>
              </w:rPr>
              <w:t>600054</w:t>
            </w:r>
          </w:p>
        </w:tc>
        <w:tc>
          <w:tcPr>
            <w:tcW w:w="1777" w:type="dxa"/>
            <w:vAlign w:val="center"/>
          </w:tcPr>
          <w:p w:rsidR="00822B94" w:rsidRDefault="004B5A95">
            <w:pPr>
              <w:jc w:val="center"/>
            </w:pPr>
            <w:r>
              <w:rPr>
                <w:color w:val="000000"/>
                <w:sz w:val="24"/>
                <w:szCs w:val="24"/>
              </w:rPr>
              <w:t>黄山旅游</w:t>
            </w:r>
          </w:p>
        </w:tc>
        <w:tc>
          <w:tcPr>
            <w:tcW w:w="1334" w:type="dxa"/>
            <w:vAlign w:val="center"/>
          </w:tcPr>
          <w:p w:rsidR="00822B94" w:rsidRDefault="004B5A95">
            <w:pPr>
              <w:jc w:val="right"/>
            </w:pPr>
            <w:r>
              <w:rPr>
                <w:color w:val="000000"/>
                <w:sz w:val="24"/>
                <w:szCs w:val="24"/>
              </w:rPr>
              <w:t>174,600</w:t>
            </w:r>
          </w:p>
        </w:tc>
        <w:tc>
          <w:tcPr>
            <w:tcW w:w="1924" w:type="dxa"/>
            <w:vAlign w:val="center"/>
          </w:tcPr>
          <w:p w:rsidR="00822B94" w:rsidRDefault="004B5A95">
            <w:pPr>
              <w:jc w:val="right"/>
            </w:pPr>
            <w:r>
              <w:rPr>
                <w:color w:val="000000"/>
                <w:sz w:val="24"/>
                <w:szCs w:val="24"/>
              </w:rPr>
              <w:t>3,027,564.00</w:t>
            </w:r>
          </w:p>
        </w:tc>
        <w:tc>
          <w:tcPr>
            <w:tcW w:w="1644" w:type="dxa"/>
            <w:vAlign w:val="center"/>
          </w:tcPr>
          <w:p w:rsidR="00822B94" w:rsidRDefault="004B5A95">
            <w:pPr>
              <w:jc w:val="right"/>
            </w:pPr>
            <w:r>
              <w:rPr>
                <w:color w:val="000000"/>
                <w:sz w:val="24"/>
                <w:szCs w:val="24"/>
              </w:rPr>
              <w:t>3.38</w:t>
            </w:r>
          </w:p>
        </w:tc>
      </w:tr>
      <w:tr w:rsidR="00822B94">
        <w:trPr>
          <w:jc w:val="center"/>
        </w:trPr>
        <w:tc>
          <w:tcPr>
            <w:tcW w:w="855" w:type="dxa"/>
            <w:vAlign w:val="center"/>
          </w:tcPr>
          <w:p w:rsidR="00822B94" w:rsidRDefault="004B5A95">
            <w:pPr>
              <w:jc w:val="center"/>
            </w:pPr>
            <w:r>
              <w:rPr>
                <w:color w:val="000000"/>
                <w:sz w:val="24"/>
                <w:szCs w:val="24"/>
              </w:rPr>
              <w:t>10</w:t>
            </w:r>
          </w:p>
        </w:tc>
        <w:tc>
          <w:tcPr>
            <w:tcW w:w="1334" w:type="dxa"/>
            <w:vAlign w:val="center"/>
          </w:tcPr>
          <w:p w:rsidR="00822B94" w:rsidRDefault="004B5A95">
            <w:pPr>
              <w:jc w:val="center"/>
            </w:pPr>
            <w:r>
              <w:rPr>
                <w:color w:val="000000"/>
                <w:sz w:val="24"/>
                <w:szCs w:val="24"/>
              </w:rPr>
              <w:t>300005</w:t>
            </w:r>
          </w:p>
        </w:tc>
        <w:tc>
          <w:tcPr>
            <w:tcW w:w="1777" w:type="dxa"/>
            <w:vAlign w:val="center"/>
          </w:tcPr>
          <w:p w:rsidR="00822B94" w:rsidRDefault="004B5A95">
            <w:pPr>
              <w:jc w:val="center"/>
            </w:pPr>
            <w:r>
              <w:rPr>
                <w:color w:val="000000"/>
                <w:sz w:val="24"/>
                <w:szCs w:val="24"/>
              </w:rPr>
              <w:t>探路者</w:t>
            </w:r>
          </w:p>
        </w:tc>
        <w:tc>
          <w:tcPr>
            <w:tcW w:w="1334" w:type="dxa"/>
            <w:vAlign w:val="center"/>
          </w:tcPr>
          <w:p w:rsidR="00822B94" w:rsidRDefault="004B5A95">
            <w:pPr>
              <w:jc w:val="right"/>
            </w:pPr>
            <w:r>
              <w:rPr>
                <w:color w:val="000000"/>
                <w:sz w:val="24"/>
                <w:szCs w:val="24"/>
              </w:rPr>
              <w:t>193,011</w:t>
            </w:r>
          </w:p>
        </w:tc>
        <w:tc>
          <w:tcPr>
            <w:tcW w:w="1924" w:type="dxa"/>
            <w:vAlign w:val="center"/>
          </w:tcPr>
          <w:p w:rsidR="00822B94" w:rsidRDefault="004B5A95">
            <w:pPr>
              <w:jc w:val="right"/>
            </w:pPr>
            <w:r>
              <w:rPr>
                <w:color w:val="000000"/>
                <w:sz w:val="24"/>
                <w:szCs w:val="24"/>
              </w:rPr>
              <w:t>2,976,229.62</w:t>
            </w:r>
          </w:p>
        </w:tc>
        <w:tc>
          <w:tcPr>
            <w:tcW w:w="1644" w:type="dxa"/>
            <w:vAlign w:val="center"/>
          </w:tcPr>
          <w:p w:rsidR="00822B94" w:rsidRDefault="004B5A95">
            <w:pPr>
              <w:jc w:val="right"/>
            </w:pPr>
            <w:r>
              <w:rPr>
                <w:color w:val="000000"/>
                <w:sz w:val="24"/>
                <w:szCs w:val="24"/>
              </w:rPr>
              <w:t>3.33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8,815.87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3,392.21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56,257.81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68,465.89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70,210,383.66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2,205,133.03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11,297,113.68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61,118,403.01</w:t>
            </w:r>
          </w:p>
        </w:tc>
      </w:tr>
    </w:tbl>
    <w:p w:rsidR="00822B94" w:rsidRDefault="004B5A9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822B94" w:rsidRDefault="004B5A9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22B94" w:rsidRDefault="004B5A9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822B94" w:rsidRDefault="004B5A9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A95" w:rsidRDefault="004B5A95" w:rsidP="00876D65">
      <w:r>
        <w:separator/>
      </w:r>
    </w:p>
  </w:endnote>
  <w:endnote w:type="continuationSeparator" w:id="0">
    <w:p w:rsidR="004B5A95" w:rsidRDefault="004B5A9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95F9D">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95F9D">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A95" w:rsidRDefault="004B5A95" w:rsidP="00876D65">
      <w:r>
        <w:separator/>
      </w:r>
    </w:p>
  </w:footnote>
  <w:footnote w:type="continuationSeparator" w:id="0">
    <w:p w:rsidR="004B5A95" w:rsidRDefault="004B5A9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D9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5A95"/>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2B94"/>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49EA"/>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5F9D"/>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9E49EA"/>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A011-D6A2-4E89-9C5B-393D3B9E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11</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2016-10-20T11:31:00Z</dcterms:modified>
</cp:coreProperties>
</file>