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交银施罗德荣泰保本混合型证券投资基金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1597E" w:rsidRDefault="00A7343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1597E" w:rsidRDefault="00A73437">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1597E" w:rsidRDefault="00A7343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1597E" w:rsidRDefault="00A7343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1597E" w:rsidRDefault="00A73437">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交银荣泰保本混合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120,335,230.83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本基金在追求保本周期到期时本金安全的基础上，通过稳健资产与风险资产的动态配置和有效的组合管理，力争实现基金资产的稳定增长。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73437" w:rsidRPr="00414345" w:rsidTr="00A7343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A73437" w:rsidRPr="00414345" w:rsidTr="00A7343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3,073,200.12</w:t>
            </w:r>
          </w:p>
        </w:tc>
      </w:tr>
      <w:tr w:rsidR="00A73437" w:rsidRPr="00414345" w:rsidTr="00A7343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2,089,410.53</w:t>
            </w:r>
          </w:p>
        </w:tc>
      </w:tr>
      <w:tr w:rsidR="00A73437" w:rsidRPr="00414345" w:rsidTr="00A7343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0.0170</w:t>
            </w:r>
          </w:p>
        </w:tc>
      </w:tr>
      <w:tr w:rsidR="00A73437" w:rsidRPr="00414345" w:rsidTr="00A7343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150,440,819.34</w:t>
            </w:r>
          </w:p>
        </w:tc>
      </w:tr>
      <w:tr w:rsidR="00A73437" w:rsidRPr="00414345" w:rsidTr="00A7343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1.250</w:t>
            </w:r>
          </w:p>
        </w:tc>
      </w:tr>
    </w:tbl>
    <w:p w:rsidR="0001597E" w:rsidRDefault="00A7343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1597E">
        <w:trPr>
          <w:jc w:val="center"/>
        </w:trPr>
        <w:tc>
          <w:tcPr>
            <w:tcW w:w="1701" w:type="dxa"/>
            <w:vAlign w:val="center"/>
          </w:tcPr>
          <w:p w:rsidR="0001597E" w:rsidRDefault="00A73437">
            <w:pPr>
              <w:jc w:val="left"/>
            </w:pPr>
            <w:r>
              <w:rPr>
                <w:color w:val="000000"/>
                <w:sz w:val="24"/>
                <w:szCs w:val="24"/>
              </w:rPr>
              <w:t>过去三个月</w:t>
            </w:r>
          </w:p>
        </w:tc>
        <w:tc>
          <w:tcPr>
            <w:tcW w:w="1045" w:type="dxa"/>
            <w:vAlign w:val="center"/>
          </w:tcPr>
          <w:p w:rsidR="0001597E" w:rsidRDefault="00A73437">
            <w:pPr>
              <w:jc w:val="center"/>
            </w:pPr>
            <w:r>
              <w:rPr>
                <w:color w:val="000000"/>
                <w:sz w:val="24"/>
                <w:szCs w:val="24"/>
              </w:rPr>
              <w:t>1.38%</w:t>
            </w:r>
          </w:p>
        </w:tc>
        <w:tc>
          <w:tcPr>
            <w:tcW w:w="1344" w:type="dxa"/>
            <w:vAlign w:val="center"/>
          </w:tcPr>
          <w:p w:rsidR="0001597E" w:rsidRDefault="00A73437">
            <w:pPr>
              <w:jc w:val="center"/>
            </w:pPr>
            <w:r>
              <w:rPr>
                <w:color w:val="000000"/>
                <w:sz w:val="24"/>
                <w:szCs w:val="24"/>
              </w:rPr>
              <w:t>0.15%</w:t>
            </w:r>
          </w:p>
        </w:tc>
        <w:tc>
          <w:tcPr>
            <w:tcW w:w="1194" w:type="dxa"/>
            <w:vAlign w:val="center"/>
          </w:tcPr>
          <w:p w:rsidR="0001597E" w:rsidRDefault="00A73437">
            <w:pPr>
              <w:jc w:val="center"/>
            </w:pPr>
            <w:r>
              <w:rPr>
                <w:color w:val="000000"/>
                <w:sz w:val="24"/>
                <w:szCs w:val="24"/>
              </w:rPr>
              <w:t>0.70%</w:t>
            </w:r>
          </w:p>
        </w:tc>
        <w:tc>
          <w:tcPr>
            <w:tcW w:w="1492" w:type="dxa"/>
            <w:vAlign w:val="center"/>
          </w:tcPr>
          <w:p w:rsidR="0001597E" w:rsidRDefault="00A73437">
            <w:pPr>
              <w:jc w:val="center"/>
            </w:pPr>
            <w:r>
              <w:rPr>
                <w:color w:val="000000"/>
                <w:sz w:val="24"/>
                <w:szCs w:val="24"/>
              </w:rPr>
              <w:t>0.01%</w:t>
            </w:r>
          </w:p>
        </w:tc>
        <w:tc>
          <w:tcPr>
            <w:tcW w:w="1194" w:type="dxa"/>
            <w:vAlign w:val="center"/>
          </w:tcPr>
          <w:p w:rsidR="0001597E" w:rsidRDefault="00A73437">
            <w:pPr>
              <w:jc w:val="center"/>
            </w:pPr>
            <w:r>
              <w:rPr>
                <w:color w:val="000000"/>
                <w:sz w:val="24"/>
                <w:szCs w:val="24"/>
              </w:rPr>
              <w:t>0.68%</w:t>
            </w:r>
          </w:p>
        </w:tc>
        <w:tc>
          <w:tcPr>
            <w:tcW w:w="898" w:type="dxa"/>
            <w:vAlign w:val="center"/>
          </w:tcPr>
          <w:p w:rsidR="0001597E" w:rsidRDefault="00A73437">
            <w:pPr>
              <w:jc w:val="center"/>
            </w:pPr>
            <w:r>
              <w:rPr>
                <w:color w:val="000000"/>
                <w:sz w:val="24"/>
                <w:szCs w:val="24"/>
              </w:rPr>
              <w:t>0.14%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交银施罗德荣泰保本混合型证券投资基金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1597E">
        <w:trPr>
          <w:jc w:val="center"/>
        </w:trPr>
        <w:tc>
          <w:tcPr>
            <w:tcW w:w="846" w:type="dxa"/>
            <w:vAlign w:val="center"/>
          </w:tcPr>
          <w:p w:rsidR="0001597E" w:rsidRDefault="00A73437">
            <w:pPr>
              <w:jc w:val="center"/>
            </w:pPr>
            <w:r>
              <w:rPr>
                <w:color w:val="000000"/>
                <w:sz w:val="24"/>
                <w:szCs w:val="24"/>
              </w:rPr>
              <w:t>孙超</w:t>
            </w:r>
          </w:p>
        </w:tc>
        <w:tc>
          <w:tcPr>
            <w:tcW w:w="845" w:type="dxa"/>
            <w:vAlign w:val="center"/>
          </w:tcPr>
          <w:p w:rsidR="0001597E" w:rsidRDefault="00A73437">
            <w:pPr>
              <w:jc w:val="center"/>
            </w:pPr>
            <w:r>
              <w:rPr>
                <w:color w:val="000000"/>
                <w:sz w:val="24"/>
                <w:szCs w:val="24"/>
              </w:rPr>
              <w:t>交银增利债券、交银纯债债券发起、交银荣祥保本混合、交银定期支付月月丰债券、交银荣泰保本混合、交银强化回报债券、交银丰润收益债券、交银丰享收益债券、交银丰泽收益债券、交银丰硕收益债券、交银荣鑫保本混合的基金经理，公司固定收益部助理总经理</w:t>
            </w:r>
          </w:p>
        </w:tc>
        <w:tc>
          <w:tcPr>
            <w:tcW w:w="1549" w:type="dxa"/>
            <w:vAlign w:val="center"/>
          </w:tcPr>
          <w:p w:rsidR="0001597E" w:rsidRDefault="00A73437">
            <w:pPr>
              <w:jc w:val="center"/>
            </w:pPr>
            <w:r>
              <w:rPr>
                <w:color w:val="000000"/>
                <w:sz w:val="24"/>
                <w:szCs w:val="24"/>
              </w:rPr>
              <w:t>2015-11-07</w:t>
            </w:r>
          </w:p>
        </w:tc>
        <w:tc>
          <w:tcPr>
            <w:tcW w:w="1548" w:type="dxa"/>
            <w:vAlign w:val="center"/>
          </w:tcPr>
          <w:p w:rsidR="0001597E" w:rsidRDefault="00A73437">
            <w:pPr>
              <w:jc w:val="center"/>
            </w:pPr>
            <w:r>
              <w:rPr>
                <w:color w:val="000000"/>
                <w:sz w:val="24"/>
                <w:szCs w:val="24"/>
              </w:rPr>
              <w:t>-</w:t>
            </w:r>
          </w:p>
        </w:tc>
        <w:tc>
          <w:tcPr>
            <w:tcW w:w="1407" w:type="dxa"/>
            <w:vAlign w:val="center"/>
          </w:tcPr>
          <w:p w:rsidR="0001597E" w:rsidRDefault="00A73437">
            <w:pPr>
              <w:jc w:val="center"/>
            </w:pPr>
            <w:r>
              <w:rPr>
                <w:color w:val="000000"/>
                <w:sz w:val="24"/>
                <w:szCs w:val="24"/>
              </w:rPr>
              <w:t>5</w:t>
            </w:r>
            <w:r>
              <w:rPr>
                <w:color w:val="000000"/>
                <w:sz w:val="24"/>
                <w:szCs w:val="24"/>
              </w:rPr>
              <w:t>年</w:t>
            </w:r>
          </w:p>
        </w:tc>
        <w:tc>
          <w:tcPr>
            <w:tcW w:w="2673" w:type="dxa"/>
            <w:vAlign w:val="center"/>
          </w:tcPr>
          <w:p w:rsidR="0001597E" w:rsidRDefault="00A73437">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日担任交银施罗德双轮动债券型证券投资基金基金经理。</w:t>
            </w:r>
          </w:p>
        </w:tc>
      </w:tr>
      <w:tr w:rsidR="0001597E">
        <w:trPr>
          <w:jc w:val="center"/>
        </w:trPr>
        <w:tc>
          <w:tcPr>
            <w:tcW w:w="846" w:type="dxa"/>
            <w:vAlign w:val="center"/>
          </w:tcPr>
          <w:p w:rsidR="0001597E" w:rsidRDefault="00A73437">
            <w:pPr>
              <w:jc w:val="center"/>
            </w:pPr>
            <w:r>
              <w:rPr>
                <w:color w:val="000000"/>
                <w:sz w:val="24"/>
                <w:szCs w:val="24"/>
              </w:rPr>
              <w:t>章妍</w:t>
            </w:r>
          </w:p>
        </w:tc>
        <w:tc>
          <w:tcPr>
            <w:tcW w:w="845" w:type="dxa"/>
            <w:vAlign w:val="center"/>
          </w:tcPr>
          <w:p w:rsidR="0001597E" w:rsidRDefault="00A73437">
            <w:pPr>
              <w:jc w:val="center"/>
            </w:pPr>
            <w:r>
              <w:rPr>
                <w:color w:val="000000"/>
                <w:sz w:val="24"/>
                <w:szCs w:val="24"/>
              </w:rPr>
              <w:t>交银荣祥保本混合、交银荣泰保本混合、交银裕通纯债债券、交银裕兴纯债债券的基金经理</w:t>
            </w:r>
          </w:p>
        </w:tc>
        <w:tc>
          <w:tcPr>
            <w:tcW w:w="1549" w:type="dxa"/>
            <w:vAlign w:val="center"/>
          </w:tcPr>
          <w:p w:rsidR="0001597E" w:rsidRDefault="00A73437">
            <w:pPr>
              <w:jc w:val="center"/>
            </w:pPr>
            <w:r>
              <w:rPr>
                <w:color w:val="000000"/>
                <w:sz w:val="24"/>
                <w:szCs w:val="24"/>
              </w:rPr>
              <w:t>2015-11-21</w:t>
            </w:r>
          </w:p>
        </w:tc>
        <w:tc>
          <w:tcPr>
            <w:tcW w:w="1548" w:type="dxa"/>
            <w:vAlign w:val="center"/>
          </w:tcPr>
          <w:p w:rsidR="0001597E" w:rsidRDefault="00A73437">
            <w:pPr>
              <w:jc w:val="center"/>
            </w:pPr>
            <w:r>
              <w:rPr>
                <w:color w:val="000000"/>
                <w:sz w:val="24"/>
                <w:szCs w:val="24"/>
              </w:rPr>
              <w:t>-</w:t>
            </w:r>
          </w:p>
        </w:tc>
        <w:tc>
          <w:tcPr>
            <w:tcW w:w="1407" w:type="dxa"/>
            <w:vAlign w:val="center"/>
          </w:tcPr>
          <w:p w:rsidR="0001597E" w:rsidRDefault="00A73437">
            <w:pPr>
              <w:jc w:val="center"/>
            </w:pPr>
            <w:r>
              <w:rPr>
                <w:color w:val="000000"/>
                <w:sz w:val="24"/>
                <w:szCs w:val="24"/>
              </w:rPr>
              <w:t>1</w:t>
            </w:r>
            <w:r>
              <w:rPr>
                <w:color w:val="000000"/>
                <w:sz w:val="24"/>
                <w:szCs w:val="24"/>
              </w:rPr>
              <w:t>年</w:t>
            </w:r>
          </w:p>
        </w:tc>
        <w:tc>
          <w:tcPr>
            <w:tcW w:w="2673" w:type="dxa"/>
            <w:vAlign w:val="center"/>
          </w:tcPr>
          <w:p w:rsidR="0001597E" w:rsidRDefault="00A73437">
            <w:r>
              <w:rPr>
                <w:color w:val="000000"/>
                <w:sz w:val="24"/>
                <w:szCs w:val="24"/>
              </w:rPr>
              <w:t>章妍女士，复旦大学金融学硕士、中央财经大学统计学学士。</w:t>
            </w:r>
            <w:r>
              <w:rPr>
                <w:color w:val="000000"/>
                <w:sz w:val="24"/>
                <w:szCs w:val="24"/>
              </w:rPr>
              <w:t>9</w:t>
            </w:r>
            <w:r>
              <w:rPr>
                <w:color w:val="000000"/>
                <w:sz w:val="24"/>
                <w:szCs w:val="24"/>
              </w:rPr>
              <w:t>年金融行业证券投资工作经验，历任太平洋资产管理有限公司高级投资经理、资深投资经理。</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1597E" w:rsidRDefault="00A7343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1597E" w:rsidRDefault="00A7343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1597E" w:rsidRDefault="00A7343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27CCF" w:rsidRPr="00F27CCF" w:rsidRDefault="00F27CCF" w:rsidP="00082AAB">
      <w:pPr>
        <w:spacing w:before="29" w:line="288" w:lineRule="auto"/>
        <w:ind w:firstLineChars="200" w:firstLine="480"/>
        <w:rPr>
          <w:color w:val="000000"/>
          <w:sz w:val="24"/>
          <w:szCs w:val="24"/>
        </w:rPr>
      </w:pPr>
      <w:r w:rsidRPr="00F27CCF">
        <w:rPr>
          <w:rFonts w:hint="eastAsia"/>
          <w:color w:val="000000"/>
          <w:sz w:val="24"/>
          <w:szCs w:val="24"/>
        </w:rPr>
        <w:t>本报告期内，债券市场呈现震荡格局，</w:t>
      </w:r>
      <w:r w:rsidRPr="00F27CCF">
        <w:rPr>
          <w:rFonts w:hint="eastAsia"/>
          <w:color w:val="000000"/>
          <w:sz w:val="24"/>
          <w:szCs w:val="24"/>
        </w:rPr>
        <w:t>7</w:t>
      </w:r>
      <w:r w:rsidRPr="00F27CCF">
        <w:rPr>
          <w:rFonts w:hint="eastAsia"/>
          <w:color w:val="000000"/>
          <w:sz w:val="24"/>
          <w:szCs w:val="24"/>
        </w:rPr>
        <w:t>月债券收益率维持了窄幅震荡。进入</w:t>
      </w:r>
      <w:r w:rsidRPr="00F27CCF">
        <w:rPr>
          <w:rFonts w:hint="eastAsia"/>
          <w:color w:val="000000"/>
          <w:sz w:val="24"/>
          <w:szCs w:val="24"/>
        </w:rPr>
        <w:t>8</w:t>
      </w:r>
      <w:r w:rsidRPr="00F27CCF">
        <w:rPr>
          <w:rFonts w:hint="eastAsia"/>
          <w:color w:val="000000"/>
          <w:sz w:val="24"/>
          <w:szCs w:val="24"/>
        </w:rPr>
        <w:t>月，受</w:t>
      </w:r>
      <w:r w:rsidRPr="00F27CCF">
        <w:rPr>
          <w:rFonts w:hint="eastAsia"/>
          <w:color w:val="000000"/>
          <w:sz w:val="24"/>
          <w:szCs w:val="24"/>
        </w:rPr>
        <w:t>7</w:t>
      </w:r>
      <w:r w:rsidRPr="00F27CCF">
        <w:rPr>
          <w:rFonts w:hint="eastAsia"/>
          <w:color w:val="000000"/>
          <w:sz w:val="24"/>
          <w:szCs w:val="24"/>
        </w:rPr>
        <w:t>月信贷数据大幅低于预期及经济数据疲弱的影响，债券市场经历了一波急速上涨，收益率新低后市场出现止盈冲动引发</w:t>
      </w:r>
      <w:r w:rsidRPr="00F27CCF">
        <w:rPr>
          <w:rFonts w:hint="eastAsia"/>
          <w:color w:val="000000"/>
          <w:sz w:val="24"/>
          <w:szCs w:val="24"/>
        </w:rPr>
        <w:t>8</w:t>
      </w:r>
      <w:r w:rsidRPr="00F27CCF">
        <w:rPr>
          <w:rFonts w:hint="eastAsia"/>
          <w:color w:val="000000"/>
          <w:sz w:val="24"/>
          <w:szCs w:val="24"/>
        </w:rPr>
        <w:t>月上旬至</w:t>
      </w:r>
      <w:r w:rsidRPr="00F27CCF">
        <w:rPr>
          <w:rFonts w:hint="eastAsia"/>
          <w:color w:val="000000"/>
          <w:sz w:val="24"/>
          <w:szCs w:val="24"/>
        </w:rPr>
        <w:t>9</w:t>
      </w:r>
      <w:r w:rsidRPr="00F27CCF">
        <w:rPr>
          <w:rFonts w:hint="eastAsia"/>
          <w:color w:val="000000"/>
          <w:sz w:val="24"/>
          <w:szCs w:val="24"/>
        </w:rPr>
        <w:t>月上旬近一个月的调整，市场对货币政策乐观预期和经济悲观预期都出现了小幅修正，并强化了该调整，</w:t>
      </w:r>
      <w:r w:rsidRPr="00F27CCF">
        <w:rPr>
          <w:rFonts w:hint="eastAsia"/>
          <w:color w:val="000000"/>
          <w:sz w:val="24"/>
          <w:szCs w:val="24"/>
        </w:rPr>
        <w:t>10</w:t>
      </w:r>
      <w:r w:rsidRPr="00F27CCF">
        <w:rPr>
          <w:rFonts w:hint="eastAsia"/>
          <w:color w:val="000000"/>
          <w:sz w:val="24"/>
          <w:szCs w:val="24"/>
        </w:rPr>
        <w:t>年期国开一度上行</w:t>
      </w:r>
      <w:r w:rsidRPr="00F27CCF">
        <w:rPr>
          <w:rFonts w:hint="eastAsia"/>
          <w:color w:val="000000"/>
          <w:sz w:val="24"/>
          <w:szCs w:val="24"/>
        </w:rPr>
        <w:t>20BP</w:t>
      </w:r>
      <w:r w:rsidRPr="00F27CCF">
        <w:rPr>
          <w:rFonts w:hint="eastAsia"/>
          <w:color w:val="000000"/>
          <w:sz w:val="24"/>
          <w:szCs w:val="24"/>
        </w:rPr>
        <w:t>。</w:t>
      </w:r>
      <w:r w:rsidRPr="00F27CCF">
        <w:rPr>
          <w:rFonts w:hint="eastAsia"/>
          <w:color w:val="000000"/>
          <w:sz w:val="24"/>
          <w:szCs w:val="24"/>
        </w:rPr>
        <w:t>9</w:t>
      </w:r>
      <w:r w:rsidRPr="00F27CCF">
        <w:rPr>
          <w:rFonts w:hint="eastAsia"/>
          <w:color w:val="000000"/>
          <w:sz w:val="24"/>
          <w:szCs w:val="24"/>
        </w:rPr>
        <w:t>月中旬以后银行间市场流动性紧平衡，但收益率未见明显调整，信用债一级认购火爆，在三季度末资金面紧张的情况下，长端收益率还有下行，反映出债市供求情况仍有较强支撑。</w:t>
      </w:r>
    </w:p>
    <w:p w:rsidR="00F27CCF" w:rsidRPr="00F27CCF" w:rsidRDefault="00F27CCF" w:rsidP="00082AAB">
      <w:pPr>
        <w:spacing w:before="29" w:line="288" w:lineRule="auto"/>
        <w:ind w:firstLineChars="200" w:firstLine="480"/>
        <w:rPr>
          <w:color w:val="000000"/>
          <w:sz w:val="24"/>
          <w:szCs w:val="24"/>
        </w:rPr>
      </w:pPr>
      <w:r w:rsidRPr="00F27CCF">
        <w:rPr>
          <w:rFonts w:hint="eastAsia"/>
          <w:color w:val="000000"/>
          <w:sz w:val="24"/>
          <w:szCs w:val="24"/>
        </w:rPr>
        <w:t>三季度</w:t>
      </w:r>
      <w:r w:rsidRPr="00F27CCF">
        <w:rPr>
          <w:rFonts w:hint="eastAsia"/>
          <w:color w:val="000000"/>
          <w:sz w:val="24"/>
          <w:szCs w:val="24"/>
        </w:rPr>
        <w:t>A</w:t>
      </w:r>
      <w:r w:rsidRPr="00F27CCF">
        <w:rPr>
          <w:rFonts w:hint="eastAsia"/>
          <w:color w:val="000000"/>
          <w:sz w:val="24"/>
          <w:szCs w:val="24"/>
        </w:rPr>
        <w:t>股市场先跌后涨，总体呈现小幅反弹。低估值蓝筹股表现较好。</w:t>
      </w:r>
    </w:p>
    <w:p w:rsidR="00F27CCF" w:rsidRPr="00F27CCF" w:rsidRDefault="00F27CCF" w:rsidP="00082AAB">
      <w:pPr>
        <w:spacing w:before="29" w:line="288" w:lineRule="auto"/>
        <w:ind w:firstLineChars="200" w:firstLine="480"/>
        <w:rPr>
          <w:color w:val="000000"/>
          <w:sz w:val="24"/>
          <w:szCs w:val="24"/>
        </w:rPr>
      </w:pPr>
      <w:r w:rsidRPr="00F27CCF">
        <w:rPr>
          <w:rFonts w:hint="eastAsia"/>
          <w:color w:val="000000"/>
          <w:sz w:val="24"/>
          <w:szCs w:val="24"/>
        </w:rPr>
        <w:t>本基金三季度适当提高了组合的股票仓位，主要配置高股息有安全边际的品种及有业绩支撑的成长品种，同时积极参与新股申购，及时止盈止损。</w:t>
      </w:r>
    </w:p>
    <w:p w:rsidR="004061AC" w:rsidRPr="00414345" w:rsidRDefault="00F27CCF" w:rsidP="00C15CAC">
      <w:pPr>
        <w:spacing w:before="29" w:line="288" w:lineRule="auto"/>
        <w:ind w:firstLineChars="200" w:firstLine="480"/>
        <w:rPr>
          <w:color w:val="000000"/>
          <w:sz w:val="24"/>
          <w:szCs w:val="24"/>
        </w:rPr>
      </w:pPr>
      <w:r w:rsidRPr="00F27CCF">
        <w:rPr>
          <w:rFonts w:hint="eastAsia"/>
          <w:color w:val="000000"/>
          <w:sz w:val="24"/>
          <w:szCs w:val="24"/>
        </w:rPr>
        <w:t>展望四季度，对权益市场谨慎乐观，美联储年底加息预期，压制了全球流动性进一步宽松，可能继续压制权益市场表现，但房地产调控使得房金融风险得到阶段性化解后，股市的风险偏好预计会持续回升。本基金将在维持适度仓位的情况下，视市场情况，适当调整仓位，做好止盈止损，尽力控制回撤。</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00A73437">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00A73437" w:rsidRPr="00414345">
        <w:rPr>
          <w:color w:val="000000"/>
          <w:sz w:val="24"/>
          <w:szCs w:val="24"/>
        </w:rPr>
        <w:t>1.250</w:t>
      </w:r>
      <w:r w:rsidRPr="00414345">
        <w:rPr>
          <w:color w:val="000000"/>
          <w:sz w:val="24"/>
          <w:szCs w:val="24"/>
        </w:rPr>
        <w:t>元，本报告期份额净值增长率为</w:t>
      </w:r>
      <w:r w:rsidR="00A73437">
        <w:rPr>
          <w:color w:val="000000"/>
          <w:sz w:val="24"/>
          <w:szCs w:val="24"/>
        </w:rPr>
        <w:t>1.38%</w:t>
      </w:r>
      <w:r w:rsidRPr="00414345">
        <w:rPr>
          <w:color w:val="000000"/>
          <w:sz w:val="24"/>
          <w:szCs w:val="24"/>
        </w:rPr>
        <w:t>，同期业绩比较基准增长率为</w:t>
      </w:r>
      <w:r w:rsidRPr="00414345">
        <w:rPr>
          <w:color w:val="000000"/>
          <w:sz w:val="24"/>
          <w:szCs w:val="24"/>
        </w:rPr>
        <w:t>0.70%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24,768,684.48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16.40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24,768,684.48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16.40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50,690,000.00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50,690,000.00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10,000,000.00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6.62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64,123,144.84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42.47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1,404,386.07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0.93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150,986,215.39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708,800.00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17,308,486.17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2,802,000.00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463,800.00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657,102.85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1,269,495.46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24,768,684.48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16.46</w:t>
            </w:r>
          </w:p>
        </w:tc>
      </w:tr>
    </w:tbl>
    <w:p w:rsidR="001261A9" w:rsidRDefault="001261A9"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1597E">
        <w:trPr>
          <w:jc w:val="center"/>
        </w:trPr>
        <w:tc>
          <w:tcPr>
            <w:tcW w:w="855" w:type="dxa"/>
            <w:vAlign w:val="center"/>
          </w:tcPr>
          <w:p w:rsidR="0001597E" w:rsidRDefault="00A73437">
            <w:pPr>
              <w:jc w:val="center"/>
            </w:pPr>
            <w:r>
              <w:rPr>
                <w:color w:val="000000"/>
                <w:sz w:val="24"/>
                <w:szCs w:val="24"/>
              </w:rPr>
              <w:t>1</w:t>
            </w:r>
          </w:p>
        </w:tc>
        <w:tc>
          <w:tcPr>
            <w:tcW w:w="1334" w:type="dxa"/>
            <w:vAlign w:val="center"/>
          </w:tcPr>
          <w:p w:rsidR="0001597E" w:rsidRDefault="00A73437">
            <w:pPr>
              <w:jc w:val="center"/>
            </w:pPr>
            <w:r>
              <w:rPr>
                <w:color w:val="000000"/>
                <w:sz w:val="24"/>
                <w:szCs w:val="24"/>
              </w:rPr>
              <w:t>300488</w:t>
            </w:r>
          </w:p>
        </w:tc>
        <w:tc>
          <w:tcPr>
            <w:tcW w:w="1777" w:type="dxa"/>
            <w:vAlign w:val="center"/>
          </w:tcPr>
          <w:p w:rsidR="0001597E" w:rsidRDefault="00A73437">
            <w:pPr>
              <w:jc w:val="center"/>
            </w:pPr>
            <w:r>
              <w:rPr>
                <w:color w:val="000000"/>
                <w:sz w:val="24"/>
                <w:szCs w:val="24"/>
              </w:rPr>
              <w:t>恒锋工具</w:t>
            </w:r>
          </w:p>
        </w:tc>
        <w:tc>
          <w:tcPr>
            <w:tcW w:w="1334" w:type="dxa"/>
            <w:vAlign w:val="center"/>
          </w:tcPr>
          <w:p w:rsidR="0001597E" w:rsidRDefault="00A73437">
            <w:pPr>
              <w:jc w:val="right"/>
            </w:pPr>
            <w:r>
              <w:rPr>
                <w:color w:val="000000"/>
                <w:sz w:val="24"/>
                <w:szCs w:val="24"/>
              </w:rPr>
              <w:t>29,598</w:t>
            </w:r>
          </w:p>
        </w:tc>
        <w:tc>
          <w:tcPr>
            <w:tcW w:w="1924" w:type="dxa"/>
            <w:vAlign w:val="center"/>
          </w:tcPr>
          <w:p w:rsidR="0001597E" w:rsidRDefault="00A73437">
            <w:pPr>
              <w:jc w:val="right"/>
            </w:pPr>
            <w:r>
              <w:rPr>
                <w:color w:val="000000"/>
                <w:sz w:val="24"/>
                <w:szCs w:val="24"/>
              </w:rPr>
              <w:t>2,134,015.80</w:t>
            </w:r>
          </w:p>
        </w:tc>
        <w:tc>
          <w:tcPr>
            <w:tcW w:w="1644" w:type="dxa"/>
            <w:vAlign w:val="center"/>
          </w:tcPr>
          <w:p w:rsidR="0001597E" w:rsidRDefault="00A73437">
            <w:pPr>
              <w:jc w:val="right"/>
            </w:pPr>
            <w:r>
              <w:rPr>
                <w:color w:val="000000"/>
                <w:sz w:val="24"/>
                <w:szCs w:val="24"/>
              </w:rPr>
              <w:t>1.42</w:t>
            </w:r>
          </w:p>
        </w:tc>
      </w:tr>
      <w:tr w:rsidR="0001597E">
        <w:trPr>
          <w:jc w:val="center"/>
        </w:trPr>
        <w:tc>
          <w:tcPr>
            <w:tcW w:w="855" w:type="dxa"/>
            <w:vAlign w:val="center"/>
          </w:tcPr>
          <w:p w:rsidR="0001597E" w:rsidRDefault="00A73437">
            <w:pPr>
              <w:jc w:val="center"/>
            </w:pPr>
            <w:r>
              <w:rPr>
                <w:color w:val="000000"/>
                <w:sz w:val="24"/>
                <w:szCs w:val="24"/>
              </w:rPr>
              <w:t>2</w:t>
            </w:r>
          </w:p>
        </w:tc>
        <w:tc>
          <w:tcPr>
            <w:tcW w:w="1334" w:type="dxa"/>
            <w:vAlign w:val="center"/>
          </w:tcPr>
          <w:p w:rsidR="0001597E" w:rsidRDefault="00A73437">
            <w:pPr>
              <w:jc w:val="center"/>
            </w:pPr>
            <w:r>
              <w:rPr>
                <w:color w:val="000000"/>
                <w:sz w:val="24"/>
                <w:szCs w:val="24"/>
              </w:rPr>
              <w:t>600350</w:t>
            </w:r>
          </w:p>
        </w:tc>
        <w:tc>
          <w:tcPr>
            <w:tcW w:w="1777" w:type="dxa"/>
            <w:vAlign w:val="center"/>
          </w:tcPr>
          <w:p w:rsidR="0001597E" w:rsidRDefault="00A73437">
            <w:pPr>
              <w:jc w:val="center"/>
            </w:pPr>
            <w:r>
              <w:rPr>
                <w:color w:val="000000"/>
                <w:sz w:val="24"/>
                <w:szCs w:val="24"/>
              </w:rPr>
              <w:t>山东高速</w:t>
            </w:r>
          </w:p>
        </w:tc>
        <w:tc>
          <w:tcPr>
            <w:tcW w:w="1334" w:type="dxa"/>
            <w:vAlign w:val="center"/>
          </w:tcPr>
          <w:p w:rsidR="0001597E" w:rsidRDefault="00A73437">
            <w:pPr>
              <w:jc w:val="right"/>
            </w:pPr>
            <w:r>
              <w:rPr>
                <w:color w:val="000000"/>
                <w:sz w:val="24"/>
                <w:szCs w:val="24"/>
              </w:rPr>
              <w:t>300,000</w:t>
            </w:r>
          </w:p>
        </w:tc>
        <w:tc>
          <w:tcPr>
            <w:tcW w:w="1924" w:type="dxa"/>
            <w:vAlign w:val="center"/>
          </w:tcPr>
          <w:p w:rsidR="0001597E" w:rsidRDefault="00A73437">
            <w:pPr>
              <w:jc w:val="right"/>
            </w:pPr>
            <w:r>
              <w:rPr>
                <w:color w:val="000000"/>
                <w:sz w:val="24"/>
                <w:szCs w:val="24"/>
              </w:rPr>
              <w:t>1,803,000.00</w:t>
            </w:r>
          </w:p>
        </w:tc>
        <w:tc>
          <w:tcPr>
            <w:tcW w:w="1644" w:type="dxa"/>
            <w:vAlign w:val="center"/>
          </w:tcPr>
          <w:p w:rsidR="0001597E" w:rsidRDefault="00A73437">
            <w:pPr>
              <w:jc w:val="right"/>
            </w:pPr>
            <w:r>
              <w:rPr>
                <w:color w:val="000000"/>
                <w:sz w:val="24"/>
                <w:szCs w:val="24"/>
              </w:rPr>
              <w:t>1.20</w:t>
            </w:r>
          </w:p>
        </w:tc>
      </w:tr>
      <w:tr w:rsidR="0001597E">
        <w:trPr>
          <w:jc w:val="center"/>
        </w:trPr>
        <w:tc>
          <w:tcPr>
            <w:tcW w:w="855" w:type="dxa"/>
            <w:vAlign w:val="center"/>
          </w:tcPr>
          <w:p w:rsidR="0001597E" w:rsidRDefault="00A73437">
            <w:pPr>
              <w:jc w:val="center"/>
            </w:pPr>
            <w:r>
              <w:rPr>
                <w:color w:val="000000"/>
                <w:sz w:val="24"/>
                <w:szCs w:val="24"/>
              </w:rPr>
              <w:t>3</w:t>
            </w:r>
          </w:p>
        </w:tc>
        <w:tc>
          <w:tcPr>
            <w:tcW w:w="1334" w:type="dxa"/>
            <w:vAlign w:val="center"/>
          </w:tcPr>
          <w:p w:rsidR="0001597E" w:rsidRDefault="00A73437">
            <w:pPr>
              <w:jc w:val="center"/>
            </w:pPr>
            <w:r>
              <w:rPr>
                <w:color w:val="000000"/>
                <w:sz w:val="24"/>
                <w:szCs w:val="24"/>
              </w:rPr>
              <w:t>600104</w:t>
            </w:r>
          </w:p>
        </w:tc>
        <w:tc>
          <w:tcPr>
            <w:tcW w:w="1777" w:type="dxa"/>
            <w:vAlign w:val="center"/>
          </w:tcPr>
          <w:p w:rsidR="0001597E" w:rsidRDefault="00A73437">
            <w:pPr>
              <w:jc w:val="center"/>
            </w:pPr>
            <w:r>
              <w:rPr>
                <w:color w:val="000000"/>
                <w:sz w:val="24"/>
                <w:szCs w:val="24"/>
              </w:rPr>
              <w:t>上汽集团</w:t>
            </w:r>
          </w:p>
        </w:tc>
        <w:tc>
          <w:tcPr>
            <w:tcW w:w="1334" w:type="dxa"/>
            <w:vAlign w:val="center"/>
          </w:tcPr>
          <w:p w:rsidR="0001597E" w:rsidRDefault="00A73437">
            <w:pPr>
              <w:jc w:val="right"/>
            </w:pPr>
            <w:r>
              <w:rPr>
                <w:color w:val="000000"/>
                <w:sz w:val="24"/>
                <w:szCs w:val="24"/>
              </w:rPr>
              <w:t>80,000</w:t>
            </w:r>
          </w:p>
        </w:tc>
        <w:tc>
          <w:tcPr>
            <w:tcW w:w="1924" w:type="dxa"/>
            <w:vAlign w:val="center"/>
          </w:tcPr>
          <w:p w:rsidR="0001597E" w:rsidRDefault="00A73437">
            <w:pPr>
              <w:jc w:val="right"/>
            </w:pPr>
            <w:r>
              <w:rPr>
                <w:color w:val="000000"/>
                <w:sz w:val="24"/>
                <w:szCs w:val="24"/>
              </w:rPr>
              <w:t>1,748,000.00</w:t>
            </w:r>
          </w:p>
        </w:tc>
        <w:tc>
          <w:tcPr>
            <w:tcW w:w="1644" w:type="dxa"/>
            <w:vAlign w:val="center"/>
          </w:tcPr>
          <w:p w:rsidR="0001597E" w:rsidRDefault="00A73437">
            <w:pPr>
              <w:jc w:val="right"/>
            </w:pPr>
            <w:r>
              <w:rPr>
                <w:color w:val="000000"/>
                <w:sz w:val="24"/>
                <w:szCs w:val="24"/>
              </w:rPr>
              <w:t>1.16</w:t>
            </w:r>
          </w:p>
        </w:tc>
      </w:tr>
      <w:tr w:rsidR="0001597E">
        <w:trPr>
          <w:jc w:val="center"/>
        </w:trPr>
        <w:tc>
          <w:tcPr>
            <w:tcW w:w="855" w:type="dxa"/>
            <w:vAlign w:val="center"/>
          </w:tcPr>
          <w:p w:rsidR="0001597E" w:rsidRDefault="00A73437">
            <w:pPr>
              <w:jc w:val="center"/>
            </w:pPr>
            <w:r>
              <w:rPr>
                <w:color w:val="000000"/>
                <w:sz w:val="24"/>
                <w:szCs w:val="24"/>
              </w:rPr>
              <w:t>4</w:t>
            </w:r>
          </w:p>
        </w:tc>
        <w:tc>
          <w:tcPr>
            <w:tcW w:w="1334" w:type="dxa"/>
            <w:vAlign w:val="center"/>
          </w:tcPr>
          <w:p w:rsidR="0001597E" w:rsidRDefault="00A73437">
            <w:pPr>
              <w:jc w:val="center"/>
            </w:pPr>
            <w:r>
              <w:rPr>
                <w:color w:val="000000"/>
                <w:sz w:val="24"/>
                <w:szCs w:val="24"/>
              </w:rPr>
              <w:t>300407</w:t>
            </w:r>
          </w:p>
        </w:tc>
        <w:tc>
          <w:tcPr>
            <w:tcW w:w="1777" w:type="dxa"/>
            <w:vAlign w:val="center"/>
          </w:tcPr>
          <w:p w:rsidR="0001597E" w:rsidRDefault="00A73437">
            <w:pPr>
              <w:jc w:val="center"/>
            </w:pPr>
            <w:r>
              <w:rPr>
                <w:color w:val="000000"/>
                <w:sz w:val="24"/>
                <w:szCs w:val="24"/>
              </w:rPr>
              <w:t>凯发电气</w:t>
            </w:r>
          </w:p>
        </w:tc>
        <w:tc>
          <w:tcPr>
            <w:tcW w:w="1334" w:type="dxa"/>
            <w:vAlign w:val="center"/>
          </w:tcPr>
          <w:p w:rsidR="0001597E" w:rsidRDefault="00A73437">
            <w:pPr>
              <w:jc w:val="right"/>
            </w:pPr>
            <w:r>
              <w:rPr>
                <w:color w:val="000000"/>
                <w:sz w:val="24"/>
                <w:szCs w:val="24"/>
              </w:rPr>
              <w:t>100,000</w:t>
            </w:r>
          </w:p>
        </w:tc>
        <w:tc>
          <w:tcPr>
            <w:tcW w:w="1924" w:type="dxa"/>
            <w:vAlign w:val="center"/>
          </w:tcPr>
          <w:p w:rsidR="0001597E" w:rsidRDefault="00A73437">
            <w:pPr>
              <w:jc w:val="right"/>
            </w:pPr>
            <w:r>
              <w:rPr>
                <w:color w:val="000000"/>
                <w:sz w:val="24"/>
                <w:szCs w:val="24"/>
              </w:rPr>
              <w:t>1,738,000.00</w:t>
            </w:r>
          </w:p>
        </w:tc>
        <w:tc>
          <w:tcPr>
            <w:tcW w:w="1644" w:type="dxa"/>
            <w:vAlign w:val="center"/>
          </w:tcPr>
          <w:p w:rsidR="0001597E" w:rsidRDefault="00A73437">
            <w:pPr>
              <w:jc w:val="right"/>
            </w:pPr>
            <w:r>
              <w:rPr>
                <w:color w:val="000000"/>
                <w:sz w:val="24"/>
                <w:szCs w:val="24"/>
              </w:rPr>
              <w:t>1.16</w:t>
            </w:r>
          </w:p>
        </w:tc>
      </w:tr>
      <w:tr w:rsidR="0001597E">
        <w:trPr>
          <w:jc w:val="center"/>
        </w:trPr>
        <w:tc>
          <w:tcPr>
            <w:tcW w:w="855" w:type="dxa"/>
            <w:vAlign w:val="center"/>
          </w:tcPr>
          <w:p w:rsidR="0001597E" w:rsidRDefault="00A73437">
            <w:pPr>
              <w:jc w:val="center"/>
            </w:pPr>
            <w:r>
              <w:rPr>
                <w:color w:val="000000"/>
                <w:sz w:val="24"/>
                <w:szCs w:val="24"/>
              </w:rPr>
              <w:t>5</w:t>
            </w:r>
          </w:p>
        </w:tc>
        <w:tc>
          <w:tcPr>
            <w:tcW w:w="1334" w:type="dxa"/>
            <w:vAlign w:val="center"/>
          </w:tcPr>
          <w:p w:rsidR="0001597E" w:rsidRDefault="00A73437">
            <w:pPr>
              <w:jc w:val="center"/>
            </w:pPr>
            <w:r>
              <w:rPr>
                <w:color w:val="000000"/>
                <w:sz w:val="24"/>
                <w:szCs w:val="24"/>
              </w:rPr>
              <w:t>000599</w:t>
            </w:r>
          </w:p>
        </w:tc>
        <w:tc>
          <w:tcPr>
            <w:tcW w:w="1777" w:type="dxa"/>
            <w:vAlign w:val="center"/>
          </w:tcPr>
          <w:p w:rsidR="0001597E" w:rsidRDefault="00A73437">
            <w:pPr>
              <w:jc w:val="center"/>
            </w:pPr>
            <w:r>
              <w:rPr>
                <w:color w:val="000000"/>
                <w:sz w:val="24"/>
                <w:szCs w:val="24"/>
              </w:rPr>
              <w:t>青岛双星</w:t>
            </w:r>
          </w:p>
        </w:tc>
        <w:tc>
          <w:tcPr>
            <w:tcW w:w="1334" w:type="dxa"/>
            <w:vAlign w:val="center"/>
          </w:tcPr>
          <w:p w:rsidR="0001597E" w:rsidRDefault="00A73437">
            <w:pPr>
              <w:jc w:val="right"/>
            </w:pPr>
            <w:r>
              <w:rPr>
                <w:color w:val="000000"/>
                <w:sz w:val="24"/>
                <w:szCs w:val="24"/>
              </w:rPr>
              <w:t>200,000</w:t>
            </w:r>
          </w:p>
        </w:tc>
        <w:tc>
          <w:tcPr>
            <w:tcW w:w="1924" w:type="dxa"/>
            <w:vAlign w:val="center"/>
          </w:tcPr>
          <w:p w:rsidR="0001597E" w:rsidRDefault="00A73437">
            <w:pPr>
              <w:jc w:val="right"/>
            </w:pPr>
            <w:r>
              <w:rPr>
                <w:color w:val="000000"/>
                <w:sz w:val="24"/>
                <w:szCs w:val="24"/>
              </w:rPr>
              <w:t>1,578,000.00</w:t>
            </w:r>
          </w:p>
        </w:tc>
        <w:tc>
          <w:tcPr>
            <w:tcW w:w="1644" w:type="dxa"/>
            <w:vAlign w:val="center"/>
          </w:tcPr>
          <w:p w:rsidR="0001597E" w:rsidRDefault="00A73437">
            <w:pPr>
              <w:jc w:val="right"/>
            </w:pPr>
            <w:r>
              <w:rPr>
                <w:color w:val="000000"/>
                <w:sz w:val="24"/>
                <w:szCs w:val="24"/>
              </w:rPr>
              <w:t>1.05</w:t>
            </w:r>
          </w:p>
        </w:tc>
      </w:tr>
      <w:tr w:rsidR="0001597E">
        <w:trPr>
          <w:jc w:val="center"/>
        </w:trPr>
        <w:tc>
          <w:tcPr>
            <w:tcW w:w="855" w:type="dxa"/>
            <w:vAlign w:val="center"/>
          </w:tcPr>
          <w:p w:rsidR="0001597E" w:rsidRDefault="00A73437">
            <w:pPr>
              <w:jc w:val="center"/>
            </w:pPr>
            <w:r>
              <w:rPr>
                <w:color w:val="000000"/>
                <w:sz w:val="24"/>
                <w:szCs w:val="24"/>
              </w:rPr>
              <w:t>6</w:t>
            </w:r>
          </w:p>
        </w:tc>
        <w:tc>
          <w:tcPr>
            <w:tcW w:w="1334" w:type="dxa"/>
            <w:vAlign w:val="center"/>
          </w:tcPr>
          <w:p w:rsidR="0001597E" w:rsidRDefault="00A73437">
            <w:pPr>
              <w:jc w:val="center"/>
            </w:pPr>
            <w:r>
              <w:rPr>
                <w:color w:val="000000"/>
                <w:sz w:val="24"/>
                <w:szCs w:val="24"/>
              </w:rPr>
              <w:t>002045</w:t>
            </w:r>
          </w:p>
        </w:tc>
        <w:tc>
          <w:tcPr>
            <w:tcW w:w="1777" w:type="dxa"/>
            <w:vAlign w:val="center"/>
          </w:tcPr>
          <w:p w:rsidR="0001597E" w:rsidRDefault="00A73437">
            <w:pPr>
              <w:jc w:val="center"/>
            </w:pPr>
            <w:r>
              <w:rPr>
                <w:color w:val="000000"/>
                <w:sz w:val="24"/>
                <w:szCs w:val="24"/>
              </w:rPr>
              <w:t>国光电器</w:t>
            </w:r>
          </w:p>
        </w:tc>
        <w:tc>
          <w:tcPr>
            <w:tcW w:w="1334" w:type="dxa"/>
            <w:vAlign w:val="center"/>
          </w:tcPr>
          <w:p w:rsidR="0001597E" w:rsidRDefault="00A73437">
            <w:pPr>
              <w:jc w:val="right"/>
            </w:pPr>
            <w:r>
              <w:rPr>
                <w:color w:val="000000"/>
                <w:sz w:val="24"/>
                <w:szCs w:val="24"/>
              </w:rPr>
              <w:t>120,000</w:t>
            </w:r>
          </w:p>
        </w:tc>
        <w:tc>
          <w:tcPr>
            <w:tcW w:w="1924" w:type="dxa"/>
            <w:vAlign w:val="center"/>
          </w:tcPr>
          <w:p w:rsidR="0001597E" w:rsidRDefault="00A73437">
            <w:pPr>
              <w:jc w:val="right"/>
            </w:pPr>
            <w:r>
              <w:rPr>
                <w:color w:val="000000"/>
                <w:sz w:val="24"/>
                <w:szCs w:val="24"/>
              </w:rPr>
              <w:t>1,521,600.00</w:t>
            </w:r>
          </w:p>
        </w:tc>
        <w:tc>
          <w:tcPr>
            <w:tcW w:w="1644" w:type="dxa"/>
            <w:vAlign w:val="center"/>
          </w:tcPr>
          <w:p w:rsidR="0001597E" w:rsidRDefault="00A73437">
            <w:pPr>
              <w:jc w:val="right"/>
            </w:pPr>
            <w:r>
              <w:rPr>
                <w:color w:val="000000"/>
                <w:sz w:val="24"/>
                <w:szCs w:val="24"/>
              </w:rPr>
              <w:t>1.01</w:t>
            </w:r>
          </w:p>
        </w:tc>
      </w:tr>
      <w:tr w:rsidR="0001597E">
        <w:trPr>
          <w:jc w:val="center"/>
        </w:trPr>
        <w:tc>
          <w:tcPr>
            <w:tcW w:w="855" w:type="dxa"/>
            <w:vAlign w:val="center"/>
          </w:tcPr>
          <w:p w:rsidR="0001597E" w:rsidRDefault="00A73437">
            <w:pPr>
              <w:jc w:val="center"/>
            </w:pPr>
            <w:r>
              <w:rPr>
                <w:color w:val="000000"/>
                <w:sz w:val="24"/>
                <w:szCs w:val="24"/>
              </w:rPr>
              <w:t>7</w:t>
            </w:r>
          </w:p>
        </w:tc>
        <w:tc>
          <w:tcPr>
            <w:tcW w:w="1334" w:type="dxa"/>
            <w:vAlign w:val="center"/>
          </w:tcPr>
          <w:p w:rsidR="0001597E" w:rsidRDefault="00A73437">
            <w:pPr>
              <w:jc w:val="center"/>
            </w:pPr>
            <w:r>
              <w:rPr>
                <w:color w:val="000000"/>
                <w:sz w:val="24"/>
                <w:szCs w:val="24"/>
              </w:rPr>
              <w:t>600967</w:t>
            </w:r>
          </w:p>
        </w:tc>
        <w:tc>
          <w:tcPr>
            <w:tcW w:w="1777" w:type="dxa"/>
            <w:vAlign w:val="center"/>
          </w:tcPr>
          <w:p w:rsidR="0001597E" w:rsidRDefault="00A73437">
            <w:pPr>
              <w:jc w:val="center"/>
            </w:pPr>
            <w:r>
              <w:rPr>
                <w:color w:val="000000"/>
                <w:sz w:val="24"/>
                <w:szCs w:val="24"/>
              </w:rPr>
              <w:t>北方创业</w:t>
            </w:r>
          </w:p>
        </w:tc>
        <w:tc>
          <w:tcPr>
            <w:tcW w:w="1334" w:type="dxa"/>
            <w:vAlign w:val="center"/>
          </w:tcPr>
          <w:p w:rsidR="0001597E" w:rsidRDefault="00A73437">
            <w:pPr>
              <w:jc w:val="right"/>
            </w:pPr>
            <w:r>
              <w:rPr>
                <w:color w:val="000000"/>
                <w:sz w:val="24"/>
                <w:szCs w:val="24"/>
              </w:rPr>
              <w:t>120,000</w:t>
            </w:r>
          </w:p>
        </w:tc>
        <w:tc>
          <w:tcPr>
            <w:tcW w:w="1924" w:type="dxa"/>
            <w:vAlign w:val="center"/>
          </w:tcPr>
          <w:p w:rsidR="0001597E" w:rsidRDefault="00A73437">
            <w:pPr>
              <w:jc w:val="right"/>
            </w:pPr>
            <w:r>
              <w:rPr>
                <w:color w:val="000000"/>
                <w:sz w:val="24"/>
                <w:szCs w:val="24"/>
              </w:rPr>
              <w:t>1,402,800.00</w:t>
            </w:r>
          </w:p>
        </w:tc>
        <w:tc>
          <w:tcPr>
            <w:tcW w:w="1644" w:type="dxa"/>
            <w:vAlign w:val="center"/>
          </w:tcPr>
          <w:p w:rsidR="0001597E" w:rsidRDefault="00A73437">
            <w:pPr>
              <w:jc w:val="right"/>
            </w:pPr>
            <w:r>
              <w:rPr>
                <w:color w:val="000000"/>
                <w:sz w:val="24"/>
                <w:szCs w:val="24"/>
              </w:rPr>
              <w:t>0.93</w:t>
            </w:r>
          </w:p>
        </w:tc>
      </w:tr>
      <w:tr w:rsidR="0001597E">
        <w:trPr>
          <w:jc w:val="center"/>
        </w:trPr>
        <w:tc>
          <w:tcPr>
            <w:tcW w:w="855" w:type="dxa"/>
            <w:vAlign w:val="center"/>
          </w:tcPr>
          <w:p w:rsidR="0001597E" w:rsidRDefault="00A73437">
            <w:pPr>
              <w:jc w:val="center"/>
            </w:pPr>
            <w:r>
              <w:rPr>
                <w:color w:val="000000"/>
                <w:sz w:val="24"/>
                <w:szCs w:val="24"/>
              </w:rPr>
              <w:t>8</w:t>
            </w:r>
          </w:p>
        </w:tc>
        <w:tc>
          <w:tcPr>
            <w:tcW w:w="1334" w:type="dxa"/>
            <w:vAlign w:val="center"/>
          </w:tcPr>
          <w:p w:rsidR="0001597E" w:rsidRDefault="00A73437">
            <w:pPr>
              <w:jc w:val="center"/>
            </w:pPr>
            <w:r>
              <w:rPr>
                <w:color w:val="000000"/>
                <w:sz w:val="24"/>
                <w:szCs w:val="24"/>
              </w:rPr>
              <w:t>300437</w:t>
            </w:r>
          </w:p>
        </w:tc>
        <w:tc>
          <w:tcPr>
            <w:tcW w:w="1777" w:type="dxa"/>
            <w:vAlign w:val="center"/>
          </w:tcPr>
          <w:p w:rsidR="0001597E" w:rsidRDefault="00A73437">
            <w:pPr>
              <w:jc w:val="center"/>
            </w:pPr>
            <w:r>
              <w:rPr>
                <w:color w:val="000000"/>
                <w:sz w:val="24"/>
                <w:szCs w:val="24"/>
              </w:rPr>
              <w:t>清水源</w:t>
            </w:r>
          </w:p>
        </w:tc>
        <w:tc>
          <w:tcPr>
            <w:tcW w:w="1334" w:type="dxa"/>
            <w:vAlign w:val="center"/>
          </w:tcPr>
          <w:p w:rsidR="0001597E" w:rsidRDefault="00A73437">
            <w:pPr>
              <w:jc w:val="right"/>
            </w:pPr>
            <w:r>
              <w:rPr>
                <w:color w:val="000000"/>
                <w:sz w:val="24"/>
                <w:szCs w:val="24"/>
              </w:rPr>
              <w:t>50,000</w:t>
            </w:r>
          </w:p>
        </w:tc>
        <w:tc>
          <w:tcPr>
            <w:tcW w:w="1924" w:type="dxa"/>
            <w:vAlign w:val="center"/>
          </w:tcPr>
          <w:p w:rsidR="0001597E" w:rsidRDefault="00A73437">
            <w:pPr>
              <w:jc w:val="right"/>
            </w:pPr>
            <w:r>
              <w:rPr>
                <w:color w:val="000000"/>
                <w:sz w:val="24"/>
                <w:szCs w:val="24"/>
              </w:rPr>
              <w:t>1,363,500.00</w:t>
            </w:r>
          </w:p>
        </w:tc>
        <w:tc>
          <w:tcPr>
            <w:tcW w:w="1644" w:type="dxa"/>
            <w:vAlign w:val="center"/>
          </w:tcPr>
          <w:p w:rsidR="0001597E" w:rsidRDefault="00A73437">
            <w:pPr>
              <w:jc w:val="right"/>
            </w:pPr>
            <w:r>
              <w:rPr>
                <w:color w:val="000000"/>
                <w:sz w:val="24"/>
                <w:szCs w:val="24"/>
              </w:rPr>
              <w:t>0.91</w:t>
            </w:r>
          </w:p>
        </w:tc>
      </w:tr>
      <w:tr w:rsidR="0001597E">
        <w:trPr>
          <w:jc w:val="center"/>
        </w:trPr>
        <w:tc>
          <w:tcPr>
            <w:tcW w:w="855" w:type="dxa"/>
            <w:vAlign w:val="center"/>
          </w:tcPr>
          <w:p w:rsidR="0001597E" w:rsidRDefault="00A73437">
            <w:pPr>
              <w:jc w:val="center"/>
            </w:pPr>
            <w:r>
              <w:rPr>
                <w:color w:val="000000"/>
                <w:sz w:val="24"/>
                <w:szCs w:val="24"/>
              </w:rPr>
              <w:t>9</w:t>
            </w:r>
          </w:p>
        </w:tc>
        <w:tc>
          <w:tcPr>
            <w:tcW w:w="1334" w:type="dxa"/>
            <w:vAlign w:val="center"/>
          </w:tcPr>
          <w:p w:rsidR="0001597E" w:rsidRDefault="00A73437">
            <w:pPr>
              <w:jc w:val="center"/>
            </w:pPr>
            <w:r>
              <w:rPr>
                <w:color w:val="000000"/>
                <w:sz w:val="24"/>
                <w:szCs w:val="24"/>
              </w:rPr>
              <w:t>300144</w:t>
            </w:r>
          </w:p>
        </w:tc>
        <w:tc>
          <w:tcPr>
            <w:tcW w:w="1777" w:type="dxa"/>
            <w:vAlign w:val="center"/>
          </w:tcPr>
          <w:p w:rsidR="0001597E" w:rsidRDefault="00A73437">
            <w:pPr>
              <w:jc w:val="center"/>
            </w:pPr>
            <w:r>
              <w:rPr>
                <w:color w:val="000000"/>
                <w:sz w:val="24"/>
                <w:szCs w:val="24"/>
              </w:rPr>
              <w:t>宋城演艺</w:t>
            </w:r>
          </w:p>
        </w:tc>
        <w:tc>
          <w:tcPr>
            <w:tcW w:w="1334" w:type="dxa"/>
            <w:vAlign w:val="center"/>
          </w:tcPr>
          <w:p w:rsidR="0001597E" w:rsidRDefault="00A73437">
            <w:pPr>
              <w:jc w:val="right"/>
            </w:pPr>
            <w:r>
              <w:rPr>
                <w:color w:val="000000"/>
                <w:sz w:val="24"/>
                <w:szCs w:val="24"/>
              </w:rPr>
              <w:t>50,000</w:t>
            </w:r>
          </w:p>
        </w:tc>
        <w:tc>
          <w:tcPr>
            <w:tcW w:w="1924" w:type="dxa"/>
            <w:vAlign w:val="center"/>
          </w:tcPr>
          <w:p w:rsidR="0001597E" w:rsidRDefault="00A73437">
            <w:pPr>
              <w:jc w:val="right"/>
            </w:pPr>
            <w:r>
              <w:rPr>
                <w:color w:val="000000"/>
                <w:sz w:val="24"/>
                <w:szCs w:val="24"/>
              </w:rPr>
              <w:t>1,225,000.00</w:t>
            </w:r>
          </w:p>
        </w:tc>
        <w:tc>
          <w:tcPr>
            <w:tcW w:w="1644" w:type="dxa"/>
            <w:vAlign w:val="center"/>
          </w:tcPr>
          <w:p w:rsidR="0001597E" w:rsidRDefault="00A73437">
            <w:pPr>
              <w:jc w:val="right"/>
            </w:pPr>
            <w:r>
              <w:rPr>
                <w:color w:val="000000"/>
                <w:sz w:val="24"/>
                <w:szCs w:val="24"/>
              </w:rPr>
              <w:t>0.81</w:t>
            </w:r>
          </w:p>
        </w:tc>
      </w:tr>
      <w:tr w:rsidR="0001597E">
        <w:trPr>
          <w:jc w:val="center"/>
        </w:trPr>
        <w:tc>
          <w:tcPr>
            <w:tcW w:w="855" w:type="dxa"/>
            <w:vAlign w:val="center"/>
          </w:tcPr>
          <w:p w:rsidR="0001597E" w:rsidRDefault="00A73437">
            <w:pPr>
              <w:jc w:val="center"/>
            </w:pPr>
            <w:r>
              <w:rPr>
                <w:color w:val="000000"/>
                <w:sz w:val="24"/>
                <w:szCs w:val="24"/>
              </w:rPr>
              <w:t>10</w:t>
            </w:r>
          </w:p>
        </w:tc>
        <w:tc>
          <w:tcPr>
            <w:tcW w:w="1334" w:type="dxa"/>
            <w:vAlign w:val="center"/>
          </w:tcPr>
          <w:p w:rsidR="0001597E" w:rsidRDefault="00A73437">
            <w:pPr>
              <w:jc w:val="center"/>
            </w:pPr>
            <w:r>
              <w:rPr>
                <w:color w:val="000000"/>
                <w:sz w:val="24"/>
                <w:szCs w:val="24"/>
              </w:rPr>
              <w:t>601633</w:t>
            </w:r>
          </w:p>
        </w:tc>
        <w:tc>
          <w:tcPr>
            <w:tcW w:w="1777" w:type="dxa"/>
            <w:vAlign w:val="center"/>
          </w:tcPr>
          <w:p w:rsidR="0001597E" w:rsidRDefault="00A73437">
            <w:pPr>
              <w:jc w:val="center"/>
            </w:pPr>
            <w:r>
              <w:rPr>
                <w:color w:val="000000"/>
                <w:sz w:val="24"/>
                <w:szCs w:val="24"/>
              </w:rPr>
              <w:t>长城汽车</w:t>
            </w:r>
          </w:p>
        </w:tc>
        <w:tc>
          <w:tcPr>
            <w:tcW w:w="1334" w:type="dxa"/>
            <w:vAlign w:val="center"/>
          </w:tcPr>
          <w:p w:rsidR="0001597E" w:rsidRDefault="00A73437">
            <w:pPr>
              <w:jc w:val="right"/>
            </w:pPr>
            <w:r>
              <w:rPr>
                <w:color w:val="000000"/>
                <w:sz w:val="24"/>
                <w:szCs w:val="24"/>
              </w:rPr>
              <w:t>110,000</w:t>
            </w:r>
          </w:p>
        </w:tc>
        <w:tc>
          <w:tcPr>
            <w:tcW w:w="1924" w:type="dxa"/>
            <w:vAlign w:val="center"/>
          </w:tcPr>
          <w:p w:rsidR="0001597E" w:rsidRDefault="00A73437">
            <w:pPr>
              <w:jc w:val="right"/>
            </w:pPr>
            <w:r>
              <w:rPr>
                <w:color w:val="000000"/>
                <w:sz w:val="24"/>
                <w:szCs w:val="24"/>
              </w:rPr>
              <w:t>1,175,900.00</w:t>
            </w:r>
          </w:p>
        </w:tc>
        <w:tc>
          <w:tcPr>
            <w:tcW w:w="1644" w:type="dxa"/>
            <w:vAlign w:val="center"/>
          </w:tcPr>
          <w:p w:rsidR="0001597E" w:rsidRDefault="00A73437">
            <w:pPr>
              <w:jc w:val="right"/>
            </w:pPr>
            <w:r>
              <w:rPr>
                <w:color w:val="000000"/>
                <w:sz w:val="24"/>
                <w:szCs w:val="24"/>
              </w:rPr>
              <w:t>0.78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50,690,000.00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33.69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50,690,000.00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33.69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50,690,000.00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33.69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1597E">
        <w:trPr>
          <w:jc w:val="center"/>
        </w:trPr>
        <w:tc>
          <w:tcPr>
            <w:tcW w:w="850" w:type="dxa"/>
            <w:vAlign w:val="center"/>
          </w:tcPr>
          <w:p w:rsidR="0001597E" w:rsidRDefault="00A73437">
            <w:pPr>
              <w:jc w:val="center"/>
            </w:pPr>
            <w:r>
              <w:rPr>
                <w:color w:val="000000"/>
                <w:sz w:val="24"/>
                <w:szCs w:val="24"/>
              </w:rPr>
              <w:t>1</w:t>
            </w:r>
          </w:p>
        </w:tc>
        <w:tc>
          <w:tcPr>
            <w:tcW w:w="1475" w:type="dxa"/>
            <w:vAlign w:val="center"/>
          </w:tcPr>
          <w:p w:rsidR="0001597E" w:rsidRDefault="00A73437">
            <w:pPr>
              <w:jc w:val="center"/>
            </w:pPr>
            <w:r>
              <w:rPr>
                <w:color w:val="000000"/>
                <w:sz w:val="24"/>
                <w:szCs w:val="24"/>
              </w:rPr>
              <w:t>140424</w:t>
            </w:r>
          </w:p>
        </w:tc>
        <w:tc>
          <w:tcPr>
            <w:tcW w:w="1769" w:type="dxa"/>
            <w:vAlign w:val="center"/>
          </w:tcPr>
          <w:p w:rsidR="0001597E" w:rsidRDefault="00A73437">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rsidR="0001597E" w:rsidRDefault="00A73437">
            <w:pPr>
              <w:jc w:val="right"/>
            </w:pPr>
            <w:r>
              <w:rPr>
                <w:color w:val="000000"/>
                <w:sz w:val="24"/>
                <w:szCs w:val="24"/>
              </w:rPr>
              <w:t>500,000</w:t>
            </w:r>
          </w:p>
        </w:tc>
        <w:tc>
          <w:tcPr>
            <w:tcW w:w="2150" w:type="dxa"/>
            <w:vAlign w:val="center"/>
          </w:tcPr>
          <w:p w:rsidR="0001597E" w:rsidRDefault="00A73437">
            <w:pPr>
              <w:jc w:val="right"/>
            </w:pPr>
            <w:r>
              <w:rPr>
                <w:color w:val="000000"/>
                <w:sz w:val="24"/>
                <w:szCs w:val="24"/>
              </w:rPr>
              <w:t>50,690,000.00</w:t>
            </w:r>
          </w:p>
        </w:tc>
        <w:tc>
          <w:tcPr>
            <w:tcW w:w="1237" w:type="dxa"/>
            <w:vAlign w:val="center"/>
          </w:tcPr>
          <w:p w:rsidR="0001597E" w:rsidRDefault="00A73437">
            <w:pPr>
              <w:jc w:val="right"/>
            </w:pPr>
            <w:r>
              <w:rPr>
                <w:color w:val="000000"/>
                <w:sz w:val="24"/>
                <w:szCs w:val="24"/>
              </w:rPr>
              <w:t>33.69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26,454.33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1,377,931.74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1,404,386.07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1597E">
        <w:trPr>
          <w:jc w:val="center"/>
        </w:trPr>
        <w:tc>
          <w:tcPr>
            <w:tcW w:w="1129" w:type="dxa"/>
            <w:vAlign w:val="center"/>
          </w:tcPr>
          <w:p w:rsidR="0001597E" w:rsidRDefault="00A73437">
            <w:pPr>
              <w:jc w:val="center"/>
            </w:pPr>
            <w:r>
              <w:rPr>
                <w:color w:val="000000"/>
                <w:sz w:val="24"/>
                <w:szCs w:val="24"/>
              </w:rPr>
              <w:t>1</w:t>
            </w:r>
          </w:p>
        </w:tc>
        <w:tc>
          <w:tcPr>
            <w:tcW w:w="1356" w:type="dxa"/>
            <w:vAlign w:val="center"/>
          </w:tcPr>
          <w:p w:rsidR="0001597E" w:rsidRDefault="00A73437">
            <w:pPr>
              <w:jc w:val="center"/>
            </w:pPr>
            <w:r>
              <w:rPr>
                <w:color w:val="000000"/>
                <w:sz w:val="24"/>
                <w:szCs w:val="24"/>
              </w:rPr>
              <w:t>300488</w:t>
            </w:r>
          </w:p>
        </w:tc>
        <w:tc>
          <w:tcPr>
            <w:tcW w:w="1355" w:type="dxa"/>
            <w:vAlign w:val="center"/>
          </w:tcPr>
          <w:p w:rsidR="0001597E" w:rsidRDefault="00A73437">
            <w:pPr>
              <w:jc w:val="center"/>
            </w:pPr>
            <w:r>
              <w:rPr>
                <w:color w:val="000000"/>
                <w:sz w:val="24"/>
                <w:szCs w:val="24"/>
              </w:rPr>
              <w:t>恒锋工具</w:t>
            </w:r>
          </w:p>
        </w:tc>
        <w:tc>
          <w:tcPr>
            <w:tcW w:w="1880" w:type="dxa"/>
            <w:vAlign w:val="center"/>
          </w:tcPr>
          <w:p w:rsidR="0001597E" w:rsidRDefault="00A73437">
            <w:pPr>
              <w:jc w:val="right"/>
            </w:pPr>
            <w:r>
              <w:rPr>
                <w:color w:val="000000"/>
                <w:sz w:val="24"/>
                <w:szCs w:val="24"/>
              </w:rPr>
              <w:t>2,134,015.80</w:t>
            </w:r>
          </w:p>
        </w:tc>
        <w:tc>
          <w:tcPr>
            <w:tcW w:w="1724" w:type="dxa"/>
            <w:vAlign w:val="center"/>
          </w:tcPr>
          <w:p w:rsidR="0001597E" w:rsidRDefault="00A73437">
            <w:pPr>
              <w:jc w:val="right"/>
            </w:pPr>
            <w:r>
              <w:rPr>
                <w:color w:val="000000"/>
                <w:sz w:val="24"/>
                <w:szCs w:val="24"/>
              </w:rPr>
              <w:t>1.42</w:t>
            </w:r>
          </w:p>
        </w:tc>
        <w:tc>
          <w:tcPr>
            <w:tcW w:w="1424" w:type="dxa"/>
            <w:vAlign w:val="center"/>
          </w:tcPr>
          <w:p w:rsidR="0001597E" w:rsidRDefault="00A73437" w:rsidP="00082AAB">
            <w:pPr>
              <w:jc w:val="center"/>
            </w:pPr>
            <w:r w:rsidRPr="00082AAB">
              <w:rPr>
                <w:rFonts w:hint="eastAsia"/>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01597E" w:rsidRDefault="00A73437">
      <w:pPr>
        <w:spacing w:before="29" w:line="288" w:lineRule="auto"/>
        <w:rPr>
          <w:color w:val="000000"/>
          <w:sz w:val="24"/>
          <w:szCs w:val="24"/>
        </w:rPr>
      </w:pPr>
      <w:r>
        <w:rPr>
          <w:color w:val="000000"/>
          <w:sz w:val="24"/>
          <w:szCs w:val="24"/>
        </w:rPr>
        <w:t>1</w:t>
      </w:r>
      <w:r>
        <w:rPr>
          <w:color w:val="000000"/>
          <w:sz w:val="24"/>
          <w:szCs w:val="24"/>
        </w:rPr>
        <w:t>、本基金本报告期末未持有处于交换期的可交换债券。</w:t>
      </w:r>
    </w:p>
    <w:p w:rsidR="006B2FF6" w:rsidRPr="00414345" w:rsidRDefault="004061AC" w:rsidP="00E40D31">
      <w:pPr>
        <w:spacing w:before="29" w:line="288" w:lineRule="auto"/>
        <w:rPr>
          <w:color w:val="000000"/>
          <w:sz w:val="24"/>
          <w:szCs w:val="24"/>
        </w:rPr>
      </w:pPr>
      <w:r w:rsidRPr="00414345">
        <w:rPr>
          <w:color w:val="000000"/>
          <w:sz w:val="24"/>
          <w:szCs w:val="24"/>
        </w:rPr>
        <w:t>2</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125,108,212.18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496,374.50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5,269,355.85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120,335,230.83</w:t>
            </w:r>
          </w:p>
        </w:tc>
      </w:tr>
    </w:tbl>
    <w:p w:rsidR="0001597E" w:rsidRDefault="00A7343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01597E" w:rsidRDefault="00A7343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01597E" w:rsidRDefault="00A7343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、《交银施罗德荣泰保本混合型证券投资基金基金合同》；</w:t>
      </w:r>
      <w:r>
        <w:rPr>
          <w:color w:val="000000"/>
          <w:sz w:val="24"/>
          <w:szCs w:val="24"/>
        </w:rPr>
        <w:t xml:space="preserve"> </w:t>
      </w:r>
    </w:p>
    <w:p w:rsidR="0001597E" w:rsidRDefault="00A7343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、《交银施罗德荣泰保本混合型证券投资基金招募说明书》；</w:t>
      </w:r>
    </w:p>
    <w:p w:rsidR="0001597E" w:rsidRDefault="00A7343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、《交银施罗德荣泰保本混合型证券投资基金托管协议》；</w:t>
      </w:r>
      <w:r>
        <w:rPr>
          <w:color w:val="000000"/>
          <w:sz w:val="24"/>
          <w:szCs w:val="24"/>
        </w:rPr>
        <w:t xml:space="preserve"> </w:t>
      </w:r>
    </w:p>
    <w:p w:rsidR="0001597E" w:rsidRDefault="00A73437">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01597E" w:rsidRDefault="00A73437">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01597E" w:rsidRDefault="00A73437">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、关于申请募集交银施罗德荣泰保本混合型证券投资基金之法律意见书；</w:t>
      </w:r>
    </w:p>
    <w:p w:rsidR="0001597E" w:rsidRDefault="00A73437">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01597E" w:rsidRDefault="00A7343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430" w:rsidRDefault="00C82430" w:rsidP="00876D65">
      <w:r>
        <w:separator/>
      </w:r>
    </w:p>
  </w:endnote>
  <w:endnote w:type="continuationSeparator" w:id="0">
    <w:p w:rsidR="00C82430" w:rsidRDefault="00C8243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082AAB">
      <w:rPr>
        <w:noProof/>
        <w:kern w:val="0"/>
        <w:szCs w:val="21"/>
      </w:rPr>
      <w:t>7</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082AAB">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430" w:rsidRDefault="00C82430" w:rsidP="00876D65">
      <w:r>
        <w:separator/>
      </w:r>
    </w:p>
  </w:footnote>
  <w:footnote w:type="continuationSeparator" w:id="0">
    <w:p w:rsidR="00C82430" w:rsidRDefault="00C8243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597E"/>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2AAB"/>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261A9"/>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1C52"/>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1DBE"/>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3437"/>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2430"/>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27CCF"/>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2EB"/>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DBAA-EBF8-43A9-B374-DFFCC4EB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12</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567</cp:revision>
  <dcterms:created xsi:type="dcterms:W3CDTF">2012-10-16T06:07:00Z</dcterms:created>
  <dcterms:modified xsi:type="dcterms:W3CDTF">2016-10-20T11:33:00Z</dcterms:modified>
</cp:coreProperties>
</file>