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76302" w:rsidRDefault="005A1B1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76302" w:rsidRDefault="005A1B12">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76302" w:rsidRDefault="005A1B1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76302" w:rsidRDefault="005A1B1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76302" w:rsidRDefault="005A1B12">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298,514,312.85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B529E" w:rsidRPr="00414345" w:rsidTr="00AB529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AB529E" w:rsidRPr="00414345" w:rsidTr="00AB529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44,249,229.41</w:t>
            </w:r>
          </w:p>
        </w:tc>
      </w:tr>
      <w:tr w:rsidR="00AB529E" w:rsidRPr="00414345" w:rsidTr="00AB529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48,994,805.67</w:t>
            </w:r>
          </w:p>
        </w:tc>
      </w:tr>
      <w:tr w:rsidR="00AB529E" w:rsidRPr="00414345" w:rsidTr="00AB529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0.1887</w:t>
            </w:r>
          </w:p>
        </w:tc>
      </w:tr>
      <w:tr w:rsidR="00AB529E" w:rsidRPr="00414345" w:rsidTr="00AB529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556,472,503.34</w:t>
            </w:r>
          </w:p>
        </w:tc>
      </w:tr>
      <w:tr w:rsidR="00AB529E" w:rsidRPr="00414345" w:rsidTr="00AB529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1.864</w:t>
            </w:r>
          </w:p>
        </w:tc>
      </w:tr>
    </w:tbl>
    <w:p w:rsidR="00A76302" w:rsidRDefault="005A1B1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BD0A2D">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76302">
        <w:trPr>
          <w:jc w:val="center"/>
        </w:trPr>
        <w:tc>
          <w:tcPr>
            <w:tcW w:w="1701" w:type="dxa"/>
            <w:vAlign w:val="center"/>
          </w:tcPr>
          <w:p w:rsidR="00A76302" w:rsidRDefault="005A1B12">
            <w:pPr>
              <w:jc w:val="left"/>
            </w:pPr>
            <w:r>
              <w:rPr>
                <w:color w:val="000000"/>
                <w:sz w:val="24"/>
                <w:szCs w:val="24"/>
              </w:rPr>
              <w:t>过去三个月</w:t>
            </w:r>
          </w:p>
        </w:tc>
        <w:tc>
          <w:tcPr>
            <w:tcW w:w="1045" w:type="dxa"/>
            <w:vAlign w:val="center"/>
          </w:tcPr>
          <w:p w:rsidR="00A76302" w:rsidRDefault="005A1B12">
            <w:pPr>
              <w:jc w:val="center"/>
            </w:pPr>
            <w:r>
              <w:rPr>
                <w:color w:val="000000"/>
                <w:sz w:val="24"/>
                <w:szCs w:val="24"/>
              </w:rPr>
              <w:t>10.82%</w:t>
            </w:r>
          </w:p>
        </w:tc>
        <w:tc>
          <w:tcPr>
            <w:tcW w:w="1344" w:type="dxa"/>
            <w:vAlign w:val="center"/>
          </w:tcPr>
          <w:p w:rsidR="00A76302" w:rsidRDefault="005A1B12">
            <w:pPr>
              <w:jc w:val="center"/>
            </w:pPr>
            <w:r>
              <w:rPr>
                <w:color w:val="000000"/>
                <w:sz w:val="24"/>
                <w:szCs w:val="24"/>
              </w:rPr>
              <w:t>0.77%</w:t>
            </w:r>
          </w:p>
        </w:tc>
        <w:tc>
          <w:tcPr>
            <w:tcW w:w="1194" w:type="dxa"/>
            <w:vAlign w:val="center"/>
          </w:tcPr>
          <w:p w:rsidR="00A76302" w:rsidRDefault="005A1B12">
            <w:pPr>
              <w:jc w:val="center"/>
            </w:pPr>
            <w:r>
              <w:rPr>
                <w:color w:val="000000"/>
                <w:sz w:val="24"/>
                <w:szCs w:val="24"/>
              </w:rPr>
              <w:t>1.54%</w:t>
            </w:r>
          </w:p>
        </w:tc>
        <w:tc>
          <w:tcPr>
            <w:tcW w:w="1492" w:type="dxa"/>
            <w:vAlign w:val="center"/>
          </w:tcPr>
          <w:p w:rsidR="00A76302" w:rsidRDefault="005A1B12">
            <w:pPr>
              <w:jc w:val="center"/>
            </w:pPr>
            <w:r>
              <w:rPr>
                <w:color w:val="000000"/>
                <w:sz w:val="24"/>
                <w:szCs w:val="24"/>
              </w:rPr>
              <w:t>0.68%</w:t>
            </w:r>
          </w:p>
        </w:tc>
        <w:tc>
          <w:tcPr>
            <w:tcW w:w="1194" w:type="dxa"/>
            <w:vAlign w:val="center"/>
          </w:tcPr>
          <w:p w:rsidR="00A76302" w:rsidRDefault="005A1B12">
            <w:pPr>
              <w:jc w:val="center"/>
            </w:pPr>
            <w:r>
              <w:rPr>
                <w:color w:val="000000"/>
                <w:sz w:val="24"/>
                <w:szCs w:val="24"/>
              </w:rPr>
              <w:t>9.28%</w:t>
            </w:r>
          </w:p>
        </w:tc>
        <w:tc>
          <w:tcPr>
            <w:tcW w:w="898" w:type="dxa"/>
            <w:vAlign w:val="center"/>
          </w:tcPr>
          <w:p w:rsidR="00A76302" w:rsidRDefault="005A1B12">
            <w:pPr>
              <w:jc w:val="center"/>
            </w:pPr>
            <w:r>
              <w:rPr>
                <w:color w:val="000000"/>
                <w:sz w:val="24"/>
                <w:szCs w:val="24"/>
              </w:rPr>
              <w:t>0.09%</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Default="00693843" w:rsidP="00C15CAC">
      <w:pPr>
        <w:tabs>
          <w:tab w:val="left" w:pos="1800"/>
        </w:tabs>
        <w:spacing w:before="29" w:line="288" w:lineRule="auto"/>
        <w:rPr>
          <w:color w:val="000000"/>
          <w:sz w:val="24"/>
          <w:szCs w:val="24"/>
        </w:rPr>
      </w:pPr>
    </w:p>
    <w:p w:rsidR="005A1B12" w:rsidRPr="00414345" w:rsidRDefault="005A1B12"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76302">
        <w:trPr>
          <w:jc w:val="center"/>
        </w:trPr>
        <w:tc>
          <w:tcPr>
            <w:tcW w:w="846" w:type="dxa"/>
            <w:vAlign w:val="center"/>
          </w:tcPr>
          <w:p w:rsidR="00A76302" w:rsidRDefault="005A1B12">
            <w:pPr>
              <w:jc w:val="center"/>
            </w:pPr>
            <w:r>
              <w:rPr>
                <w:color w:val="000000"/>
                <w:sz w:val="24"/>
                <w:szCs w:val="24"/>
              </w:rPr>
              <w:t>王崇</w:t>
            </w:r>
          </w:p>
        </w:tc>
        <w:tc>
          <w:tcPr>
            <w:tcW w:w="845" w:type="dxa"/>
            <w:vAlign w:val="center"/>
          </w:tcPr>
          <w:p w:rsidR="00A76302" w:rsidRDefault="005A1B12">
            <w:pPr>
              <w:jc w:val="center"/>
            </w:pPr>
            <w:r>
              <w:rPr>
                <w:color w:val="000000"/>
                <w:sz w:val="24"/>
                <w:szCs w:val="24"/>
              </w:rPr>
              <w:t>交银新成长混合的基金经理</w:t>
            </w:r>
          </w:p>
        </w:tc>
        <w:tc>
          <w:tcPr>
            <w:tcW w:w="1549" w:type="dxa"/>
            <w:vAlign w:val="center"/>
          </w:tcPr>
          <w:p w:rsidR="00A76302" w:rsidRDefault="005A1B12">
            <w:pPr>
              <w:jc w:val="center"/>
            </w:pPr>
            <w:r>
              <w:rPr>
                <w:color w:val="000000"/>
                <w:sz w:val="24"/>
                <w:szCs w:val="24"/>
              </w:rPr>
              <w:t>2014-10-22</w:t>
            </w:r>
          </w:p>
        </w:tc>
        <w:tc>
          <w:tcPr>
            <w:tcW w:w="1548" w:type="dxa"/>
            <w:vAlign w:val="center"/>
          </w:tcPr>
          <w:p w:rsidR="00A76302" w:rsidRDefault="005A1B12">
            <w:pPr>
              <w:jc w:val="center"/>
            </w:pPr>
            <w:r>
              <w:rPr>
                <w:color w:val="000000"/>
                <w:sz w:val="24"/>
                <w:szCs w:val="24"/>
              </w:rPr>
              <w:t>-</w:t>
            </w:r>
          </w:p>
        </w:tc>
        <w:tc>
          <w:tcPr>
            <w:tcW w:w="1407" w:type="dxa"/>
            <w:vAlign w:val="center"/>
          </w:tcPr>
          <w:p w:rsidR="00A76302" w:rsidRDefault="005A1B12">
            <w:pPr>
              <w:jc w:val="center"/>
            </w:pPr>
            <w:r>
              <w:rPr>
                <w:color w:val="000000"/>
                <w:sz w:val="24"/>
                <w:szCs w:val="24"/>
              </w:rPr>
              <w:t>8</w:t>
            </w:r>
            <w:r>
              <w:rPr>
                <w:color w:val="000000"/>
                <w:sz w:val="24"/>
                <w:szCs w:val="24"/>
              </w:rPr>
              <w:t>年</w:t>
            </w:r>
          </w:p>
        </w:tc>
        <w:tc>
          <w:tcPr>
            <w:tcW w:w="2673" w:type="dxa"/>
            <w:vAlign w:val="center"/>
          </w:tcPr>
          <w:p w:rsidR="00A76302" w:rsidRDefault="005A1B12">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76302" w:rsidRDefault="005A1B1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76302" w:rsidRDefault="005A1B1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76302" w:rsidRDefault="005A1B1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E3F7F" w:rsidRPr="003E3F7F" w:rsidRDefault="003E3F7F" w:rsidP="00D77DD3">
      <w:pPr>
        <w:spacing w:before="29" w:line="288" w:lineRule="auto"/>
        <w:ind w:firstLine="420"/>
        <w:rPr>
          <w:color w:val="000000"/>
          <w:sz w:val="24"/>
          <w:szCs w:val="24"/>
        </w:rPr>
      </w:pPr>
      <w:r w:rsidRPr="003E3F7F">
        <w:rPr>
          <w:rFonts w:hint="eastAsia"/>
          <w:color w:val="000000"/>
          <w:sz w:val="24"/>
          <w:szCs w:val="24"/>
        </w:rPr>
        <w:t>三季度国内经济总体平稳，</w:t>
      </w:r>
      <w:r w:rsidRPr="003E3F7F">
        <w:rPr>
          <w:rFonts w:hint="eastAsia"/>
          <w:color w:val="000000"/>
          <w:sz w:val="24"/>
          <w:szCs w:val="24"/>
        </w:rPr>
        <w:t>A</w:t>
      </w:r>
      <w:r w:rsidRPr="003E3F7F">
        <w:rPr>
          <w:rFonts w:hint="eastAsia"/>
          <w:color w:val="000000"/>
          <w:sz w:val="24"/>
          <w:szCs w:val="24"/>
        </w:rPr>
        <w:t>股市场先扬后抑，总体小幅反弹。市场风格表现上传统行业低估值蓝筹股继续跑赢市场，其中，沪深</w:t>
      </w:r>
      <w:r w:rsidRPr="003E3F7F">
        <w:rPr>
          <w:rFonts w:hint="eastAsia"/>
          <w:color w:val="000000"/>
          <w:sz w:val="24"/>
          <w:szCs w:val="24"/>
        </w:rPr>
        <w:t>300</w:t>
      </w:r>
      <w:r w:rsidRPr="003E3F7F">
        <w:rPr>
          <w:rFonts w:hint="eastAsia"/>
          <w:color w:val="000000"/>
          <w:sz w:val="24"/>
          <w:szCs w:val="24"/>
        </w:rPr>
        <w:t>指数涨幅</w:t>
      </w:r>
      <w:r w:rsidRPr="003E3F7F">
        <w:rPr>
          <w:rFonts w:hint="eastAsia"/>
          <w:color w:val="000000"/>
          <w:sz w:val="24"/>
          <w:szCs w:val="24"/>
        </w:rPr>
        <w:t>3.15%</w:t>
      </w:r>
      <w:r w:rsidRPr="003E3F7F">
        <w:rPr>
          <w:rFonts w:hint="eastAsia"/>
          <w:color w:val="000000"/>
          <w:sz w:val="24"/>
          <w:szCs w:val="24"/>
        </w:rPr>
        <w:t>，中小板和创业板指数则分别下跌</w:t>
      </w:r>
      <w:r w:rsidRPr="003E3F7F">
        <w:rPr>
          <w:rFonts w:hint="eastAsia"/>
          <w:color w:val="000000"/>
          <w:sz w:val="24"/>
          <w:szCs w:val="24"/>
        </w:rPr>
        <w:t>1.58%</w:t>
      </w:r>
      <w:r w:rsidRPr="003E3F7F">
        <w:rPr>
          <w:rFonts w:hint="eastAsia"/>
          <w:color w:val="000000"/>
          <w:sz w:val="24"/>
          <w:szCs w:val="24"/>
        </w:rPr>
        <w:t>和</w:t>
      </w:r>
      <w:r w:rsidRPr="003E3F7F">
        <w:rPr>
          <w:rFonts w:hint="eastAsia"/>
          <w:color w:val="000000"/>
          <w:sz w:val="24"/>
          <w:szCs w:val="24"/>
        </w:rPr>
        <w:t>3.5%</w:t>
      </w:r>
      <w:r w:rsidRPr="003E3F7F">
        <w:rPr>
          <w:rFonts w:hint="eastAsia"/>
          <w:color w:val="000000"/>
          <w:sz w:val="24"/>
          <w:szCs w:val="24"/>
        </w:rPr>
        <w:t>。从行业表现来看，房地产、煤炭、家电、建筑建材等行业涨幅居前，计算机、有色金属、国防军工等行业跌幅较大。</w:t>
      </w:r>
    </w:p>
    <w:p w:rsidR="003E3F7F" w:rsidRPr="003E3F7F" w:rsidRDefault="003E3F7F" w:rsidP="00D77DD3">
      <w:pPr>
        <w:spacing w:before="29" w:line="288" w:lineRule="auto"/>
        <w:ind w:firstLine="420"/>
        <w:rPr>
          <w:color w:val="000000"/>
          <w:sz w:val="24"/>
          <w:szCs w:val="24"/>
        </w:rPr>
      </w:pPr>
      <w:r w:rsidRPr="003E3F7F">
        <w:rPr>
          <w:rFonts w:hint="eastAsia"/>
          <w:color w:val="000000"/>
          <w:sz w:val="24"/>
          <w:szCs w:val="24"/>
        </w:rPr>
        <w:t>本基金三季度采取中性偏保守的投资策略，继续保持中性仓位，规避热门行业和公司股票，坚守估值合理的优质成长股。行业配置上增加了电子、传媒行业配置，减持了计算机、旅游、环保行业配置比重。虽然由于基金合同中关于投资范围的约束，本基金较少参与三季度表现靓丽的地产产业链行业投资，但年初以来一直持仓的环保股和新参与的部分快递股票三季度表现较佳，总体来看，三季度本基金跑赢业绩比较基准。</w:t>
      </w:r>
    </w:p>
    <w:p w:rsidR="003E3F7F" w:rsidRDefault="003E3F7F" w:rsidP="00C15CAC">
      <w:pPr>
        <w:spacing w:before="29" w:line="288" w:lineRule="auto"/>
        <w:ind w:firstLineChars="200" w:firstLine="480"/>
        <w:rPr>
          <w:color w:val="000000"/>
          <w:sz w:val="24"/>
          <w:szCs w:val="24"/>
        </w:rPr>
      </w:pPr>
      <w:r w:rsidRPr="003E3F7F">
        <w:rPr>
          <w:rFonts w:hint="eastAsia"/>
          <w:color w:val="000000"/>
          <w:sz w:val="24"/>
          <w:szCs w:val="24"/>
        </w:rPr>
        <w:t>展望四季度，我们对</w:t>
      </w:r>
      <w:r w:rsidRPr="003E3F7F">
        <w:rPr>
          <w:rFonts w:hint="eastAsia"/>
          <w:color w:val="000000"/>
          <w:sz w:val="24"/>
          <w:szCs w:val="24"/>
        </w:rPr>
        <w:t>A</w:t>
      </w:r>
      <w:r w:rsidRPr="003E3F7F">
        <w:rPr>
          <w:rFonts w:hint="eastAsia"/>
          <w:color w:val="000000"/>
          <w:sz w:val="24"/>
          <w:szCs w:val="24"/>
        </w:rPr>
        <w:t>股市场持谨慎乐观态度，一方面美联储加息预期在兑现前可能继续压制</w:t>
      </w:r>
      <w:r w:rsidRPr="003E3F7F">
        <w:rPr>
          <w:rFonts w:hint="eastAsia"/>
          <w:color w:val="000000"/>
          <w:sz w:val="24"/>
          <w:szCs w:val="24"/>
        </w:rPr>
        <w:t>A</w:t>
      </w:r>
      <w:r w:rsidRPr="003E3F7F">
        <w:rPr>
          <w:rFonts w:hint="eastAsia"/>
          <w:color w:val="000000"/>
          <w:sz w:val="24"/>
          <w:szCs w:val="24"/>
        </w:rPr>
        <w:t>股市场表现，同时国内一线、二线城市房地产再次泡沫化，或将压制国内货币政策放松空间；另一方面部分新兴景气子行业发展势头不减，行业内优质成长股有望持续反弹甚至再创历史新高。本基金四季度预计将保持中性仓位，规避三季度涨幅居前的地产产业链行业股票，相对关注硬件创新为首的新兴成长股投资机会，积极适机布局电子、医药、传媒、环保以及国企改革主题等行业，预计精选具有安全边际的优质公司股票做中期布局，努力为基金份额持有人创造较好的投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00AB529E">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00AB529E" w:rsidRPr="00AB529E">
        <w:rPr>
          <w:color w:val="000000"/>
          <w:sz w:val="24"/>
          <w:szCs w:val="24"/>
        </w:rPr>
        <w:t>1.864</w:t>
      </w:r>
      <w:r w:rsidRPr="00414345">
        <w:rPr>
          <w:color w:val="000000"/>
          <w:sz w:val="24"/>
          <w:szCs w:val="24"/>
        </w:rPr>
        <w:t>元，本报告期份额净值增长率为</w:t>
      </w:r>
      <w:r w:rsidR="00AB529E">
        <w:rPr>
          <w:color w:val="000000"/>
          <w:sz w:val="24"/>
          <w:szCs w:val="24"/>
        </w:rPr>
        <w:t>10.82%</w:t>
      </w:r>
      <w:r w:rsidRPr="00414345">
        <w:rPr>
          <w:color w:val="000000"/>
          <w:sz w:val="24"/>
          <w:szCs w:val="24"/>
        </w:rPr>
        <w:t>，同期业绩比较基准增长率为</w:t>
      </w:r>
      <w:r w:rsidR="00AB529E">
        <w:rPr>
          <w:color w:val="000000"/>
          <w:sz w:val="24"/>
          <w:szCs w:val="24"/>
        </w:rPr>
        <w:t>1.54%</w:t>
      </w:r>
      <w:r w:rsidRPr="00414345">
        <w:rPr>
          <w:color w:val="000000"/>
          <w:sz w:val="24"/>
          <w:szCs w:val="24"/>
        </w:rPr>
        <w:t>。</w:t>
      </w:r>
    </w:p>
    <w:p w:rsidR="009C5186" w:rsidRPr="00AB529E"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425,431,730.20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74.96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425,431,730.20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74.96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40,020,000.00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7.05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40,020,000.00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7.05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97,313,267.20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17.15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4,782,357.41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0.84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567,547,354.81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262,654,252.30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21,239.63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15,189,997.05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61,063,263.80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15,994,290.41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53,661,424.62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16,847,262.39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425,431,730.20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76.45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76302">
        <w:trPr>
          <w:jc w:val="center"/>
        </w:trPr>
        <w:tc>
          <w:tcPr>
            <w:tcW w:w="855" w:type="dxa"/>
            <w:vAlign w:val="center"/>
          </w:tcPr>
          <w:p w:rsidR="00A76302" w:rsidRDefault="005A1B12">
            <w:pPr>
              <w:jc w:val="center"/>
            </w:pPr>
            <w:r>
              <w:rPr>
                <w:color w:val="000000"/>
                <w:sz w:val="24"/>
                <w:szCs w:val="24"/>
              </w:rPr>
              <w:t>1</w:t>
            </w:r>
          </w:p>
        </w:tc>
        <w:tc>
          <w:tcPr>
            <w:tcW w:w="1334" w:type="dxa"/>
            <w:vAlign w:val="center"/>
          </w:tcPr>
          <w:p w:rsidR="00A76302" w:rsidRDefault="005A1B12">
            <w:pPr>
              <w:jc w:val="center"/>
            </w:pPr>
            <w:r>
              <w:rPr>
                <w:color w:val="000000"/>
                <w:sz w:val="24"/>
                <w:szCs w:val="24"/>
              </w:rPr>
              <w:t>002045</w:t>
            </w:r>
          </w:p>
        </w:tc>
        <w:tc>
          <w:tcPr>
            <w:tcW w:w="1777" w:type="dxa"/>
            <w:vAlign w:val="center"/>
          </w:tcPr>
          <w:p w:rsidR="00A76302" w:rsidRDefault="005A1B12">
            <w:pPr>
              <w:jc w:val="center"/>
            </w:pPr>
            <w:r>
              <w:rPr>
                <w:color w:val="000000"/>
                <w:sz w:val="24"/>
                <w:szCs w:val="24"/>
              </w:rPr>
              <w:t>国光电器</w:t>
            </w:r>
          </w:p>
        </w:tc>
        <w:tc>
          <w:tcPr>
            <w:tcW w:w="1334" w:type="dxa"/>
            <w:vAlign w:val="center"/>
          </w:tcPr>
          <w:p w:rsidR="00A76302" w:rsidRDefault="005A1B12">
            <w:pPr>
              <w:jc w:val="right"/>
            </w:pPr>
            <w:r>
              <w:rPr>
                <w:color w:val="000000"/>
                <w:sz w:val="24"/>
                <w:szCs w:val="24"/>
              </w:rPr>
              <w:t>3,831,201</w:t>
            </w:r>
          </w:p>
        </w:tc>
        <w:tc>
          <w:tcPr>
            <w:tcW w:w="1924" w:type="dxa"/>
            <w:vAlign w:val="center"/>
          </w:tcPr>
          <w:p w:rsidR="00A76302" w:rsidRDefault="005A1B12">
            <w:pPr>
              <w:jc w:val="right"/>
            </w:pPr>
            <w:r>
              <w:rPr>
                <w:color w:val="000000"/>
                <w:sz w:val="24"/>
                <w:szCs w:val="24"/>
              </w:rPr>
              <w:t>48,579,628.68</w:t>
            </w:r>
          </w:p>
        </w:tc>
        <w:tc>
          <w:tcPr>
            <w:tcW w:w="1644" w:type="dxa"/>
            <w:vAlign w:val="center"/>
          </w:tcPr>
          <w:p w:rsidR="00A76302" w:rsidRDefault="005A1B12">
            <w:pPr>
              <w:jc w:val="right"/>
            </w:pPr>
            <w:r>
              <w:rPr>
                <w:color w:val="000000"/>
                <w:sz w:val="24"/>
                <w:szCs w:val="24"/>
              </w:rPr>
              <w:t>8.73</w:t>
            </w:r>
          </w:p>
        </w:tc>
      </w:tr>
      <w:tr w:rsidR="00A76302">
        <w:trPr>
          <w:jc w:val="center"/>
        </w:trPr>
        <w:tc>
          <w:tcPr>
            <w:tcW w:w="855" w:type="dxa"/>
            <w:vAlign w:val="center"/>
          </w:tcPr>
          <w:p w:rsidR="00A76302" w:rsidRDefault="005A1B12">
            <w:pPr>
              <w:jc w:val="center"/>
            </w:pPr>
            <w:r>
              <w:rPr>
                <w:color w:val="000000"/>
                <w:sz w:val="24"/>
                <w:szCs w:val="24"/>
              </w:rPr>
              <w:t>2</w:t>
            </w:r>
          </w:p>
        </w:tc>
        <w:tc>
          <w:tcPr>
            <w:tcW w:w="1334" w:type="dxa"/>
            <w:vAlign w:val="center"/>
          </w:tcPr>
          <w:p w:rsidR="00A76302" w:rsidRDefault="005A1B12">
            <w:pPr>
              <w:jc w:val="center"/>
            </w:pPr>
            <w:r>
              <w:rPr>
                <w:color w:val="000000"/>
                <w:sz w:val="24"/>
                <w:szCs w:val="24"/>
              </w:rPr>
              <w:t>002582</w:t>
            </w:r>
          </w:p>
        </w:tc>
        <w:tc>
          <w:tcPr>
            <w:tcW w:w="1777" w:type="dxa"/>
            <w:vAlign w:val="center"/>
          </w:tcPr>
          <w:p w:rsidR="00A76302" w:rsidRDefault="005A1B12">
            <w:pPr>
              <w:jc w:val="center"/>
            </w:pPr>
            <w:r>
              <w:rPr>
                <w:color w:val="000000"/>
                <w:sz w:val="24"/>
                <w:szCs w:val="24"/>
              </w:rPr>
              <w:t>好想你</w:t>
            </w:r>
          </w:p>
        </w:tc>
        <w:tc>
          <w:tcPr>
            <w:tcW w:w="1334" w:type="dxa"/>
            <w:vAlign w:val="center"/>
          </w:tcPr>
          <w:p w:rsidR="00A76302" w:rsidRDefault="005A1B12">
            <w:pPr>
              <w:jc w:val="right"/>
            </w:pPr>
            <w:r>
              <w:rPr>
                <w:color w:val="000000"/>
                <w:sz w:val="24"/>
                <w:szCs w:val="24"/>
              </w:rPr>
              <w:t>714,576</w:t>
            </w:r>
          </w:p>
        </w:tc>
        <w:tc>
          <w:tcPr>
            <w:tcW w:w="1924" w:type="dxa"/>
            <w:vAlign w:val="center"/>
          </w:tcPr>
          <w:p w:rsidR="00A76302" w:rsidRDefault="005A1B12">
            <w:pPr>
              <w:jc w:val="right"/>
            </w:pPr>
            <w:r>
              <w:rPr>
                <w:color w:val="000000"/>
                <w:sz w:val="24"/>
                <w:szCs w:val="24"/>
              </w:rPr>
              <w:t>27,811,297.92</w:t>
            </w:r>
          </w:p>
        </w:tc>
        <w:tc>
          <w:tcPr>
            <w:tcW w:w="1644" w:type="dxa"/>
            <w:vAlign w:val="center"/>
          </w:tcPr>
          <w:p w:rsidR="00A76302" w:rsidRDefault="005A1B12">
            <w:pPr>
              <w:jc w:val="right"/>
            </w:pPr>
            <w:r>
              <w:rPr>
                <w:color w:val="000000"/>
                <w:sz w:val="24"/>
                <w:szCs w:val="24"/>
              </w:rPr>
              <w:t>5.00</w:t>
            </w:r>
          </w:p>
        </w:tc>
      </w:tr>
      <w:tr w:rsidR="00A76302">
        <w:trPr>
          <w:jc w:val="center"/>
        </w:trPr>
        <w:tc>
          <w:tcPr>
            <w:tcW w:w="855" w:type="dxa"/>
            <w:vAlign w:val="center"/>
          </w:tcPr>
          <w:p w:rsidR="00A76302" w:rsidRDefault="005A1B12">
            <w:pPr>
              <w:jc w:val="center"/>
            </w:pPr>
            <w:r>
              <w:rPr>
                <w:color w:val="000000"/>
                <w:sz w:val="24"/>
                <w:szCs w:val="24"/>
              </w:rPr>
              <w:t>3</w:t>
            </w:r>
          </w:p>
        </w:tc>
        <w:tc>
          <w:tcPr>
            <w:tcW w:w="1334" w:type="dxa"/>
            <w:vAlign w:val="center"/>
          </w:tcPr>
          <w:p w:rsidR="00A76302" w:rsidRDefault="005A1B12">
            <w:pPr>
              <w:jc w:val="center"/>
            </w:pPr>
            <w:r>
              <w:rPr>
                <w:color w:val="000000"/>
                <w:sz w:val="24"/>
                <w:szCs w:val="24"/>
              </w:rPr>
              <w:t>300017</w:t>
            </w:r>
          </w:p>
        </w:tc>
        <w:tc>
          <w:tcPr>
            <w:tcW w:w="1777" w:type="dxa"/>
            <w:vAlign w:val="center"/>
          </w:tcPr>
          <w:p w:rsidR="00A76302" w:rsidRDefault="005A1B12">
            <w:pPr>
              <w:jc w:val="center"/>
            </w:pPr>
            <w:r>
              <w:rPr>
                <w:color w:val="000000"/>
                <w:sz w:val="24"/>
                <w:szCs w:val="24"/>
              </w:rPr>
              <w:t>网宿科技</w:t>
            </w:r>
          </w:p>
        </w:tc>
        <w:tc>
          <w:tcPr>
            <w:tcW w:w="1334" w:type="dxa"/>
            <w:vAlign w:val="center"/>
          </w:tcPr>
          <w:p w:rsidR="00A76302" w:rsidRDefault="005A1B12">
            <w:pPr>
              <w:jc w:val="right"/>
            </w:pPr>
            <w:r>
              <w:rPr>
                <w:color w:val="000000"/>
                <w:sz w:val="24"/>
                <w:szCs w:val="24"/>
              </w:rPr>
              <w:t>394,018</w:t>
            </w:r>
          </w:p>
        </w:tc>
        <w:tc>
          <w:tcPr>
            <w:tcW w:w="1924" w:type="dxa"/>
            <w:vAlign w:val="center"/>
          </w:tcPr>
          <w:p w:rsidR="00A76302" w:rsidRDefault="005A1B12">
            <w:pPr>
              <w:jc w:val="right"/>
            </w:pPr>
            <w:r>
              <w:rPr>
                <w:color w:val="000000"/>
                <w:sz w:val="24"/>
                <w:szCs w:val="24"/>
              </w:rPr>
              <w:t>27,502,456.40</w:t>
            </w:r>
          </w:p>
        </w:tc>
        <w:tc>
          <w:tcPr>
            <w:tcW w:w="1644" w:type="dxa"/>
            <w:vAlign w:val="center"/>
          </w:tcPr>
          <w:p w:rsidR="00A76302" w:rsidRDefault="005A1B12">
            <w:pPr>
              <w:jc w:val="right"/>
            </w:pPr>
            <w:r>
              <w:rPr>
                <w:color w:val="000000"/>
                <w:sz w:val="24"/>
                <w:szCs w:val="24"/>
              </w:rPr>
              <w:t>4.94</w:t>
            </w:r>
          </w:p>
        </w:tc>
      </w:tr>
      <w:tr w:rsidR="00A76302">
        <w:trPr>
          <w:jc w:val="center"/>
        </w:trPr>
        <w:tc>
          <w:tcPr>
            <w:tcW w:w="855" w:type="dxa"/>
            <w:vAlign w:val="center"/>
          </w:tcPr>
          <w:p w:rsidR="00A76302" w:rsidRDefault="005A1B12">
            <w:pPr>
              <w:jc w:val="center"/>
            </w:pPr>
            <w:r>
              <w:rPr>
                <w:color w:val="000000"/>
                <w:sz w:val="24"/>
                <w:szCs w:val="24"/>
              </w:rPr>
              <w:t>4</w:t>
            </w:r>
          </w:p>
        </w:tc>
        <w:tc>
          <w:tcPr>
            <w:tcW w:w="1334" w:type="dxa"/>
            <w:vAlign w:val="center"/>
          </w:tcPr>
          <w:p w:rsidR="00A76302" w:rsidRDefault="005A1B12">
            <w:pPr>
              <w:jc w:val="center"/>
            </w:pPr>
            <w:r>
              <w:rPr>
                <w:color w:val="000000"/>
                <w:sz w:val="24"/>
                <w:szCs w:val="24"/>
              </w:rPr>
              <w:t>300347</w:t>
            </w:r>
          </w:p>
        </w:tc>
        <w:tc>
          <w:tcPr>
            <w:tcW w:w="1777" w:type="dxa"/>
            <w:vAlign w:val="center"/>
          </w:tcPr>
          <w:p w:rsidR="00A76302" w:rsidRDefault="005A1B12">
            <w:pPr>
              <w:jc w:val="center"/>
            </w:pPr>
            <w:r>
              <w:rPr>
                <w:color w:val="000000"/>
                <w:sz w:val="24"/>
                <w:szCs w:val="24"/>
              </w:rPr>
              <w:t>泰格医药</w:t>
            </w:r>
          </w:p>
        </w:tc>
        <w:tc>
          <w:tcPr>
            <w:tcW w:w="1334" w:type="dxa"/>
            <w:vAlign w:val="center"/>
          </w:tcPr>
          <w:p w:rsidR="00A76302" w:rsidRDefault="005A1B12">
            <w:pPr>
              <w:jc w:val="right"/>
            </w:pPr>
            <w:r>
              <w:rPr>
                <w:color w:val="000000"/>
                <w:sz w:val="24"/>
                <w:szCs w:val="24"/>
              </w:rPr>
              <w:t>813,215</w:t>
            </w:r>
          </w:p>
        </w:tc>
        <w:tc>
          <w:tcPr>
            <w:tcW w:w="1924" w:type="dxa"/>
            <w:vAlign w:val="center"/>
          </w:tcPr>
          <w:p w:rsidR="00A76302" w:rsidRDefault="005A1B12">
            <w:pPr>
              <w:jc w:val="right"/>
            </w:pPr>
            <w:r>
              <w:rPr>
                <w:color w:val="000000"/>
                <w:sz w:val="24"/>
                <w:szCs w:val="24"/>
              </w:rPr>
              <w:t>26,104,201.50</w:t>
            </w:r>
          </w:p>
        </w:tc>
        <w:tc>
          <w:tcPr>
            <w:tcW w:w="1644" w:type="dxa"/>
            <w:vAlign w:val="center"/>
          </w:tcPr>
          <w:p w:rsidR="00A76302" w:rsidRDefault="005A1B12">
            <w:pPr>
              <w:jc w:val="right"/>
            </w:pPr>
            <w:r>
              <w:rPr>
                <w:color w:val="000000"/>
                <w:sz w:val="24"/>
                <w:szCs w:val="24"/>
              </w:rPr>
              <w:t>4.69</w:t>
            </w:r>
          </w:p>
        </w:tc>
      </w:tr>
      <w:tr w:rsidR="00A76302">
        <w:trPr>
          <w:jc w:val="center"/>
        </w:trPr>
        <w:tc>
          <w:tcPr>
            <w:tcW w:w="855" w:type="dxa"/>
            <w:vAlign w:val="center"/>
          </w:tcPr>
          <w:p w:rsidR="00A76302" w:rsidRDefault="005A1B12">
            <w:pPr>
              <w:jc w:val="center"/>
            </w:pPr>
            <w:r>
              <w:rPr>
                <w:color w:val="000000"/>
                <w:sz w:val="24"/>
                <w:szCs w:val="24"/>
              </w:rPr>
              <w:t>5</w:t>
            </w:r>
          </w:p>
        </w:tc>
        <w:tc>
          <w:tcPr>
            <w:tcW w:w="1334" w:type="dxa"/>
            <w:vAlign w:val="center"/>
          </w:tcPr>
          <w:p w:rsidR="00A76302" w:rsidRDefault="005A1B12">
            <w:pPr>
              <w:jc w:val="center"/>
            </w:pPr>
            <w:r>
              <w:rPr>
                <w:color w:val="000000"/>
                <w:sz w:val="24"/>
                <w:szCs w:val="24"/>
              </w:rPr>
              <w:t>002120</w:t>
            </w:r>
          </w:p>
        </w:tc>
        <w:tc>
          <w:tcPr>
            <w:tcW w:w="1777" w:type="dxa"/>
            <w:vAlign w:val="center"/>
          </w:tcPr>
          <w:p w:rsidR="00A76302" w:rsidRDefault="005A1B12">
            <w:pPr>
              <w:jc w:val="center"/>
            </w:pPr>
            <w:r>
              <w:rPr>
                <w:color w:val="000000"/>
                <w:sz w:val="24"/>
                <w:szCs w:val="24"/>
              </w:rPr>
              <w:t>新海股份</w:t>
            </w:r>
          </w:p>
        </w:tc>
        <w:tc>
          <w:tcPr>
            <w:tcW w:w="1334" w:type="dxa"/>
            <w:vAlign w:val="center"/>
          </w:tcPr>
          <w:p w:rsidR="00A76302" w:rsidRDefault="005A1B12">
            <w:pPr>
              <w:jc w:val="right"/>
            </w:pPr>
            <w:r>
              <w:rPr>
                <w:color w:val="000000"/>
                <w:sz w:val="24"/>
                <w:szCs w:val="24"/>
              </w:rPr>
              <w:t>437,634</w:t>
            </w:r>
          </w:p>
        </w:tc>
        <w:tc>
          <w:tcPr>
            <w:tcW w:w="1924" w:type="dxa"/>
            <w:vAlign w:val="center"/>
          </w:tcPr>
          <w:p w:rsidR="00A76302" w:rsidRDefault="005A1B12">
            <w:pPr>
              <w:jc w:val="right"/>
            </w:pPr>
            <w:r>
              <w:rPr>
                <w:color w:val="000000"/>
                <w:sz w:val="24"/>
                <w:szCs w:val="24"/>
              </w:rPr>
              <w:t>22,144,280.40</w:t>
            </w:r>
          </w:p>
        </w:tc>
        <w:tc>
          <w:tcPr>
            <w:tcW w:w="1644" w:type="dxa"/>
            <w:vAlign w:val="center"/>
          </w:tcPr>
          <w:p w:rsidR="00A76302" w:rsidRDefault="005A1B12">
            <w:pPr>
              <w:jc w:val="right"/>
            </w:pPr>
            <w:r>
              <w:rPr>
                <w:color w:val="000000"/>
                <w:sz w:val="24"/>
                <w:szCs w:val="24"/>
              </w:rPr>
              <w:t>3.98</w:t>
            </w:r>
          </w:p>
        </w:tc>
      </w:tr>
      <w:tr w:rsidR="00A76302">
        <w:trPr>
          <w:jc w:val="center"/>
        </w:trPr>
        <w:tc>
          <w:tcPr>
            <w:tcW w:w="855" w:type="dxa"/>
            <w:vAlign w:val="center"/>
          </w:tcPr>
          <w:p w:rsidR="00A76302" w:rsidRDefault="005A1B12">
            <w:pPr>
              <w:jc w:val="center"/>
            </w:pPr>
            <w:r>
              <w:rPr>
                <w:color w:val="000000"/>
                <w:sz w:val="24"/>
                <w:szCs w:val="24"/>
              </w:rPr>
              <w:t>6</w:t>
            </w:r>
          </w:p>
        </w:tc>
        <w:tc>
          <w:tcPr>
            <w:tcW w:w="1334" w:type="dxa"/>
            <w:vAlign w:val="center"/>
          </w:tcPr>
          <w:p w:rsidR="00A76302" w:rsidRDefault="005A1B12">
            <w:pPr>
              <w:jc w:val="center"/>
            </w:pPr>
            <w:r>
              <w:rPr>
                <w:color w:val="000000"/>
                <w:sz w:val="24"/>
                <w:szCs w:val="24"/>
              </w:rPr>
              <w:t>300115</w:t>
            </w:r>
          </w:p>
        </w:tc>
        <w:tc>
          <w:tcPr>
            <w:tcW w:w="1777" w:type="dxa"/>
            <w:vAlign w:val="center"/>
          </w:tcPr>
          <w:p w:rsidR="00A76302" w:rsidRDefault="005A1B12">
            <w:pPr>
              <w:jc w:val="center"/>
            </w:pPr>
            <w:r>
              <w:rPr>
                <w:color w:val="000000"/>
                <w:sz w:val="24"/>
                <w:szCs w:val="24"/>
              </w:rPr>
              <w:t>长盈精密</w:t>
            </w:r>
          </w:p>
        </w:tc>
        <w:tc>
          <w:tcPr>
            <w:tcW w:w="1334" w:type="dxa"/>
            <w:vAlign w:val="center"/>
          </w:tcPr>
          <w:p w:rsidR="00A76302" w:rsidRDefault="005A1B12">
            <w:pPr>
              <w:jc w:val="right"/>
            </w:pPr>
            <w:r>
              <w:rPr>
                <w:color w:val="000000"/>
                <w:sz w:val="24"/>
                <w:szCs w:val="24"/>
              </w:rPr>
              <w:t>631,804</w:t>
            </w:r>
          </w:p>
        </w:tc>
        <w:tc>
          <w:tcPr>
            <w:tcW w:w="1924" w:type="dxa"/>
            <w:vAlign w:val="center"/>
          </w:tcPr>
          <w:p w:rsidR="00A76302" w:rsidRDefault="005A1B12">
            <w:pPr>
              <w:jc w:val="right"/>
            </w:pPr>
            <w:r>
              <w:rPr>
                <w:color w:val="000000"/>
                <w:sz w:val="24"/>
                <w:szCs w:val="24"/>
              </w:rPr>
              <w:t>17,557,833.16</w:t>
            </w:r>
          </w:p>
        </w:tc>
        <w:tc>
          <w:tcPr>
            <w:tcW w:w="1644" w:type="dxa"/>
            <w:vAlign w:val="center"/>
          </w:tcPr>
          <w:p w:rsidR="00A76302" w:rsidRDefault="005A1B12">
            <w:pPr>
              <w:jc w:val="right"/>
            </w:pPr>
            <w:r>
              <w:rPr>
                <w:color w:val="000000"/>
                <w:sz w:val="24"/>
                <w:szCs w:val="24"/>
              </w:rPr>
              <w:t>3.16</w:t>
            </w:r>
          </w:p>
        </w:tc>
      </w:tr>
      <w:tr w:rsidR="00A76302">
        <w:trPr>
          <w:jc w:val="center"/>
        </w:trPr>
        <w:tc>
          <w:tcPr>
            <w:tcW w:w="855" w:type="dxa"/>
            <w:vAlign w:val="center"/>
          </w:tcPr>
          <w:p w:rsidR="00A76302" w:rsidRDefault="005A1B12">
            <w:pPr>
              <w:jc w:val="center"/>
            </w:pPr>
            <w:r>
              <w:rPr>
                <w:color w:val="000000"/>
                <w:sz w:val="24"/>
                <w:szCs w:val="24"/>
              </w:rPr>
              <w:t>7</w:t>
            </w:r>
          </w:p>
        </w:tc>
        <w:tc>
          <w:tcPr>
            <w:tcW w:w="1334" w:type="dxa"/>
            <w:vAlign w:val="center"/>
          </w:tcPr>
          <w:p w:rsidR="00A76302" w:rsidRDefault="005A1B12">
            <w:pPr>
              <w:jc w:val="center"/>
            </w:pPr>
            <w:r>
              <w:rPr>
                <w:color w:val="000000"/>
                <w:sz w:val="24"/>
                <w:szCs w:val="24"/>
              </w:rPr>
              <w:t>002343</w:t>
            </w:r>
          </w:p>
        </w:tc>
        <w:tc>
          <w:tcPr>
            <w:tcW w:w="1777" w:type="dxa"/>
            <w:vAlign w:val="center"/>
          </w:tcPr>
          <w:p w:rsidR="00A76302" w:rsidRDefault="005A1B12">
            <w:pPr>
              <w:jc w:val="center"/>
            </w:pPr>
            <w:r>
              <w:rPr>
                <w:color w:val="000000"/>
                <w:sz w:val="24"/>
                <w:szCs w:val="24"/>
              </w:rPr>
              <w:t>慈文传媒</w:t>
            </w:r>
          </w:p>
        </w:tc>
        <w:tc>
          <w:tcPr>
            <w:tcW w:w="1334" w:type="dxa"/>
            <w:vAlign w:val="center"/>
          </w:tcPr>
          <w:p w:rsidR="00A76302" w:rsidRDefault="005A1B12">
            <w:pPr>
              <w:jc w:val="right"/>
            </w:pPr>
            <w:r>
              <w:rPr>
                <w:color w:val="000000"/>
                <w:sz w:val="24"/>
                <w:szCs w:val="24"/>
              </w:rPr>
              <w:t>403,141</w:t>
            </w:r>
          </w:p>
        </w:tc>
        <w:tc>
          <w:tcPr>
            <w:tcW w:w="1924" w:type="dxa"/>
            <w:vAlign w:val="center"/>
          </w:tcPr>
          <w:p w:rsidR="00A76302" w:rsidRDefault="005A1B12">
            <w:pPr>
              <w:jc w:val="right"/>
            </w:pPr>
            <w:r>
              <w:rPr>
                <w:color w:val="000000"/>
                <w:sz w:val="24"/>
                <w:szCs w:val="24"/>
              </w:rPr>
              <w:t>16,847,262.39</w:t>
            </w:r>
          </w:p>
        </w:tc>
        <w:tc>
          <w:tcPr>
            <w:tcW w:w="1644" w:type="dxa"/>
            <w:vAlign w:val="center"/>
          </w:tcPr>
          <w:p w:rsidR="00A76302" w:rsidRDefault="005A1B12">
            <w:pPr>
              <w:jc w:val="right"/>
            </w:pPr>
            <w:r>
              <w:rPr>
                <w:color w:val="000000"/>
                <w:sz w:val="24"/>
                <w:szCs w:val="24"/>
              </w:rPr>
              <w:t>3.03</w:t>
            </w:r>
          </w:p>
        </w:tc>
      </w:tr>
      <w:tr w:rsidR="00A76302">
        <w:trPr>
          <w:jc w:val="center"/>
        </w:trPr>
        <w:tc>
          <w:tcPr>
            <w:tcW w:w="855" w:type="dxa"/>
            <w:vAlign w:val="center"/>
          </w:tcPr>
          <w:p w:rsidR="00A76302" w:rsidRDefault="005A1B12">
            <w:pPr>
              <w:jc w:val="center"/>
            </w:pPr>
            <w:r>
              <w:rPr>
                <w:color w:val="000000"/>
                <w:sz w:val="24"/>
                <w:szCs w:val="24"/>
              </w:rPr>
              <w:t>8</w:t>
            </w:r>
          </w:p>
        </w:tc>
        <w:tc>
          <w:tcPr>
            <w:tcW w:w="1334" w:type="dxa"/>
            <w:vAlign w:val="center"/>
          </w:tcPr>
          <w:p w:rsidR="00A76302" w:rsidRDefault="005A1B12">
            <w:pPr>
              <w:jc w:val="center"/>
            </w:pPr>
            <w:r>
              <w:rPr>
                <w:color w:val="000000"/>
                <w:sz w:val="24"/>
                <w:szCs w:val="24"/>
              </w:rPr>
              <w:t>600967</w:t>
            </w:r>
          </w:p>
        </w:tc>
        <w:tc>
          <w:tcPr>
            <w:tcW w:w="1777" w:type="dxa"/>
            <w:vAlign w:val="center"/>
          </w:tcPr>
          <w:p w:rsidR="00A76302" w:rsidRDefault="005A1B12">
            <w:pPr>
              <w:jc w:val="center"/>
            </w:pPr>
            <w:r>
              <w:rPr>
                <w:color w:val="000000"/>
                <w:sz w:val="24"/>
                <w:szCs w:val="24"/>
              </w:rPr>
              <w:t>北方创业</w:t>
            </w:r>
          </w:p>
        </w:tc>
        <w:tc>
          <w:tcPr>
            <w:tcW w:w="1334" w:type="dxa"/>
            <w:vAlign w:val="center"/>
          </w:tcPr>
          <w:p w:rsidR="00A76302" w:rsidRDefault="005A1B12">
            <w:pPr>
              <w:jc w:val="right"/>
            </w:pPr>
            <w:r>
              <w:rPr>
                <w:color w:val="000000"/>
                <w:sz w:val="24"/>
                <w:szCs w:val="24"/>
              </w:rPr>
              <w:t>1,405,200</w:t>
            </w:r>
          </w:p>
        </w:tc>
        <w:tc>
          <w:tcPr>
            <w:tcW w:w="1924" w:type="dxa"/>
            <w:vAlign w:val="center"/>
          </w:tcPr>
          <w:p w:rsidR="00A76302" w:rsidRDefault="005A1B12">
            <w:pPr>
              <w:jc w:val="right"/>
            </w:pPr>
            <w:r>
              <w:rPr>
                <w:color w:val="000000"/>
                <w:sz w:val="24"/>
                <w:szCs w:val="24"/>
              </w:rPr>
              <w:t>16,426,788.00</w:t>
            </w:r>
          </w:p>
        </w:tc>
        <w:tc>
          <w:tcPr>
            <w:tcW w:w="1644" w:type="dxa"/>
            <w:vAlign w:val="center"/>
          </w:tcPr>
          <w:p w:rsidR="00A76302" w:rsidRDefault="005A1B12">
            <w:pPr>
              <w:jc w:val="right"/>
            </w:pPr>
            <w:r>
              <w:rPr>
                <w:color w:val="000000"/>
                <w:sz w:val="24"/>
                <w:szCs w:val="24"/>
              </w:rPr>
              <w:t>2.95</w:t>
            </w:r>
          </w:p>
        </w:tc>
      </w:tr>
      <w:tr w:rsidR="00A76302">
        <w:trPr>
          <w:jc w:val="center"/>
        </w:trPr>
        <w:tc>
          <w:tcPr>
            <w:tcW w:w="855" w:type="dxa"/>
            <w:vAlign w:val="center"/>
          </w:tcPr>
          <w:p w:rsidR="00A76302" w:rsidRDefault="005A1B12">
            <w:pPr>
              <w:jc w:val="center"/>
            </w:pPr>
            <w:r>
              <w:rPr>
                <w:color w:val="000000"/>
                <w:sz w:val="24"/>
                <w:szCs w:val="24"/>
              </w:rPr>
              <w:t>9</w:t>
            </w:r>
          </w:p>
        </w:tc>
        <w:tc>
          <w:tcPr>
            <w:tcW w:w="1334" w:type="dxa"/>
            <w:vAlign w:val="center"/>
          </w:tcPr>
          <w:p w:rsidR="00A76302" w:rsidRDefault="005A1B12">
            <w:pPr>
              <w:jc w:val="center"/>
            </w:pPr>
            <w:r>
              <w:rPr>
                <w:color w:val="000000"/>
                <w:sz w:val="24"/>
                <w:szCs w:val="24"/>
              </w:rPr>
              <w:t>300137</w:t>
            </w:r>
          </w:p>
        </w:tc>
        <w:tc>
          <w:tcPr>
            <w:tcW w:w="1777" w:type="dxa"/>
            <w:vAlign w:val="center"/>
          </w:tcPr>
          <w:p w:rsidR="00A76302" w:rsidRDefault="005A1B12">
            <w:pPr>
              <w:jc w:val="center"/>
            </w:pPr>
            <w:r>
              <w:rPr>
                <w:color w:val="000000"/>
                <w:sz w:val="24"/>
                <w:szCs w:val="24"/>
              </w:rPr>
              <w:t>先河环保</w:t>
            </w:r>
          </w:p>
        </w:tc>
        <w:tc>
          <w:tcPr>
            <w:tcW w:w="1334" w:type="dxa"/>
            <w:vAlign w:val="center"/>
          </w:tcPr>
          <w:p w:rsidR="00A76302" w:rsidRDefault="005A1B12">
            <w:pPr>
              <w:jc w:val="right"/>
            </w:pPr>
            <w:r>
              <w:rPr>
                <w:color w:val="000000"/>
                <w:sz w:val="24"/>
                <w:szCs w:val="24"/>
              </w:rPr>
              <w:t>1,015,556</w:t>
            </w:r>
          </w:p>
        </w:tc>
        <w:tc>
          <w:tcPr>
            <w:tcW w:w="1924" w:type="dxa"/>
            <w:vAlign w:val="center"/>
          </w:tcPr>
          <w:p w:rsidR="00A76302" w:rsidRDefault="005A1B12">
            <w:pPr>
              <w:jc w:val="right"/>
            </w:pPr>
            <w:r>
              <w:rPr>
                <w:color w:val="000000"/>
                <w:sz w:val="24"/>
                <w:szCs w:val="24"/>
              </w:rPr>
              <w:t>15,995,007.00</w:t>
            </w:r>
          </w:p>
        </w:tc>
        <w:tc>
          <w:tcPr>
            <w:tcW w:w="1644" w:type="dxa"/>
            <w:vAlign w:val="center"/>
          </w:tcPr>
          <w:p w:rsidR="00A76302" w:rsidRDefault="005A1B12">
            <w:pPr>
              <w:jc w:val="right"/>
            </w:pPr>
            <w:r>
              <w:rPr>
                <w:color w:val="000000"/>
                <w:sz w:val="24"/>
                <w:szCs w:val="24"/>
              </w:rPr>
              <w:t>2.87</w:t>
            </w:r>
          </w:p>
        </w:tc>
      </w:tr>
      <w:tr w:rsidR="00A76302">
        <w:trPr>
          <w:jc w:val="center"/>
        </w:trPr>
        <w:tc>
          <w:tcPr>
            <w:tcW w:w="855" w:type="dxa"/>
            <w:vAlign w:val="center"/>
          </w:tcPr>
          <w:p w:rsidR="00A76302" w:rsidRDefault="005A1B12">
            <w:pPr>
              <w:jc w:val="center"/>
            </w:pPr>
            <w:r>
              <w:rPr>
                <w:color w:val="000000"/>
                <w:sz w:val="24"/>
                <w:szCs w:val="24"/>
              </w:rPr>
              <w:t>10</w:t>
            </w:r>
          </w:p>
        </w:tc>
        <w:tc>
          <w:tcPr>
            <w:tcW w:w="1334" w:type="dxa"/>
            <w:vAlign w:val="center"/>
          </w:tcPr>
          <w:p w:rsidR="00A76302" w:rsidRDefault="005A1B12">
            <w:pPr>
              <w:jc w:val="center"/>
            </w:pPr>
            <w:r>
              <w:rPr>
                <w:color w:val="000000"/>
                <w:sz w:val="24"/>
                <w:szCs w:val="24"/>
              </w:rPr>
              <w:t>600816</w:t>
            </w:r>
          </w:p>
        </w:tc>
        <w:tc>
          <w:tcPr>
            <w:tcW w:w="1777" w:type="dxa"/>
            <w:vAlign w:val="center"/>
          </w:tcPr>
          <w:p w:rsidR="00A76302" w:rsidRDefault="005A1B12">
            <w:pPr>
              <w:jc w:val="center"/>
            </w:pPr>
            <w:r>
              <w:rPr>
                <w:color w:val="000000"/>
                <w:sz w:val="24"/>
                <w:szCs w:val="24"/>
              </w:rPr>
              <w:t>安信信托</w:t>
            </w:r>
          </w:p>
        </w:tc>
        <w:tc>
          <w:tcPr>
            <w:tcW w:w="1334" w:type="dxa"/>
            <w:vAlign w:val="center"/>
          </w:tcPr>
          <w:p w:rsidR="00A76302" w:rsidRDefault="005A1B12">
            <w:pPr>
              <w:jc w:val="right"/>
            </w:pPr>
            <w:r>
              <w:rPr>
                <w:color w:val="000000"/>
                <w:sz w:val="24"/>
                <w:szCs w:val="24"/>
              </w:rPr>
              <w:t>797,700</w:t>
            </w:r>
          </w:p>
        </w:tc>
        <w:tc>
          <w:tcPr>
            <w:tcW w:w="1924" w:type="dxa"/>
            <w:vAlign w:val="center"/>
          </w:tcPr>
          <w:p w:rsidR="00A76302" w:rsidRDefault="005A1B12">
            <w:pPr>
              <w:jc w:val="right"/>
            </w:pPr>
            <w:r>
              <w:rPr>
                <w:color w:val="000000"/>
                <w:sz w:val="24"/>
                <w:szCs w:val="24"/>
              </w:rPr>
              <w:t>15,930,069.00</w:t>
            </w:r>
          </w:p>
        </w:tc>
        <w:tc>
          <w:tcPr>
            <w:tcW w:w="1644" w:type="dxa"/>
            <w:vAlign w:val="center"/>
          </w:tcPr>
          <w:p w:rsidR="00A76302" w:rsidRDefault="005A1B12">
            <w:pPr>
              <w:jc w:val="right"/>
            </w:pPr>
            <w:r>
              <w:rPr>
                <w:color w:val="000000"/>
                <w:sz w:val="24"/>
                <w:szCs w:val="24"/>
              </w:rPr>
              <w:t>2.86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40,020,000.00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7.19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40,020,000.00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7.19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40,020,000.00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7.19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76302">
        <w:trPr>
          <w:jc w:val="center"/>
        </w:trPr>
        <w:tc>
          <w:tcPr>
            <w:tcW w:w="850" w:type="dxa"/>
            <w:vAlign w:val="center"/>
          </w:tcPr>
          <w:p w:rsidR="00A76302" w:rsidRDefault="005A1B12">
            <w:pPr>
              <w:jc w:val="center"/>
            </w:pPr>
            <w:r>
              <w:rPr>
                <w:color w:val="000000"/>
                <w:sz w:val="24"/>
                <w:szCs w:val="24"/>
              </w:rPr>
              <w:t>1</w:t>
            </w:r>
          </w:p>
        </w:tc>
        <w:tc>
          <w:tcPr>
            <w:tcW w:w="1475" w:type="dxa"/>
            <w:vAlign w:val="center"/>
          </w:tcPr>
          <w:p w:rsidR="00A76302" w:rsidRDefault="005A1B12">
            <w:pPr>
              <w:jc w:val="center"/>
            </w:pPr>
            <w:r>
              <w:rPr>
                <w:color w:val="000000"/>
                <w:sz w:val="24"/>
                <w:szCs w:val="24"/>
              </w:rPr>
              <w:t>150318</w:t>
            </w:r>
          </w:p>
        </w:tc>
        <w:tc>
          <w:tcPr>
            <w:tcW w:w="1769" w:type="dxa"/>
            <w:vAlign w:val="center"/>
          </w:tcPr>
          <w:p w:rsidR="00A76302" w:rsidRDefault="005A1B12">
            <w:pPr>
              <w:jc w:val="center"/>
            </w:pPr>
            <w:r>
              <w:rPr>
                <w:color w:val="000000"/>
                <w:sz w:val="24"/>
                <w:szCs w:val="24"/>
              </w:rPr>
              <w:t>15</w:t>
            </w:r>
            <w:r>
              <w:rPr>
                <w:color w:val="000000"/>
                <w:sz w:val="24"/>
                <w:szCs w:val="24"/>
              </w:rPr>
              <w:t>进出</w:t>
            </w:r>
            <w:r>
              <w:rPr>
                <w:color w:val="000000"/>
                <w:sz w:val="24"/>
                <w:szCs w:val="24"/>
              </w:rPr>
              <w:t>18</w:t>
            </w:r>
          </w:p>
        </w:tc>
        <w:tc>
          <w:tcPr>
            <w:tcW w:w="1387" w:type="dxa"/>
            <w:vAlign w:val="center"/>
          </w:tcPr>
          <w:p w:rsidR="00A76302" w:rsidRDefault="005A1B12">
            <w:pPr>
              <w:jc w:val="right"/>
            </w:pPr>
            <w:r>
              <w:rPr>
                <w:color w:val="000000"/>
                <w:sz w:val="24"/>
                <w:szCs w:val="24"/>
              </w:rPr>
              <w:t>200,000</w:t>
            </w:r>
          </w:p>
        </w:tc>
        <w:tc>
          <w:tcPr>
            <w:tcW w:w="2150" w:type="dxa"/>
            <w:vAlign w:val="center"/>
          </w:tcPr>
          <w:p w:rsidR="00A76302" w:rsidRDefault="005A1B12">
            <w:pPr>
              <w:jc w:val="right"/>
            </w:pPr>
            <w:r>
              <w:rPr>
                <w:color w:val="000000"/>
                <w:sz w:val="24"/>
                <w:szCs w:val="24"/>
              </w:rPr>
              <w:t>20,016,000.00</w:t>
            </w:r>
          </w:p>
        </w:tc>
        <w:tc>
          <w:tcPr>
            <w:tcW w:w="1237" w:type="dxa"/>
            <w:vAlign w:val="center"/>
          </w:tcPr>
          <w:p w:rsidR="00A76302" w:rsidRDefault="005A1B12">
            <w:pPr>
              <w:jc w:val="right"/>
            </w:pPr>
            <w:r>
              <w:rPr>
                <w:color w:val="000000"/>
                <w:sz w:val="24"/>
                <w:szCs w:val="24"/>
              </w:rPr>
              <w:t>3.60</w:t>
            </w:r>
          </w:p>
        </w:tc>
      </w:tr>
      <w:tr w:rsidR="00A76302">
        <w:trPr>
          <w:jc w:val="center"/>
        </w:trPr>
        <w:tc>
          <w:tcPr>
            <w:tcW w:w="850" w:type="dxa"/>
            <w:vAlign w:val="center"/>
          </w:tcPr>
          <w:p w:rsidR="00A76302" w:rsidRDefault="005A1B12">
            <w:pPr>
              <w:jc w:val="center"/>
            </w:pPr>
            <w:r>
              <w:rPr>
                <w:color w:val="000000"/>
                <w:sz w:val="24"/>
                <w:szCs w:val="24"/>
              </w:rPr>
              <w:t>2</w:t>
            </w:r>
          </w:p>
        </w:tc>
        <w:tc>
          <w:tcPr>
            <w:tcW w:w="1475" w:type="dxa"/>
            <w:vAlign w:val="center"/>
          </w:tcPr>
          <w:p w:rsidR="00A76302" w:rsidRDefault="005A1B12">
            <w:pPr>
              <w:jc w:val="center"/>
            </w:pPr>
            <w:r>
              <w:rPr>
                <w:color w:val="000000"/>
                <w:sz w:val="24"/>
                <w:szCs w:val="24"/>
              </w:rPr>
              <w:t>150222</w:t>
            </w:r>
          </w:p>
        </w:tc>
        <w:tc>
          <w:tcPr>
            <w:tcW w:w="1769" w:type="dxa"/>
            <w:vAlign w:val="center"/>
          </w:tcPr>
          <w:p w:rsidR="00A76302" w:rsidRDefault="005A1B12">
            <w:pPr>
              <w:jc w:val="center"/>
            </w:pPr>
            <w:r>
              <w:rPr>
                <w:color w:val="000000"/>
                <w:sz w:val="24"/>
                <w:szCs w:val="24"/>
              </w:rPr>
              <w:t>15</w:t>
            </w:r>
            <w:r>
              <w:rPr>
                <w:color w:val="000000"/>
                <w:sz w:val="24"/>
                <w:szCs w:val="24"/>
              </w:rPr>
              <w:t>国开</w:t>
            </w:r>
            <w:r>
              <w:rPr>
                <w:color w:val="000000"/>
                <w:sz w:val="24"/>
                <w:szCs w:val="24"/>
              </w:rPr>
              <w:t>22</w:t>
            </w:r>
          </w:p>
        </w:tc>
        <w:tc>
          <w:tcPr>
            <w:tcW w:w="1387" w:type="dxa"/>
            <w:vAlign w:val="center"/>
          </w:tcPr>
          <w:p w:rsidR="00A76302" w:rsidRDefault="005A1B12">
            <w:pPr>
              <w:jc w:val="right"/>
            </w:pPr>
            <w:r>
              <w:rPr>
                <w:color w:val="000000"/>
                <w:sz w:val="24"/>
                <w:szCs w:val="24"/>
              </w:rPr>
              <w:t>200,000</w:t>
            </w:r>
          </w:p>
        </w:tc>
        <w:tc>
          <w:tcPr>
            <w:tcW w:w="2150" w:type="dxa"/>
            <w:vAlign w:val="center"/>
          </w:tcPr>
          <w:p w:rsidR="00A76302" w:rsidRDefault="005A1B12">
            <w:pPr>
              <w:jc w:val="right"/>
            </w:pPr>
            <w:r>
              <w:rPr>
                <w:color w:val="000000"/>
                <w:sz w:val="24"/>
                <w:szCs w:val="24"/>
              </w:rPr>
              <w:t>20,004,000.00</w:t>
            </w:r>
          </w:p>
        </w:tc>
        <w:tc>
          <w:tcPr>
            <w:tcW w:w="1237" w:type="dxa"/>
            <w:vAlign w:val="center"/>
          </w:tcPr>
          <w:p w:rsidR="00A76302" w:rsidRDefault="005A1B12">
            <w:pPr>
              <w:jc w:val="right"/>
            </w:pPr>
            <w:r>
              <w:rPr>
                <w:color w:val="000000"/>
                <w:sz w:val="24"/>
                <w:szCs w:val="24"/>
              </w:rPr>
              <w:t>3.59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217,888.95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1,047,378.46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912,010.18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2,605,079.82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4,782,357.41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248,363,489.95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87,108,456.91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36,957,634.01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298,514,312.85</w:t>
            </w:r>
          </w:p>
        </w:tc>
      </w:tr>
    </w:tbl>
    <w:p w:rsidR="00A76302" w:rsidRDefault="005A1B1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76302" w:rsidRDefault="005A1B1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A76302" w:rsidRDefault="005A1B1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、《交银施罗德新成长混合型证券投资基金基金合同》；</w:t>
      </w:r>
      <w:r>
        <w:rPr>
          <w:color w:val="000000"/>
          <w:sz w:val="24"/>
          <w:szCs w:val="24"/>
        </w:rPr>
        <w:t xml:space="preserve"> </w:t>
      </w:r>
    </w:p>
    <w:p w:rsidR="00A76302" w:rsidRDefault="005A1B1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、《交银施罗德新成长混合型证券投资基金招募说明书》；</w:t>
      </w:r>
      <w:r>
        <w:rPr>
          <w:color w:val="000000"/>
          <w:sz w:val="24"/>
          <w:szCs w:val="24"/>
        </w:rPr>
        <w:t xml:space="preserve"> </w:t>
      </w:r>
    </w:p>
    <w:p w:rsidR="00A76302" w:rsidRDefault="005A1B1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、《交银施罗德新成长混合型证券投资基金托管协议》；</w:t>
      </w:r>
    </w:p>
    <w:p w:rsidR="00A76302" w:rsidRDefault="005A1B1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A76302" w:rsidRDefault="005A1B1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A76302" w:rsidRDefault="005A1B1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76302" w:rsidRDefault="005A1B1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8BA" w:rsidRDefault="00DF08BA" w:rsidP="00876D65">
      <w:r>
        <w:separator/>
      </w:r>
    </w:p>
  </w:endnote>
  <w:endnote w:type="continuationSeparator" w:id="0">
    <w:p w:rsidR="00DF08BA" w:rsidRDefault="00DF08B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D77DD3">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D77DD3">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8BA" w:rsidRDefault="00DF08BA" w:rsidP="00876D65">
      <w:r>
        <w:separator/>
      </w:r>
    </w:p>
  </w:footnote>
  <w:footnote w:type="continuationSeparator" w:id="0">
    <w:p w:rsidR="00DF08BA" w:rsidRDefault="00DF08B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3F7F"/>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1B1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302"/>
    <w:rsid w:val="00A76625"/>
    <w:rsid w:val="00A81F53"/>
    <w:rsid w:val="00A83500"/>
    <w:rsid w:val="00A8721A"/>
    <w:rsid w:val="00A90049"/>
    <w:rsid w:val="00A917BF"/>
    <w:rsid w:val="00A96A94"/>
    <w:rsid w:val="00AA3A38"/>
    <w:rsid w:val="00AA4F94"/>
    <w:rsid w:val="00AA6513"/>
    <w:rsid w:val="00AB047E"/>
    <w:rsid w:val="00AB4DB6"/>
    <w:rsid w:val="00AB529E"/>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A2D"/>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77DD3"/>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DF08BA"/>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8D94-D1BF-404E-98CE-26938DD46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11</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566</cp:revision>
  <dcterms:created xsi:type="dcterms:W3CDTF">2012-10-16T06:07:00Z</dcterms:created>
  <dcterms:modified xsi:type="dcterms:W3CDTF">2016-10-20T11:34:00Z</dcterms:modified>
</cp:coreProperties>
</file>