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proofErr w:type="gramStart"/>
      <w:r w:rsidRPr="00087F8A">
        <w:rPr>
          <w:rFonts w:eastAsiaTheme="minorEastAsia"/>
          <w:b/>
          <w:sz w:val="36"/>
          <w:szCs w:val="36"/>
        </w:rPr>
        <w:t>交银施罗</w:t>
      </w:r>
      <w:proofErr w:type="gramEnd"/>
      <w:r w:rsidRPr="00087F8A">
        <w:rPr>
          <w:rFonts w:eastAsiaTheme="minorEastAsia"/>
          <w:b/>
          <w:sz w:val="36"/>
          <w:szCs w:val="36"/>
        </w:rPr>
        <w:t>德丰盈收益债券型证券投资基金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二〇一六年十月二十五日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3A2BFC" w:rsidRDefault="007E6CD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A2BFC" w:rsidRDefault="007E6CD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A2BFC" w:rsidRDefault="007E6CD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A2BFC" w:rsidRDefault="007E6CD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3A2BFC" w:rsidRDefault="007E6CD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交银丰盈收益债券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E862E7" w:rsidRPr="00405493" w:rsidTr="00E806FD">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E862E7" w:rsidRPr="00405493" w:rsidRDefault="00E862E7" w:rsidP="009D139A">
            <w:pPr>
              <w:adjustRightInd w:val="0"/>
              <w:spacing w:before="29" w:line="288" w:lineRule="auto"/>
              <w:ind w:left="17"/>
              <w:jc w:val="left"/>
              <w:rPr>
                <w:kern w:val="0"/>
                <w:sz w:val="24"/>
              </w:rPr>
            </w:pPr>
            <w:r w:rsidRPr="00405493">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E862E7" w:rsidRPr="00405493" w:rsidRDefault="00E862E7" w:rsidP="00E862E7">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519740</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契约型，本基金在基金合同生效之日起三年（含三年）的期间内封闭式运作（按照基金合同的约定提前转换基金运作方式的除外），封闭期结束后转为开放式运作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2014</w:t>
            </w:r>
            <w:r w:rsidRPr="00405493">
              <w:rPr>
                <w:rFonts w:eastAsiaTheme="minorEastAsia"/>
                <w:color w:val="000000"/>
                <w:kern w:val="0"/>
                <w:sz w:val="24"/>
              </w:rPr>
              <w:t>年</w:t>
            </w:r>
            <w:r w:rsidRPr="00405493">
              <w:rPr>
                <w:rFonts w:eastAsiaTheme="minorEastAsia"/>
                <w:color w:val="000000"/>
                <w:kern w:val="0"/>
                <w:sz w:val="24"/>
              </w:rPr>
              <w:t>8</w:t>
            </w:r>
            <w:r w:rsidRPr="00405493">
              <w:rPr>
                <w:rFonts w:eastAsiaTheme="minorEastAsia"/>
                <w:color w:val="000000"/>
                <w:kern w:val="0"/>
                <w:sz w:val="24"/>
              </w:rPr>
              <w:t>月</w:t>
            </w:r>
            <w:r w:rsidRPr="00405493">
              <w:rPr>
                <w:rFonts w:eastAsiaTheme="minorEastAsia"/>
                <w:color w:val="000000"/>
                <w:kern w:val="0"/>
                <w:sz w:val="24"/>
              </w:rPr>
              <w:t>11</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510,658,140.93</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追求在有效控制风险的前提下，力争为基金资产获得稳健的投资收益和超额回报。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405493">
              <w:rPr>
                <w:rFonts w:eastAsiaTheme="minorEastAsia"/>
                <w:color w:val="000000"/>
                <w:kern w:val="0"/>
                <w:sz w:val="24"/>
              </w:rPr>
              <w:t>考量</w:t>
            </w:r>
            <w:proofErr w:type="gramEnd"/>
            <w:r w:rsidRPr="00405493">
              <w:rPr>
                <w:rFonts w:eastAsiaTheme="minorEastAsia"/>
                <w:color w:val="000000"/>
                <w:kern w:val="0"/>
                <w:sz w:val="24"/>
              </w:rPr>
              <w:t>信用债券的信用评级，以及各类债券的流动性、供求</w:t>
            </w:r>
            <w:r w:rsidRPr="00405493">
              <w:rPr>
                <w:rFonts w:eastAsiaTheme="minorEastAsia"/>
                <w:color w:val="000000"/>
                <w:kern w:val="0"/>
                <w:sz w:val="24"/>
              </w:rPr>
              <w:lastRenderedPageBreak/>
              <w:t>关系和收益率水平等，自下而上精选个</w:t>
            </w:r>
            <w:proofErr w:type="gramStart"/>
            <w:r w:rsidRPr="00405493">
              <w:rPr>
                <w:rFonts w:eastAsiaTheme="minorEastAsia"/>
                <w:color w:val="000000"/>
                <w:kern w:val="0"/>
                <w:sz w:val="24"/>
              </w:rPr>
              <w:t>券</w:t>
            </w:r>
            <w:proofErr w:type="gramEnd"/>
            <w:r w:rsidRPr="00405493">
              <w:rPr>
                <w:rFonts w:eastAsiaTheme="minorEastAsia"/>
                <w:color w:val="000000"/>
                <w:kern w:val="0"/>
                <w:sz w:val="24"/>
              </w:rPr>
              <w:t>。</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三年期银行定期存款税后收益率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注：本基金在基金合同生效之日起三年</w:t>
      </w:r>
      <w:r w:rsidRPr="00405493">
        <w:rPr>
          <w:rFonts w:eastAsiaTheme="minorEastAsia"/>
          <w:color w:val="000000"/>
          <w:sz w:val="24"/>
        </w:rPr>
        <w:t>(</w:t>
      </w:r>
      <w:r w:rsidRPr="00405493">
        <w:rPr>
          <w:rFonts w:eastAsiaTheme="minorEastAsia"/>
          <w:color w:val="000000"/>
          <w:sz w:val="24"/>
        </w:rPr>
        <w:t>含三年</w:t>
      </w:r>
      <w:r w:rsidRPr="00405493">
        <w:rPr>
          <w:rFonts w:eastAsiaTheme="minorEastAsia"/>
          <w:color w:val="000000"/>
          <w:sz w:val="24"/>
        </w:rPr>
        <w:t>)</w:t>
      </w:r>
      <w:r w:rsidRPr="00405493">
        <w:rPr>
          <w:rFonts w:eastAsiaTheme="minorEastAsia"/>
          <w:color w:val="000000"/>
          <w:sz w:val="24"/>
        </w:rPr>
        <w:t>的期间内，采取封闭式运作（按照基金合同的约定提前转换基金运作方式的除外）。封闭期内，基金投资者不能申购、赎回本</w:t>
      </w:r>
      <w:proofErr w:type="gramStart"/>
      <w:r w:rsidRPr="00405493">
        <w:rPr>
          <w:rFonts w:eastAsiaTheme="minorEastAsia"/>
          <w:color w:val="000000"/>
          <w:sz w:val="24"/>
        </w:rPr>
        <w:t>基金基金</w:t>
      </w:r>
      <w:proofErr w:type="gramEnd"/>
      <w:r w:rsidRPr="00405493">
        <w:rPr>
          <w:rFonts w:eastAsiaTheme="minorEastAsia"/>
          <w:color w:val="000000"/>
          <w:sz w:val="24"/>
        </w:rPr>
        <w:t>份额，即</w:t>
      </w:r>
      <w:r w:rsidRPr="00405493">
        <w:rPr>
          <w:rFonts w:eastAsiaTheme="minorEastAsia"/>
          <w:color w:val="000000"/>
          <w:sz w:val="24"/>
        </w:rPr>
        <w:t>A</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982DE1" w:rsidRPr="00405493" w:rsidTr="00982DE1">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982DE1" w:rsidRPr="00405493" w:rsidTr="00982DE1">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14,967,237.98</w:t>
            </w:r>
          </w:p>
        </w:tc>
      </w:tr>
      <w:tr w:rsidR="00982DE1" w:rsidRPr="00405493" w:rsidTr="00982DE1">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14,086,837.67</w:t>
            </w:r>
          </w:p>
        </w:tc>
      </w:tr>
      <w:tr w:rsidR="00982DE1" w:rsidRPr="00405493" w:rsidTr="00982DE1">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0.0276</w:t>
            </w:r>
          </w:p>
        </w:tc>
      </w:tr>
      <w:tr w:rsidR="00982DE1" w:rsidRPr="00405493" w:rsidTr="00982DE1">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564,479,651.52</w:t>
            </w:r>
          </w:p>
        </w:tc>
      </w:tr>
      <w:tr w:rsidR="00982DE1" w:rsidRPr="00405493" w:rsidTr="00982DE1">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1.105</w:t>
            </w:r>
          </w:p>
        </w:tc>
      </w:tr>
    </w:tbl>
    <w:p w:rsidR="003A2BFC" w:rsidRDefault="007E6C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w:t>
      </w:r>
      <w:proofErr w:type="gramStart"/>
      <w:r w:rsidRPr="00405493">
        <w:rPr>
          <w:b/>
          <w:color w:val="000000"/>
          <w:kern w:val="0"/>
          <w:sz w:val="24"/>
        </w:rPr>
        <w:t>期基金</w:t>
      </w:r>
      <w:proofErr w:type="gramEnd"/>
      <w:r w:rsidRPr="00405493">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3A2BFC">
        <w:trPr>
          <w:jc w:val="center"/>
        </w:trPr>
        <w:tc>
          <w:tcPr>
            <w:tcW w:w="1448" w:type="dxa"/>
            <w:vAlign w:val="center"/>
          </w:tcPr>
          <w:p w:rsidR="003A2BFC" w:rsidRDefault="007E6CDB">
            <w:pPr>
              <w:jc w:val="left"/>
            </w:pPr>
            <w:r>
              <w:rPr>
                <w:rFonts w:eastAsiaTheme="minorEastAsia"/>
                <w:color w:val="000000"/>
                <w:sz w:val="24"/>
              </w:rPr>
              <w:t>过去三个月</w:t>
            </w:r>
          </w:p>
        </w:tc>
        <w:tc>
          <w:tcPr>
            <w:tcW w:w="1134" w:type="dxa"/>
            <w:vAlign w:val="center"/>
          </w:tcPr>
          <w:p w:rsidR="003A2BFC" w:rsidRDefault="007E6CDB">
            <w:pPr>
              <w:jc w:val="center"/>
            </w:pPr>
            <w:r>
              <w:rPr>
                <w:rFonts w:eastAsiaTheme="minorEastAsia"/>
                <w:color w:val="000000"/>
                <w:sz w:val="24"/>
              </w:rPr>
              <w:t>2.50%</w:t>
            </w:r>
          </w:p>
        </w:tc>
        <w:tc>
          <w:tcPr>
            <w:tcW w:w="1206" w:type="dxa"/>
            <w:vAlign w:val="center"/>
          </w:tcPr>
          <w:p w:rsidR="003A2BFC" w:rsidRDefault="007E6CDB">
            <w:pPr>
              <w:jc w:val="center"/>
            </w:pPr>
            <w:r>
              <w:rPr>
                <w:rFonts w:eastAsiaTheme="minorEastAsia"/>
                <w:color w:val="000000"/>
                <w:sz w:val="24"/>
              </w:rPr>
              <w:t>0.06%</w:t>
            </w:r>
          </w:p>
        </w:tc>
        <w:tc>
          <w:tcPr>
            <w:tcW w:w="1227" w:type="dxa"/>
            <w:vAlign w:val="center"/>
          </w:tcPr>
          <w:p w:rsidR="003A2BFC" w:rsidRDefault="007E6CDB">
            <w:pPr>
              <w:jc w:val="center"/>
            </w:pPr>
            <w:r>
              <w:rPr>
                <w:rFonts w:eastAsiaTheme="minorEastAsia"/>
                <w:color w:val="000000"/>
                <w:sz w:val="24"/>
              </w:rPr>
              <w:t>0.70%</w:t>
            </w:r>
          </w:p>
        </w:tc>
        <w:tc>
          <w:tcPr>
            <w:tcW w:w="1234" w:type="dxa"/>
            <w:vAlign w:val="center"/>
          </w:tcPr>
          <w:p w:rsidR="003A2BFC" w:rsidRDefault="007E6CDB">
            <w:pPr>
              <w:jc w:val="center"/>
            </w:pPr>
            <w:r>
              <w:rPr>
                <w:rFonts w:eastAsiaTheme="minorEastAsia"/>
                <w:color w:val="000000"/>
                <w:sz w:val="24"/>
              </w:rPr>
              <w:t>0.01%</w:t>
            </w:r>
          </w:p>
        </w:tc>
        <w:tc>
          <w:tcPr>
            <w:tcW w:w="1246" w:type="dxa"/>
            <w:vAlign w:val="center"/>
          </w:tcPr>
          <w:p w:rsidR="003A2BFC" w:rsidRDefault="007E6CDB">
            <w:pPr>
              <w:jc w:val="center"/>
            </w:pPr>
            <w:r>
              <w:rPr>
                <w:rFonts w:eastAsiaTheme="minorEastAsia"/>
                <w:color w:val="000000"/>
                <w:sz w:val="24"/>
              </w:rPr>
              <w:t>1.80%</w:t>
            </w:r>
          </w:p>
        </w:tc>
        <w:tc>
          <w:tcPr>
            <w:tcW w:w="1373" w:type="dxa"/>
            <w:vAlign w:val="center"/>
          </w:tcPr>
          <w:p w:rsidR="003A2BFC" w:rsidRDefault="007E6CDB">
            <w:pPr>
              <w:jc w:val="center"/>
            </w:pPr>
            <w:r>
              <w:rPr>
                <w:rFonts w:eastAsiaTheme="minorEastAsia"/>
                <w:color w:val="000000"/>
                <w:sz w:val="24"/>
              </w:rPr>
              <w:t>0.05%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交银施罗德丰盈收益债券型证券投资基金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2014</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8</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3A2BFC">
        <w:trPr>
          <w:jc w:val="center"/>
        </w:trPr>
        <w:tc>
          <w:tcPr>
            <w:tcW w:w="846" w:type="dxa"/>
            <w:vAlign w:val="center"/>
          </w:tcPr>
          <w:p w:rsidR="003A2BFC" w:rsidRDefault="007E6CDB">
            <w:pPr>
              <w:jc w:val="center"/>
            </w:pPr>
            <w:r>
              <w:rPr>
                <w:rFonts w:eastAsiaTheme="minorEastAsia"/>
                <w:color w:val="000000"/>
                <w:sz w:val="24"/>
              </w:rPr>
              <w:t>连端清</w:t>
            </w:r>
          </w:p>
        </w:tc>
        <w:tc>
          <w:tcPr>
            <w:tcW w:w="845" w:type="dxa"/>
            <w:vAlign w:val="center"/>
          </w:tcPr>
          <w:p w:rsidR="003A2BFC" w:rsidRDefault="007E6CDB">
            <w:pPr>
              <w:jc w:val="center"/>
            </w:pPr>
            <w:r>
              <w:rPr>
                <w:rFonts w:eastAsiaTheme="minorEastAsia"/>
                <w:color w:val="000000"/>
                <w:sz w:val="24"/>
              </w:rPr>
              <w:t>交银货币、交银理财</w:t>
            </w:r>
            <w:r>
              <w:rPr>
                <w:rFonts w:eastAsiaTheme="minorEastAsia"/>
                <w:color w:val="000000"/>
                <w:sz w:val="24"/>
              </w:rPr>
              <w:t>60</w:t>
            </w:r>
            <w:r>
              <w:rPr>
                <w:rFonts w:eastAsiaTheme="minorEastAsia"/>
                <w:color w:val="000000"/>
                <w:sz w:val="24"/>
              </w:rPr>
              <w:t>天债券、交银丰盈收益债券、交银现金宝货币、交银丰润收益债券、交银活期通货币的基金经理</w:t>
            </w:r>
          </w:p>
        </w:tc>
        <w:tc>
          <w:tcPr>
            <w:tcW w:w="1549" w:type="dxa"/>
            <w:vAlign w:val="center"/>
          </w:tcPr>
          <w:p w:rsidR="003A2BFC" w:rsidRDefault="007E6CDB">
            <w:pPr>
              <w:jc w:val="center"/>
            </w:pPr>
            <w:r>
              <w:rPr>
                <w:rFonts w:eastAsiaTheme="minorEastAsia"/>
                <w:color w:val="000000"/>
                <w:sz w:val="24"/>
              </w:rPr>
              <w:t>2015-08-04</w:t>
            </w:r>
          </w:p>
        </w:tc>
        <w:tc>
          <w:tcPr>
            <w:tcW w:w="1548" w:type="dxa"/>
            <w:vAlign w:val="center"/>
          </w:tcPr>
          <w:p w:rsidR="003A2BFC" w:rsidRDefault="007E6CDB">
            <w:pPr>
              <w:jc w:val="center"/>
            </w:pPr>
            <w:r>
              <w:rPr>
                <w:rFonts w:eastAsiaTheme="minorEastAsia"/>
                <w:color w:val="000000"/>
                <w:sz w:val="24"/>
              </w:rPr>
              <w:t>-</w:t>
            </w:r>
          </w:p>
        </w:tc>
        <w:tc>
          <w:tcPr>
            <w:tcW w:w="1407" w:type="dxa"/>
            <w:vAlign w:val="center"/>
          </w:tcPr>
          <w:p w:rsidR="003A2BFC" w:rsidRDefault="007E6CDB">
            <w:pPr>
              <w:jc w:val="center"/>
            </w:pPr>
            <w:r>
              <w:rPr>
                <w:rFonts w:eastAsiaTheme="minorEastAsia"/>
                <w:color w:val="000000"/>
                <w:sz w:val="24"/>
              </w:rPr>
              <w:t>5</w:t>
            </w:r>
            <w:r>
              <w:rPr>
                <w:rFonts w:eastAsiaTheme="minorEastAsia"/>
                <w:color w:val="000000"/>
                <w:sz w:val="24"/>
              </w:rPr>
              <w:t>年</w:t>
            </w:r>
          </w:p>
        </w:tc>
        <w:tc>
          <w:tcPr>
            <w:tcW w:w="2673" w:type="dxa"/>
            <w:vAlign w:val="center"/>
          </w:tcPr>
          <w:p w:rsidR="003A2BFC" w:rsidRDefault="007E6CDB">
            <w:r>
              <w:rPr>
                <w:rFonts w:eastAsiaTheme="minorEastAsia"/>
                <w:color w:val="000000"/>
                <w:sz w:val="24"/>
              </w:rPr>
              <w:t>连端清先生，复旦大学经济学博士。历任交通银行总行金融市场部、湘财证券研究所研究员、中航信托资产管理部投资经理。</w:t>
            </w:r>
            <w:r>
              <w:rPr>
                <w:rFonts w:eastAsiaTheme="minorEastAsia"/>
                <w:color w:val="000000"/>
                <w:sz w:val="24"/>
              </w:rPr>
              <w:t>2015</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1B2CAA" w:rsidRPr="00370376" w:rsidRDefault="001B2CAA" w:rsidP="00370376">
      <w:pPr>
        <w:autoSpaceDE w:val="0"/>
        <w:autoSpaceDN w:val="0"/>
        <w:adjustRightInd w:val="0"/>
        <w:spacing w:before="29" w:line="288" w:lineRule="auto"/>
        <w:ind w:firstLineChars="200" w:firstLine="480"/>
        <w:rPr>
          <w:rFonts w:eastAsiaTheme="minorEastAsia"/>
          <w:color w:val="000000"/>
          <w:sz w:val="24"/>
        </w:rPr>
      </w:pPr>
      <w:r w:rsidRPr="00370376">
        <w:rPr>
          <w:rFonts w:eastAsiaTheme="minorEastAsia"/>
          <w:color w:val="000000"/>
          <w:sz w:val="24"/>
        </w:rPr>
        <w:t>2016</w:t>
      </w:r>
      <w:r w:rsidRPr="00370376">
        <w:rPr>
          <w:rFonts w:eastAsiaTheme="minorEastAsia" w:hint="eastAsia"/>
          <w:color w:val="000000"/>
          <w:sz w:val="24"/>
        </w:rPr>
        <w:t>年三季度，国内经济整体上呈现弱势平稳，但一、二线城市房地产价格涨幅惊人。</w:t>
      </w:r>
      <w:r w:rsidRPr="00370376">
        <w:rPr>
          <w:rFonts w:eastAsiaTheme="minorEastAsia"/>
          <w:color w:val="000000"/>
          <w:sz w:val="24"/>
        </w:rPr>
        <w:t>PPI</w:t>
      </w:r>
      <w:r w:rsidRPr="00370376">
        <w:rPr>
          <w:rFonts w:eastAsiaTheme="minorEastAsia" w:hint="eastAsia"/>
          <w:color w:val="000000"/>
          <w:sz w:val="24"/>
        </w:rPr>
        <w:t>、工业增加值及制造业</w:t>
      </w:r>
      <w:r w:rsidRPr="00370376">
        <w:rPr>
          <w:rFonts w:eastAsiaTheme="minorEastAsia"/>
          <w:color w:val="000000"/>
          <w:sz w:val="24"/>
        </w:rPr>
        <w:t>PMI</w:t>
      </w:r>
      <w:r w:rsidRPr="00370376">
        <w:rPr>
          <w:rFonts w:eastAsiaTheme="minorEastAsia" w:hint="eastAsia"/>
          <w:color w:val="000000"/>
          <w:sz w:val="24"/>
        </w:rPr>
        <w:t>等经济指标稳中向好，</w:t>
      </w:r>
      <w:r w:rsidRPr="00370376">
        <w:rPr>
          <w:rFonts w:eastAsiaTheme="minorEastAsia"/>
          <w:color w:val="000000"/>
          <w:sz w:val="24"/>
        </w:rPr>
        <w:t>CPI</w:t>
      </w:r>
      <w:r w:rsidRPr="00370376">
        <w:rPr>
          <w:rFonts w:eastAsiaTheme="minorEastAsia" w:hint="eastAsia"/>
          <w:color w:val="000000"/>
          <w:sz w:val="24"/>
        </w:rPr>
        <w:t>低位运行。</w:t>
      </w:r>
      <w:r w:rsidRPr="00370376">
        <w:rPr>
          <w:rFonts w:eastAsiaTheme="minorEastAsia"/>
          <w:color w:val="000000"/>
          <w:sz w:val="24"/>
        </w:rPr>
        <w:t>8</w:t>
      </w:r>
      <w:r w:rsidRPr="00370376">
        <w:rPr>
          <w:rFonts w:eastAsiaTheme="minorEastAsia" w:hint="eastAsia"/>
          <w:color w:val="000000"/>
          <w:sz w:val="24"/>
        </w:rPr>
        <w:t>月份，</w:t>
      </w:r>
      <w:r w:rsidRPr="00370376">
        <w:rPr>
          <w:rFonts w:eastAsiaTheme="minorEastAsia"/>
          <w:color w:val="000000"/>
          <w:sz w:val="24"/>
        </w:rPr>
        <w:t>70</w:t>
      </w:r>
      <w:r w:rsidRPr="00370376">
        <w:rPr>
          <w:rFonts w:eastAsiaTheme="minorEastAsia" w:hint="eastAsia"/>
          <w:color w:val="000000"/>
          <w:sz w:val="24"/>
        </w:rPr>
        <w:t>个大中城市新建住宅价格指数同比涨幅为</w:t>
      </w:r>
      <w:r w:rsidRPr="00370376">
        <w:rPr>
          <w:rFonts w:eastAsiaTheme="minorEastAsia"/>
          <w:color w:val="000000"/>
          <w:sz w:val="24"/>
        </w:rPr>
        <w:t>7.3%</w:t>
      </w:r>
      <w:r w:rsidRPr="00370376">
        <w:rPr>
          <w:rFonts w:eastAsiaTheme="minorEastAsia" w:hint="eastAsia"/>
          <w:color w:val="000000"/>
          <w:sz w:val="24"/>
        </w:rPr>
        <w:t>，创两年以来的新高。其中，一线城市继续维持</w:t>
      </w:r>
      <w:r w:rsidRPr="00370376">
        <w:rPr>
          <w:rFonts w:eastAsiaTheme="minorEastAsia"/>
          <w:color w:val="000000"/>
          <w:sz w:val="24"/>
        </w:rPr>
        <w:t>28%</w:t>
      </w:r>
      <w:r w:rsidRPr="00370376">
        <w:rPr>
          <w:rFonts w:eastAsiaTheme="minorEastAsia" w:hint="eastAsia"/>
          <w:color w:val="000000"/>
          <w:sz w:val="24"/>
        </w:rPr>
        <w:t>以上的涨幅，二线城市涨幅也高达</w:t>
      </w:r>
      <w:r w:rsidRPr="00370376">
        <w:rPr>
          <w:rFonts w:eastAsiaTheme="minorEastAsia"/>
          <w:color w:val="000000"/>
          <w:sz w:val="24"/>
        </w:rPr>
        <w:t>13.4%</w:t>
      </w:r>
      <w:r w:rsidRPr="00370376">
        <w:rPr>
          <w:rFonts w:eastAsiaTheme="minorEastAsia" w:hint="eastAsia"/>
          <w:color w:val="000000"/>
          <w:sz w:val="24"/>
        </w:rPr>
        <w:t>。货币政策上，央行通过公开市场操作与定向工具来维持适度宽松的流动性，但宽松的边际有所收窄。三季度公开市场净投放</w:t>
      </w:r>
      <w:r w:rsidRPr="00370376">
        <w:rPr>
          <w:rFonts w:eastAsiaTheme="minorEastAsia"/>
          <w:color w:val="000000"/>
          <w:sz w:val="24"/>
        </w:rPr>
        <w:t>4658</w:t>
      </w:r>
      <w:r w:rsidRPr="00370376">
        <w:rPr>
          <w:rFonts w:eastAsiaTheme="minorEastAsia" w:hint="eastAsia"/>
          <w:color w:val="000000"/>
          <w:sz w:val="24"/>
        </w:rPr>
        <w:t>亿，较二季度减少</w:t>
      </w:r>
      <w:r w:rsidRPr="00370376">
        <w:rPr>
          <w:rFonts w:eastAsiaTheme="minorEastAsia"/>
          <w:color w:val="000000"/>
          <w:sz w:val="24"/>
        </w:rPr>
        <w:t>2092</w:t>
      </w:r>
      <w:r w:rsidRPr="00370376">
        <w:rPr>
          <w:rFonts w:eastAsiaTheme="minorEastAsia" w:hint="eastAsia"/>
          <w:color w:val="000000"/>
          <w:sz w:val="24"/>
        </w:rPr>
        <w:t>亿。</w:t>
      </w:r>
    </w:p>
    <w:p w:rsidR="001B2CAA" w:rsidRPr="00370376" w:rsidRDefault="001B2CAA" w:rsidP="00370376">
      <w:pPr>
        <w:autoSpaceDE w:val="0"/>
        <w:autoSpaceDN w:val="0"/>
        <w:adjustRightInd w:val="0"/>
        <w:spacing w:before="29" w:line="288" w:lineRule="auto"/>
        <w:ind w:firstLineChars="200" w:firstLine="480"/>
        <w:rPr>
          <w:rFonts w:eastAsiaTheme="minorEastAsia"/>
          <w:color w:val="000000"/>
          <w:sz w:val="24"/>
        </w:rPr>
      </w:pPr>
      <w:r w:rsidRPr="00370376">
        <w:rPr>
          <w:rFonts w:eastAsiaTheme="minorEastAsia" w:hint="eastAsia"/>
          <w:color w:val="000000"/>
          <w:sz w:val="24"/>
        </w:rPr>
        <w:t>资金面上，三季度央行先后重启</w:t>
      </w:r>
      <w:r w:rsidRPr="00370376">
        <w:rPr>
          <w:rFonts w:eastAsiaTheme="minorEastAsia"/>
          <w:color w:val="000000"/>
          <w:sz w:val="24"/>
        </w:rPr>
        <w:t>14</w:t>
      </w:r>
      <w:r w:rsidRPr="00370376">
        <w:rPr>
          <w:rFonts w:eastAsiaTheme="minorEastAsia" w:hint="eastAsia"/>
          <w:color w:val="000000"/>
          <w:sz w:val="24"/>
        </w:rPr>
        <w:t>天与</w:t>
      </w:r>
      <w:r w:rsidRPr="00370376">
        <w:rPr>
          <w:rFonts w:eastAsiaTheme="minorEastAsia"/>
          <w:color w:val="000000"/>
          <w:sz w:val="24"/>
        </w:rPr>
        <w:t>28</w:t>
      </w:r>
      <w:r w:rsidRPr="00370376">
        <w:rPr>
          <w:rFonts w:eastAsiaTheme="minorEastAsia" w:hint="eastAsia"/>
          <w:color w:val="000000"/>
          <w:sz w:val="24"/>
        </w:rPr>
        <w:t>天逆回购，控制短端资金投放的意图明显，资金价格中枢显著上行。</w:t>
      </w:r>
      <w:r w:rsidRPr="00370376">
        <w:rPr>
          <w:rFonts w:eastAsiaTheme="minorEastAsia"/>
          <w:color w:val="000000"/>
          <w:sz w:val="24"/>
        </w:rPr>
        <w:t>9</w:t>
      </w:r>
      <w:r w:rsidRPr="00370376">
        <w:rPr>
          <w:rFonts w:eastAsiaTheme="minorEastAsia" w:hint="eastAsia"/>
          <w:color w:val="000000"/>
          <w:sz w:val="24"/>
        </w:rPr>
        <w:t>月底银行间市场隔夜回购利率较二季度末上升</w:t>
      </w:r>
      <w:r w:rsidRPr="00370376">
        <w:rPr>
          <w:rFonts w:eastAsiaTheme="minorEastAsia"/>
          <w:color w:val="000000"/>
          <w:sz w:val="24"/>
        </w:rPr>
        <w:t>22</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以上。受英国退欧后引发的全球再宽松预期、国内资产配置压力及信用环境相对平静等影响，三季度债市整体上较二季度进一步上涨。</w:t>
      </w:r>
      <w:r w:rsidRPr="00370376">
        <w:rPr>
          <w:rFonts w:eastAsiaTheme="minorEastAsia"/>
          <w:color w:val="000000"/>
          <w:sz w:val="24"/>
        </w:rPr>
        <w:t>7</w:t>
      </w:r>
      <w:r w:rsidRPr="00370376">
        <w:rPr>
          <w:rFonts w:eastAsiaTheme="minorEastAsia" w:hint="eastAsia"/>
          <w:color w:val="000000"/>
          <w:sz w:val="24"/>
        </w:rPr>
        <w:t>月初至</w:t>
      </w:r>
      <w:r w:rsidRPr="00370376">
        <w:rPr>
          <w:rFonts w:eastAsiaTheme="minorEastAsia"/>
          <w:color w:val="000000"/>
          <w:sz w:val="24"/>
        </w:rPr>
        <w:t>8</w:t>
      </w:r>
      <w:r w:rsidRPr="00370376">
        <w:rPr>
          <w:rFonts w:eastAsiaTheme="minorEastAsia" w:hint="eastAsia"/>
          <w:color w:val="000000"/>
          <w:sz w:val="24"/>
        </w:rPr>
        <w:t>月中旬债市延续上涨走势，之后受宏观数据好于预期及央行收窄资金面的宽松边际等影响，债市有所回调。</w:t>
      </w:r>
      <w:r w:rsidRPr="00370376">
        <w:rPr>
          <w:rFonts w:eastAsiaTheme="minorEastAsia"/>
          <w:color w:val="000000"/>
          <w:sz w:val="24"/>
        </w:rPr>
        <w:t>9</w:t>
      </w:r>
      <w:r w:rsidRPr="00370376">
        <w:rPr>
          <w:rFonts w:eastAsiaTheme="minorEastAsia" w:hint="eastAsia"/>
          <w:color w:val="000000"/>
          <w:sz w:val="24"/>
        </w:rPr>
        <w:t>月底，</w:t>
      </w:r>
      <w:r w:rsidRPr="00370376">
        <w:rPr>
          <w:rFonts w:eastAsiaTheme="minorEastAsia"/>
          <w:color w:val="000000"/>
          <w:sz w:val="24"/>
        </w:rPr>
        <w:t>1</w:t>
      </w:r>
      <w:r w:rsidRPr="00370376">
        <w:rPr>
          <w:rFonts w:eastAsiaTheme="minorEastAsia" w:hint="eastAsia"/>
          <w:color w:val="000000"/>
          <w:sz w:val="24"/>
        </w:rPr>
        <w:t>年期与</w:t>
      </w:r>
      <w:r w:rsidRPr="00370376">
        <w:rPr>
          <w:rFonts w:eastAsiaTheme="minorEastAsia"/>
          <w:color w:val="000000"/>
          <w:sz w:val="24"/>
        </w:rPr>
        <w:t>3</w:t>
      </w:r>
      <w:r w:rsidRPr="00370376">
        <w:rPr>
          <w:rFonts w:eastAsiaTheme="minorEastAsia" w:hint="eastAsia"/>
          <w:color w:val="000000"/>
          <w:sz w:val="24"/>
        </w:rPr>
        <w:t>年期</w:t>
      </w:r>
      <w:r w:rsidRPr="00370376">
        <w:rPr>
          <w:rFonts w:eastAsiaTheme="minorEastAsia"/>
          <w:color w:val="000000"/>
          <w:sz w:val="24"/>
        </w:rPr>
        <w:t>AAA</w:t>
      </w:r>
      <w:r w:rsidRPr="00370376">
        <w:rPr>
          <w:rFonts w:eastAsiaTheme="minorEastAsia" w:hint="eastAsia"/>
          <w:color w:val="000000"/>
          <w:sz w:val="24"/>
        </w:rPr>
        <w:t>信用债</w:t>
      </w:r>
      <w:r w:rsidRPr="00370376">
        <w:rPr>
          <w:rFonts w:eastAsiaTheme="minorEastAsia"/>
          <w:color w:val="000000"/>
          <w:sz w:val="24"/>
        </w:rPr>
        <w:t>YTM</w:t>
      </w:r>
      <w:r w:rsidRPr="00370376">
        <w:rPr>
          <w:rFonts w:eastAsiaTheme="minorEastAsia" w:hint="eastAsia"/>
          <w:color w:val="000000"/>
          <w:sz w:val="24"/>
        </w:rPr>
        <w:t>较二季度末分别下行</w:t>
      </w:r>
      <w:r w:rsidRPr="00370376">
        <w:rPr>
          <w:rFonts w:eastAsiaTheme="minorEastAsia"/>
          <w:color w:val="000000"/>
          <w:sz w:val="24"/>
        </w:rPr>
        <w:t>9</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与</w:t>
      </w:r>
      <w:r w:rsidRPr="00370376">
        <w:rPr>
          <w:rFonts w:eastAsiaTheme="minorEastAsia"/>
          <w:color w:val="000000"/>
          <w:sz w:val="24"/>
        </w:rPr>
        <w:t>17</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以上。而低评级信用债涨幅较大，</w:t>
      </w:r>
      <w:r w:rsidRPr="00370376">
        <w:rPr>
          <w:rFonts w:eastAsiaTheme="minorEastAsia"/>
          <w:color w:val="000000"/>
          <w:sz w:val="24"/>
        </w:rPr>
        <w:t>1</w:t>
      </w:r>
      <w:r w:rsidRPr="00370376">
        <w:rPr>
          <w:rFonts w:eastAsiaTheme="minorEastAsia" w:hint="eastAsia"/>
          <w:color w:val="000000"/>
          <w:sz w:val="24"/>
        </w:rPr>
        <w:t>年期与</w:t>
      </w:r>
      <w:r w:rsidRPr="00370376">
        <w:rPr>
          <w:rFonts w:eastAsiaTheme="minorEastAsia"/>
          <w:color w:val="000000"/>
          <w:sz w:val="24"/>
        </w:rPr>
        <w:t>3</w:t>
      </w:r>
      <w:r w:rsidRPr="00370376">
        <w:rPr>
          <w:rFonts w:eastAsiaTheme="minorEastAsia" w:hint="eastAsia"/>
          <w:color w:val="000000"/>
          <w:sz w:val="24"/>
        </w:rPr>
        <w:t>年期</w:t>
      </w:r>
      <w:r w:rsidRPr="00370376">
        <w:rPr>
          <w:rFonts w:eastAsiaTheme="minorEastAsia"/>
          <w:color w:val="000000"/>
          <w:sz w:val="24"/>
        </w:rPr>
        <w:t>AA</w:t>
      </w:r>
      <w:r w:rsidRPr="00370376">
        <w:rPr>
          <w:rFonts w:eastAsiaTheme="minorEastAsia" w:hint="eastAsia"/>
          <w:color w:val="000000"/>
          <w:sz w:val="24"/>
        </w:rPr>
        <w:t>信用债</w:t>
      </w:r>
      <w:r w:rsidRPr="00370376">
        <w:rPr>
          <w:rFonts w:eastAsiaTheme="minorEastAsia"/>
          <w:color w:val="000000"/>
          <w:sz w:val="24"/>
        </w:rPr>
        <w:t>YTM</w:t>
      </w:r>
      <w:r w:rsidRPr="00370376">
        <w:rPr>
          <w:rFonts w:eastAsiaTheme="minorEastAsia" w:hint="eastAsia"/>
          <w:color w:val="000000"/>
          <w:sz w:val="24"/>
        </w:rPr>
        <w:t>较二季度末分别下行</w:t>
      </w:r>
      <w:r w:rsidRPr="00370376">
        <w:rPr>
          <w:rFonts w:eastAsiaTheme="minorEastAsia"/>
          <w:color w:val="000000"/>
          <w:sz w:val="24"/>
        </w:rPr>
        <w:t>65</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与</w:t>
      </w:r>
      <w:r w:rsidRPr="00370376">
        <w:rPr>
          <w:rFonts w:eastAsiaTheme="minorEastAsia"/>
          <w:color w:val="000000"/>
          <w:sz w:val="24"/>
        </w:rPr>
        <w:t>75</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以上。利率债方面，</w:t>
      </w:r>
      <w:r w:rsidRPr="00370376">
        <w:rPr>
          <w:rFonts w:eastAsiaTheme="minorEastAsia"/>
          <w:color w:val="000000"/>
          <w:sz w:val="24"/>
        </w:rPr>
        <w:t>10</w:t>
      </w:r>
      <w:r w:rsidRPr="00370376">
        <w:rPr>
          <w:rFonts w:eastAsiaTheme="minorEastAsia" w:hint="eastAsia"/>
          <w:color w:val="000000"/>
          <w:sz w:val="24"/>
        </w:rPr>
        <w:t>年期国开债自</w:t>
      </w:r>
      <w:r w:rsidRPr="00370376">
        <w:rPr>
          <w:rFonts w:eastAsiaTheme="minorEastAsia"/>
          <w:color w:val="000000"/>
          <w:sz w:val="24"/>
        </w:rPr>
        <w:t>7</w:t>
      </w:r>
      <w:r w:rsidRPr="00370376">
        <w:rPr>
          <w:rFonts w:eastAsiaTheme="minorEastAsia" w:hint="eastAsia"/>
          <w:color w:val="000000"/>
          <w:sz w:val="24"/>
        </w:rPr>
        <w:t>月初一路上涨至</w:t>
      </w:r>
      <w:r w:rsidRPr="00370376">
        <w:rPr>
          <w:rFonts w:eastAsiaTheme="minorEastAsia"/>
          <w:color w:val="000000"/>
          <w:sz w:val="24"/>
        </w:rPr>
        <w:t>8</w:t>
      </w:r>
      <w:r w:rsidRPr="00370376">
        <w:rPr>
          <w:rFonts w:eastAsiaTheme="minorEastAsia" w:hint="eastAsia"/>
          <w:color w:val="000000"/>
          <w:sz w:val="24"/>
        </w:rPr>
        <w:t>月中旬，然后回调了</w:t>
      </w:r>
      <w:r w:rsidRPr="00370376">
        <w:rPr>
          <w:rFonts w:eastAsiaTheme="minorEastAsia"/>
          <w:color w:val="000000"/>
          <w:sz w:val="24"/>
        </w:rPr>
        <w:t>10</w:t>
      </w:r>
      <w:r w:rsidRPr="00370376">
        <w:rPr>
          <w:rFonts w:eastAsiaTheme="minorEastAsia" w:hint="eastAsia"/>
          <w:color w:val="000000"/>
          <w:sz w:val="24"/>
        </w:rPr>
        <w:t>几个</w:t>
      </w:r>
      <w:r w:rsidRPr="00370376">
        <w:rPr>
          <w:rFonts w:eastAsiaTheme="minorEastAsia"/>
          <w:color w:val="000000"/>
          <w:sz w:val="24"/>
        </w:rPr>
        <w:t>BP</w:t>
      </w:r>
      <w:r w:rsidRPr="00370376">
        <w:rPr>
          <w:rFonts w:eastAsiaTheme="minorEastAsia" w:hint="eastAsia"/>
          <w:color w:val="000000"/>
          <w:sz w:val="24"/>
        </w:rPr>
        <w:t>，</w:t>
      </w:r>
      <w:r w:rsidRPr="00370376">
        <w:rPr>
          <w:rFonts w:eastAsiaTheme="minorEastAsia"/>
          <w:color w:val="000000"/>
          <w:sz w:val="24"/>
        </w:rPr>
        <w:t>9</w:t>
      </w:r>
      <w:r w:rsidRPr="00370376">
        <w:rPr>
          <w:rFonts w:eastAsiaTheme="minorEastAsia" w:hint="eastAsia"/>
          <w:color w:val="000000"/>
          <w:sz w:val="24"/>
        </w:rPr>
        <w:t>月上旬以来受房地产泡沫膨胀导致经济中期下行的担忧等影响，再次上涨。</w:t>
      </w:r>
      <w:r w:rsidRPr="00370376">
        <w:rPr>
          <w:rFonts w:eastAsiaTheme="minorEastAsia"/>
          <w:color w:val="000000"/>
          <w:sz w:val="24"/>
        </w:rPr>
        <w:t>9</w:t>
      </w:r>
      <w:r w:rsidRPr="00370376">
        <w:rPr>
          <w:rFonts w:eastAsiaTheme="minorEastAsia" w:hint="eastAsia"/>
          <w:color w:val="000000"/>
          <w:sz w:val="24"/>
        </w:rPr>
        <w:t>月底，</w:t>
      </w:r>
      <w:r w:rsidRPr="00370376">
        <w:rPr>
          <w:rFonts w:eastAsiaTheme="minorEastAsia"/>
          <w:color w:val="000000"/>
          <w:sz w:val="24"/>
        </w:rPr>
        <w:t>10</w:t>
      </w:r>
      <w:r w:rsidRPr="00370376">
        <w:rPr>
          <w:rFonts w:eastAsiaTheme="minorEastAsia" w:hint="eastAsia"/>
          <w:color w:val="000000"/>
          <w:sz w:val="24"/>
        </w:rPr>
        <w:t>年期国开债</w:t>
      </w:r>
      <w:r w:rsidRPr="00370376">
        <w:rPr>
          <w:rFonts w:eastAsiaTheme="minorEastAsia"/>
          <w:color w:val="000000"/>
          <w:sz w:val="24"/>
        </w:rPr>
        <w:t>YTM</w:t>
      </w:r>
      <w:r w:rsidRPr="00370376">
        <w:rPr>
          <w:rFonts w:eastAsiaTheme="minorEastAsia" w:hint="eastAsia"/>
          <w:color w:val="000000"/>
          <w:sz w:val="24"/>
        </w:rPr>
        <w:t>较二季度末下行</w:t>
      </w:r>
      <w:r w:rsidRPr="00370376">
        <w:rPr>
          <w:rFonts w:eastAsiaTheme="minorEastAsia"/>
          <w:color w:val="000000"/>
          <w:sz w:val="24"/>
        </w:rPr>
        <w:t>13</w:t>
      </w:r>
      <w:r w:rsidRPr="00370376">
        <w:rPr>
          <w:rFonts w:eastAsiaTheme="minorEastAsia" w:hint="eastAsia"/>
          <w:color w:val="000000"/>
          <w:sz w:val="24"/>
        </w:rPr>
        <w:t>个</w:t>
      </w:r>
      <w:r w:rsidRPr="00370376">
        <w:rPr>
          <w:rFonts w:eastAsiaTheme="minorEastAsia"/>
          <w:color w:val="000000"/>
          <w:sz w:val="24"/>
        </w:rPr>
        <w:t>BP</w:t>
      </w:r>
      <w:r w:rsidRPr="00370376">
        <w:rPr>
          <w:rFonts w:eastAsiaTheme="minorEastAsia" w:hint="eastAsia"/>
          <w:color w:val="000000"/>
          <w:sz w:val="24"/>
        </w:rPr>
        <w:t>以上。</w:t>
      </w:r>
    </w:p>
    <w:p w:rsidR="001B2CAA" w:rsidRPr="00370376" w:rsidRDefault="001B2CAA" w:rsidP="00370376">
      <w:pPr>
        <w:autoSpaceDE w:val="0"/>
        <w:autoSpaceDN w:val="0"/>
        <w:adjustRightInd w:val="0"/>
        <w:spacing w:before="29" w:line="288" w:lineRule="auto"/>
        <w:ind w:firstLineChars="200" w:firstLine="480"/>
        <w:rPr>
          <w:rFonts w:eastAsiaTheme="minorEastAsia"/>
          <w:color w:val="000000"/>
          <w:sz w:val="24"/>
        </w:rPr>
      </w:pPr>
      <w:r w:rsidRPr="00370376">
        <w:rPr>
          <w:rFonts w:eastAsiaTheme="minorEastAsia" w:hint="eastAsia"/>
          <w:color w:val="000000"/>
          <w:sz w:val="24"/>
        </w:rPr>
        <w:t>基金操作方面，报告期内本基金继续加强信用风险管控，调整部分债券，维持一定的杠杆与久期，充分享受了债券利率下行带来的资本利得，增厚了组合收益。</w:t>
      </w:r>
    </w:p>
    <w:p w:rsidR="0097689C" w:rsidRPr="00405493" w:rsidRDefault="001B2CAA" w:rsidP="00370376">
      <w:pPr>
        <w:autoSpaceDE w:val="0"/>
        <w:autoSpaceDN w:val="0"/>
        <w:adjustRightInd w:val="0"/>
        <w:spacing w:before="29" w:line="288" w:lineRule="auto"/>
        <w:ind w:firstLineChars="200" w:firstLine="480"/>
        <w:rPr>
          <w:rFonts w:eastAsiaTheme="minorEastAsia"/>
          <w:color w:val="000000"/>
          <w:sz w:val="24"/>
        </w:rPr>
      </w:pPr>
      <w:r w:rsidRPr="00370376">
        <w:rPr>
          <w:rFonts w:eastAsiaTheme="minorEastAsia" w:hint="eastAsia"/>
          <w:color w:val="000000"/>
          <w:sz w:val="24"/>
        </w:rPr>
        <w:t>展望四季度，鉴于国庆期间多个城市密集启动楼市限购政策，为过热的一、二线房地产市场降温，后续房地产投资走弱或是大概率事情，国内经济可能再次面临下行压力加大的风险。央行货币政策需在防泡沫与防经济下行风险之间谨慎平衡，除非经济下行风险超预期，否则预计央行仍将以定向工具及公开市场操作为主来调节流动性。组合管理方面，本基金将密切关注国内房地产投资与宏观经济走势、跟踪央行货币政策动态，力求控制信用风险，预计保持一定的杠杆水平以获取债券息差，努力为投资者创造较为稳健的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1.105</w:t>
      </w:r>
      <w:r w:rsidRPr="00405493">
        <w:rPr>
          <w:rFonts w:eastAsiaTheme="minorEastAsia"/>
          <w:color w:val="000000"/>
          <w:sz w:val="24"/>
        </w:rPr>
        <w:t>元，本报告期份额净值增长率为</w:t>
      </w:r>
      <w:r w:rsidRPr="00405493">
        <w:rPr>
          <w:rFonts w:eastAsiaTheme="minorEastAsia"/>
          <w:color w:val="000000"/>
          <w:sz w:val="24"/>
        </w:rPr>
        <w:t>2.50%</w:t>
      </w:r>
      <w:r w:rsidRPr="00405493">
        <w:rPr>
          <w:rFonts w:eastAsiaTheme="minorEastAsia"/>
          <w:color w:val="000000"/>
          <w:sz w:val="24"/>
        </w:rPr>
        <w:t>，同期业绩比较基准增长率为</w:t>
      </w:r>
      <w:r w:rsidRPr="00405493">
        <w:rPr>
          <w:rFonts w:eastAsiaTheme="minorEastAsia"/>
          <w:color w:val="000000"/>
          <w:sz w:val="24"/>
        </w:rPr>
        <w:t>0.70%</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815,182,555.50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93.13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815,182,555.50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93.13</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44,542,862.55</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15,552,939.45</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1.78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875,278,357.50</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120F36" w:rsidRPr="00405493" w:rsidRDefault="00120F36"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0B4AA1" w:rsidRPr="00405493" w:rsidTr="00C866A1">
        <w:trPr>
          <w:jc w:val="center"/>
        </w:trPr>
        <w:tc>
          <w:tcPr>
            <w:tcW w:w="850" w:type="dxa"/>
            <w:vAlign w:val="center"/>
          </w:tcPr>
          <w:p w:rsidR="000B4AA1" w:rsidRPr="00405493" w:rsidRDefault="000B4AA1" w:rsidP="000B4AA1">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0B4AA1" w:rsidRPr="00405493" w:rsidRDefault="000B4AA1" w:rsidP="000B4AA1">
            <w:pPr>
              <w:spacing w:before="29" w:line="288" w:lineRule="auto"/>
              <w:ind w:left="17"/>
              <w:jc w:val="left"/>
              <w:rPr>
                <w:color w:val="000000"/>
                <w:sz w:val="24"/>
              </w:rPr>
            </w:pPr>
            <w:r w:rsidRPr="00405493">
              <w:rPr>
                <w:color w:val="000000"/>
                <w:sz w:val="24"/>
              </w:rPr>
              <w:t>金融债券</w:t>
            </w:r>
          </w:p>
        </w:tc>
        <w:tc>
          <w:tcPr>
            <w:tcW w:w="2801" w:type="dxa"/>
          </w:tcPr>
          <w:p w:rsidR="000B4AA1" w:rsidRPr="000B4AA1" w:rsidRDefault="000B4AA1" w:rsidP="000B4AA1">
            <w:pPr>
              <w:spacing w:before="29" w:line="288" w:lineRule="auto"/>
              <w:ind w:left="17"/>
              <w:jc w:val="right"/>
              <w:rPr>
                <w:rFonts w:eastAsiaTheme="minorEastAsia"/>
                <w:color w:val="000000"/>
                <w:sz w:val="24"/>
              </w:rPr>
            </w:pPr>
            <w:r w:rsidRPr="000B4AA1">
              <w:rPr>
                <w:rFonts w:eastAsiaTheme="minorEastAsia"/>
                <w:color w:val="000000"/>
                <w:sz w:val="24"/>
              </w:rPr>
              <w:t>4,831,650.00</w:t>
            </w:r>
          </w:p>
        </w:tc>
        <w:tc>
          <w:tcPr>
            <w:tcW w:w="1827" w:type="dxa"/>
          </w:tcPr>
          <w:p w:rsidR="000B4AA1" w:rsidRPr="000B4AA1" w:rsidRDefault="000B4AA1" w:rsidP="000B4AA1">
            <w:pPr>
              <w:spacing w:before="29" w:line="288" w:lineRule="auto"/>
              <w:ind w:left="17"/>
              <w:jc w:val="right"/>
              <w:rPr>
                <w:rFonts w:eastAsiaTheme="minorEastAsia"/>
                <w:color w:val="000000"/>
                <w:sz w:val="24"/>
              </w:rPr>
            </w:pPr>
            <w:r w:rsidRPr="000B4AA1">
              <w:rPr>
                <w:rFonts w:eastAsiaTheme="minorEastAsia"/>
                <w:color w:val="000000"/>
                <w:sz w:val="24"/>
              </w:rPr>
              <w:t>0.86</w:t>
            </w:r>
          </w:p>
        </w:tc>
      </w:tr>
      <w:tr w:rsidR="000B4AA1" w:rsidRPr="00405493" w:rsidTr="00C866A1">
        <w:trPr>
          <w:jc w:val="center"/>
        </w:trPr>
        <w:tc>
          <w:tcPr>
            <w:tcW w:w="850" w:type="dxa"/>
            <w:vAlign w:val="center"/>
          </w:tcPr>
          <w:p w:rsidR="000B4AA1" w:rsidRPr="00405493" w:rsidRDefault="000B4AA1" w:rsidP="000B4AA1">
            <w:pPr>
              <w:spacing w:before="29" w:line="288" w:lineRule="auto"/>
              <w:ind w:left="17"/>
              <w:jc w:val="center"/>
              <w:rPr>
                <w:rFonts w:eastAsiaTheme="minorEastAsia"/>
                <w:color w:val="000000"/>
                <w:sz w:val="24"/>
              </w:rPr>
            </w:pPr>
          </w:p>
        </w:tc>
        <w:tc>
          <w:tcPr>
            <w:tcW w:w="3390" w:type="dxa"/>
            <w:vAlign w:val="center"/>
          </w:tcPr>
          <w:p w:rsidR="000B4AA1" w:rsidRPr="00405493" w:rsidRDefault="000B4AA1" w:rsidP="000B4AA1">
            <w:pPr>
              <w:spacing w:before="29" w:line="288" w:lineRule="auto"/>
              <w:ind w:left="17"/>
              <w:jc w:val="left"/>
              <w:rPr>
                <w:color w:val="000000"/>
                <w:sz w:val="24"/>
              </w:rPr>
            </w:pPr>
            <w:r w:rsidRPr="00405493">
              <w:rPr>
                <w:color w:val="000000"/>
                <w:sz w:val="24"/>
              </w:rPr>
              <w:t>其中：政策性金融债</w:t>
            </w:r>
          </w:p>
        </w:tc>
        <w:tc>
          <w:tcPr>
            <w:tcW w:w="2801" w:type="dxa"/>
          </w:tcPr>
          <w:p w:rsidR="000B4AA1" w:rsidRPr="000B4AA1" w:rsidRDefault="000B4AA1" w:rsidP="000B4AA1">
            <w:pPr>
              <w:spacing w:before="29" w:line="288" w:lineRule="auto"/>
              <w:ind w:left="17"/>
              <w:jc w:val="right"/>
              <w:rPr>
                <w:rFonts w:eastAsiaTheme="minorEastAsia"/>
                <w:color w:val="000000"/>
                <w:sz w:val="24"/>
              </w:rPr>
            </w:pPr>
            <w:r w:rsidRPr="000B4AA1">
              <w:rPr>
                <w:rFonts w:eastAsiaTheme="minorEastAsia"/>
                <w:color w:val="000000"/>
                <w:sz w:val="24"/>
              </w:rPr>
              <w:t>4,831,650.00</w:t>
            </w:r>
          </w:p>
        </w:tc>
        <w:tc>
          <w:tcPr>
            <w:tcW w:w="1827" w:type="dxa"/>
          </w:tcPr>
          <w:p w:rsidR="000B4AA1" w:rsidRPr="000B4AA1" w:rsidRDefault="000B4AA1" w:rsidP="000B4AA1">
            <w:pPr>
              <w:spacing w:before="29" w:line="288" w:lineRule="auto"/>
              <w:ind w:left="17"/>
              <w:jc w:val="right"/>
              <w:rPr>
                <w:rFonts w:eastAsiaTheme="minorEastAsia"/>
                <w:color w:val="000000"/>
                <w:sz w:val="24"/>
              </w:rPr>
            </w:pPr>
            <w:r w:rsidRPr="000B4AA1">
              <w:rPr>
                <w:rFonts w:eastAsiaTheme="minorEastAsia"/>
                <w:color w:val="000000"/>
                <w:sz w:val="24"/>
              </w:rPr>
              <w:t>0.86</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464,626,905.50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82.31</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140,515,000.00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24.89</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205,209,000.00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36.35</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FA4A2A" w:rsidP="009D139A">
            <w:pPr>
              <w:spacing w:before="29" w:line="288" w:lineRule="auto"/>
              <w:ind w:left="17"/>
              <w:jc w:val="right"/>
              <w:rPr>
                <w:rFonts w:eastAsiaTheme="minorEastAsia"/>
                <w:color w:val="000000"/>
                <w:sz w:val="24"/>
              </w:rPr>
            </w:pPr>
            <w:r>
              <w:rPr>
                <w:rFonts w:eastAsiaTheme="minorEastAsia"/>
                <w:color w:val="000000"/>
                <w:sz w:val="24"/>
              </w:rPr>
              <w:t>-</w:t>
            </w:r>
          </w:p>
        </w:tc>
        <w:tc>
          <w:tcPr>
            <w:tcW w:w="1827" w:type="dxa"/>
            <w:vAlign w:val="center"/>
          </w:tcPr>
          <w:p w:rsidR="00840311" w:rsidRPr="00405493" w:rsidRDefault="00FA4A2A" w:rsidP="009D139A">
            <w:pPr>
              <w:spacing w:before="29" w:line="288" w:lineRule="auto"/>
              <w:ind w:left="17"/>
              <w:jc w:val="right"/>
              <w:rPr>
                <w:rFonts w:eastAsiaTheme="minorEastAsia"/>
                <w:color w:val="000000"/>
                <w:sz w:val="24"/>
              </w:rPr>
            </w:pPr>
            <w:r>
              <w:rPr>
                <w:rFonts w:eastAsiaTheme="minorEastAsia"/>
                <w:color w:val="000000"/>
                <w:sz w:val="24"/>
              </w:rPr>
              <w:t>-</w:t>
            </w:r>
            <w:bookmarkStart w:id="0" w:name="_GoBack"/>
            <w:bookmarkEnd w:id="0"/>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815,182,555.50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144.41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3A2BFC">
        <w:trPr>
          <w:jc w:val="center"/>
        </w:trPr>
        <w:tc>
          <w:tcPr>
            <w:tcW w:w="1302" w:type="dxa"/>
            <w:vAlign w:val="center"/>
          </w:tcPr>
          <w:p w:rsidR="003A2BFC" w:rsidRDefault="007E6CDB">
            <w:pPr>
              <w:jc w:val="center"/>
            </w:pPr>
            <w:r>
              <w:rPr>
                <w:rFonts w:eastAsiaTheme="minorEastAsia"/>
                <w:color w:val="000000"/>
                <w:sz w:val="24"/>
              </w:rPr>
              <w:t>1</w:t>
            </w:r>
          </w:p>
        </w:tc>
        <w:tc>
          <w:tcPr>
            <w:tcW w:w="1362" w:type="dxa"/>
            <w:vAlign w:val="center"/>
          </w:tcPr>
          <w:p w:rsidR="003A2BFC" w:rsidRDefault="007E6CDB">
            <w:pPr>
              <w:jc w:val="center"/>
            </w:pPr>
            <w:r>
              <w:rPr>
                <w:rFonts w:eastAsiaTheme="minorEastAsia"/>
                <w:color w:val="000000"/>
                <w:sz w:val="24"/>
              </w:rPr>
              <w:t>101460015</w:t>
            </w:r>
          </w:p>
        </w:tc>
        <w:tc>
          <w:tcPr>
            <w:tcW w:w="1652" w:type="dxa"/>
            <w:vAlign w:val="center"/>
          </w:tcPr>
          <w:p w:rsidR="003A2BFC" w:rsidRDefault="007E6CDB">
            <w:pPr>
              <w:jc w:val="center"/>
            </w:pPr>
            <w:r>
              <w:rPr>
                <w:rFonts w:eastAsiaTheme="minorEastAsia"/>
                <w:color w:val="000000"/>
                <w:sz w:val="24"/>
              </w:rPr>
              <w:t>14</w:t>
            </w:r>
            <w:r>
              <w:rPr>
                <w:rFonts w:eastAsiaTheme="minorEastAsia"/>
                <w:color w:val="000000"/>
                <w:sz w:val="24"/>
              </w:rPr>
              <w:t>浦东土地</w:t>
            </w:r>
            <w:r>
              <w:rPr>
                <w:rFonts w:eastAsiaTheme="minorEastAsia"/>
                <w:color w:val="000000"/>
                <w:sz w:val="24"/>
              </w:rPr>
              <w:t>MTN001</w:t>
            </w:r>
          </w:p>
        </w:tc>
        <w:tc>
          <w:tcPr>
            <w:tcW w:w="1417" w:type="dxa"/>
            <w:vAlign w:val="center"/>
          </w:tcPr>
          <w:p w:rsidR="003A2BFC" w:rsidRDefault="007E6CDB">
            <w:pPr>
              <w:jc w:val="right"/>
            </w:pPr>
            <w:r>
              <w:rPr>
                <w:rFonts w:eastAsiaTheme="minorEastAsia"/>
                <w:color w:val="000000"/>
                <w:sz w:val="24"/>
              </w:rPr>
              <w:t>500,000</w:t>
            </w:r>
          </w:p>
        </w:tc>
        <w:tc>
          <w:tcPr>
            <w:tcW w:w="1701" w:type="dxa"/>
            <w:vAlign w:val="center"/>
          </w:tcPr>
          <w:p w:rsidR="003A2BFC" w:rsidRDefault="007E6CDB">
            <w:pPr>
              <w:jc w:val="right"/>
            </w:pPr>
            <w:r>
              <w:rPr>
                <w:rFonts w:eastAsiaTheme="minorEastAsia"/>
                <w:color w:val="000000"/>
                <w:sz w:val="24"/>
              </w:rPr>
              <w:t>51,160,000.00</w:t>
            </w:r>
          </w:p>
        </w:tc>
        <w:tc>
          <w:tcPr>
            <w:tcW w:w="1434" w:type="dxa"/>
            <w:vAlign w:val="center"/>
          </w:tcPr>
          <w:p w:rsidR="003A2BFC" w:rsidRDefault="007E6CDB">
            <w:pPr>
              <w:jc w:val="right"/>
            </w:pPr>
            <w:r>
              <w:rPr>
                <w:rFonts w:eastAsiaTheme="minorEastAsia"/>
                <w:color w:val="000000"/>
                <w:sz w:val="24"/>
              </w:rPr>
              <w:t>9.06</w:t>
            </w:r>
          </w:p>
        </w:tc>
      </w:tr>
      <w:tr w:rsidR="003A2BFC">
        <w:trPr>
          <w:jc w:val="center"/>
        </w:trPr>
        <w:tc>
          <w:tcPr>
            <w:tcW w:w="1302" w:type="dxa"/>
            <w:vAlign w:val="center"/>
          </w:tcPr>
          <w:p w:rsidR="003A2BFC" w:rsidRDefault="007E6CDB">
            <w:pPr>
              <w:jc w:val="center"/>
            </w:pPr>
            <w:r>
              <w:rPr>
                <w:rFonts w:eastAsiaTheme="minorEastAsia"/>
                <w:color w:val="000000"/>
                <w:sz w:val="24"/>
              </w:rPr>
              <w:t>2</w:t>
            </w:r>
          </w:p>
        </w:tc>
        <w:tc>
          <w:tcPr>
            <w:tcW w:w="1362" w:type="dxa"/>
            <w:vAlign w:val="center"/>
          </w:tcPr>
          <w:p w:rsidR="003A2BFC" w:rsidRDefault="007E6CDB">
            <w:pPr>
              <w:jc w:val="center"/>
            </w:pPr>
            <w:r>
              <w:rPr>
                <w:rFonts w:eastAsiaTheme="minorEastAsia"/>
                <w:color w:val="000000"/>
                <w:sz w:val="24"/>
              </w:rPr>
              <w:t>041662001</w:t>
            </w:r>
          </w:p>
        </w:tc>
        <w:tc>
          <w:tcPr>
            <w:tcW w:w="1652" w:type="dxa"/>
            <w:vAlign w:val="center"/>
          </w:tcPr>
          <w:p w:rsidR="003A2BFC" w:rsidRDefault="007E6CDB">
            <w:pPr>
              <w:jc w:val="center"/>
            </w:pPr>
            <w:r>
              <w:rPr>
                <w:rFonts w:eastAsiaTheme="minorEastAsia"/>
                <w:color w:val="000000"/>
                <w:sz w:val="24"/>
              </w:rPr>
              <w:t>16</w:t>
            </w:r>
            <w:r>
              <w:rPr>
                <w:rFonts w:eastAsiaTheme="minorEastAsia"/>
                <w:color w:val="000000"/>
                <w:sz w:val="24"/>
              </w:rPr>
              <w:t>盐城东方</w:t>
            </w:r>
            <w:r>
              <w:rPr>
                <w:rFonts w:eastAsiaTheme="minorEastAsia"/>
                <w:color w:val="000000"/>
                <w:sz w:val="24"/>
              </w:rPr>
              <w:t>CP001</w:t>
            </w:r>
          </w:p>
        </w:tc>
        <w:tc>
          <w:tcPr>
            <w:tcW w:w="1417" w:type="dxa"/>
            <w:vAlign w:val="center"/>
          </w:tcPr>
          <w:p w:rsidR="003A2BFC" w:rsidRDefault="007E6CDB">
            <w:pPr>
              <w:jc w:val="right"/>
            </w:pPr>
            <w:r>
              <w:rPr>
                <w:rFonts w:eastAsiaTheme="minorEastAsia"/>
                <w:color w:val="000000"/>
                <w:sz w:val="24"/>
              </w:rPr>
              <w:t>500,000</w:t>
            </w:r>
          </w:p>
        </w:tc>
        <w:tc>
          <w:tcPr>
            <w:tcW w:w="1701" w:type="dxa"/>
            <w:vAlign w:val="center"/>
          </w:tcPr>
          <w:p w:rsidR="003A2BFC" w:rsidRDefault="007E6CDB">
            <w:pPr>
              <w:jc w:val="right"/>
            </w:pPr>
            <w:r>
              <w:rPr>
                <w:rFonts w:eastAsiaTheme="minorEastAsia"/>
                <w:color w:val="000000"/>
                <w:sz w:val="24"/>
              </w:rPr>
              <w:t>50,305,000.00</w:t>
            </w:r>
          </w:p>
        </w:tc>
        <w:tc>
          <w:tcPr>
            <w:tcW w:w="1434" w:type="dxa"/>
            <w:vAlign w:val="center"/>
          </w:tcPr>
          <w:p w:rsidR="003A2BFC" w:rsidRDefault="007E6CDB">
            <w:pPr>
              <w:jc w:val="right"/>
            </w:pPr>
            <w:r>
              <w:rPr>
                <w:rFonts w:eastAsiaTheme="minorEastAsia"/>
                <w:color w:val="000000"/>
                <w:sz w:val="24"/>
              </w:rPr>
              <w:t>8.91</w:t>
            </w:r>
          </w:p>
        </w:tc>
      </w:tr>
      <w:tr w:rsidR="003A2BFC">
        <w:trPr>
          <w:jc w:val="center"/>
        </w:trPr>
        <w:tc>
          <w:tcPr>
            <w:tcW w:w="1302" w:type="dxa"/>
            <w:vAlign w:val="center"/>
          </w:tcPr>
          <w:p w:rsidR="003A2BFC" w:rsidRDefault="007E6CDB">
            <w:pPr>
              <w:jc w:val="center"/>
            </w:pPr>
            <w:r>
              <w:rPr>
                <w:rFonts w:eastAsiaTheme="minorEastAsia"/>
                <w:color w:val="000000"/>
                <w:sz w:val="24"/>
              </w:rPr>
              <w:t>3</w:t>
            </w:r>
          </w:p>
        </w:tc>
        <w:tc>
          <w:tcPr>
            <w:tcW w:w="1362" w:type="dxa"/>
            <w:vAlign w:val="center"/>
          </w:tcPr>
          <w:p w:rsidR="003A2BFC" w:rsidRDefault="007E6CDB">
            <w:pPr>
              <w:jc w:val="center"/>
            </w:pPr>
            <w:r>
              <w:rPr>
                <w:rFonts w:eastAsiaTheme="minorEastAsia"/>
                <w:color w:val="000000"/>
                <w:sz w:val="24"/>
              </w:rPr>
              <w:t>122323</w:t>
            </w:r>
          </w:p>
        </w:tc>
        <w:tc>
          <w:tcPr>
            <w:tcW w:w="1652" w:type="dxa"/>
            <w:vAlign w:val="center"/>
          </w:tcPr>
          <w:p w:rsidR="003A2BFC" w:rsidRDefault="007E6CDB">
            <w:pPr>
              <w:jc w:val="center"/>
            </w:pPr>
            <w:r>
              <w:rPr>
                <w:rFonts w:eastAsiaTheme="minorEastAsia"/>
                <w:color w:val="000000"/>
                <w:sz w:val="24"/>
              </w:rPr>
              <w:t>14</w:t>
            </w:r>
            <w:r>
              <w:rPr>
                <w:rFonts w:eastAsiaTheme="minorEastAsia"/>
                <w:color w:val="000000"/>
                <w:sz w:val="24"/>
              </w:rPr>
              <w:t>凤凰债</w:t>
            </w:r>
          </w:p>
        </w:tc>
        <w:tc>
          <w:tcPr>
            <w:tcW w:w="1417" w:type="dxa"/>
            <w:vAlign w:val="center"/>
          </w:tcPr>
          <w:p w:rsidR="003A2BFC" w:rsidRDefault="007E6CDB">
            <w:pPr>
              <w:jc w:val="right"/>
            </w:pPr>
            <w:r>
              <w:rPr>
                <w:rFonts w:eastAsiaTheme="minorEastAsia"/>
                <w:color w:val="000000"/>
                <w:sz w:val="24"/>
              </w:rPr>
              <w:t>450,000</w:t>
            </w:r>
          </w:p>
        </w:tc>
        <w:tc>
          <w:tcPr>
            <w:tcW w:w="1701" w:type="dxa"/>
            <w:vAlign w:val="center"/>
          </w:tcPr>
          <w:p w:rsidR="003A2BFC" w:rsidRDefault="007E6CDB">
            <w:pPr>
              <w:jc w:val="right"/>
            </w:pPr>
            <w:r>
              <w:rPr>
                <w:rFonts w:eastAsiaTheme="minorEastAsia"/>
                <w:color w:val="000000"/>
                <w:sz w:val="24"/>
              </w:rPr>
              <w:t>47,632,500.00</w:t>
            </w:r>
          </w:p>
        </w:tc>
        <w:tc>
          <w:tcPr>
            <w:tcW w:w="1434" w:type="dxa"/>
            <w:vAlign w:val="center"/>
          </w:tcPr>
          <w:p w:rsidR="003A2BFC" w:rsidRDefault="007E6CDB">
            <w:pPr>
              <w:jc w:val="right"/>
            </w:pPr>
            <w:r>
              <w:rPr>
                <w:rFonts w:eastAsiaTheme="minorEastAsia"/>
                <w:color w:val="000000"/>
                <w:sz w:val="24"/>
              </w:rPr>
              <w:t>8.44</w:t>
            </w:r>
          </w:p>
        </w:tc>
      </w:tr>
      <w:tr w:rsidR="003A2BFC">
        <w:trPr>
          <w:jc w:val="center"/>
        </w:trPr>
        <w:tc>
          <w:tcPr>
            <w:tcW w:w="1302" w:type="dxa"/>
            <w:vAlign w:val="center"/>
          </w:tcPr>
          <w:p w:rsidR="003A2BFC" w:rsidRDefault="007E6CDB">
            <w:pPr>
              <w:jc w:val="center"/>
            </w:pPr>
            <w:r>
              <w:rPr>
                <w:rFonts w:eastAsiaTheme="minorEastAsia"/>
                <w:color w:val="000000"/>
                <w:sz w:val="24"/>
              </w:rPr>
              <w:t>4</w:t>
            </w:r>
          </w:p>
        </w:tc>
        <w:tc>
          <w:tcPr>
            <w:tcW w:w="1362" w:type="dxa"/>
            <w:vAlign w:val="center"/>
          </w:tcPr>
          <w:p w:rsidR="003A2BFC" w:rsidRDefault="007E6CDB">
            <w:pPr>
              <w:jc w:val="center"/>
            </w:pPr>
            <w:r>
              <w:rPr>
                <w:rFonts w:eastAsiaTheme="minorEastAsia"/>
                <w:color w:val="000000"/>
                <w:sz w:val="24"/>
              </w:rPr>
              <w:t>122828</w:t>
            </w:r>
          </w:p>
        </w:tc>
        <w:tc>
          <w:tcPr>
            <w:tcW w:w="1652" w:type="dxa"/>
            <w:vAlign w:val="center"/>
          </w:tcPr>
          <w:p w:rsidR="003A2BFC" w:rsidRDefault="007E6CDB">
            <w:pPr>
              <w:jc w:val="center"/>
            </w:pPr>
            <w:r>
              <w:rPr>
                <w:rFonts w:eastAsiaTheme="minorEastAsia"/>
                <w:color w:val="000000"/>
                <w:sz w:val="24"/>
              </w:rPr>
              <w:t>11</w:t>
            </w:r>
            <w:r>
              <w:rPr>
                <w:rFonts w:eastAsiaTheme="minorEastAsia"/>
                <w:color w:val="000000"/>
                <w:sz w:val="24"/>
              </w:rPr>
              <w:t>抚州债</w:t>
            </w:r>
          </w:p>
        </w:tc>
        <w:tc>
          <w:tcPr>
            <w:tcW w:w="1417" w:type="dxa"/>
            <w:vAlign w:val="center"/>
          </w:tcPr>
          <w:p w:rsidR="003A2BFC" w:rsidRDefault="007E6CDB">
            <w:pPr>
              <w:jc w:val="right"/>
            </w:pPr>
            <w:r>
              <w:rPr>
                <w:rFonts w:eastAsiaTheme="minorEastAsia"/>
                <w:color w:val="000000"/>
                <w:sz w:val="24"/>
              </w:rPr>
              <w:t>450,000</w:t>
            </w:r>
          </w:p>
        </w:tc>
        <w:tc>
          <w:tcPr>
            <w:tcW w:w="1701" w:type="dxa"/>
            <w:vAlign w:val="center"/>
          </w:tcPr>
          <w:p w:rsidR="003A2BFC" w:rsidRDefault="007E6CDB">
            <w:pPr>
              <w:jc w:val="right"/>
            </w:pPr>
            <w:r>
              <w:rPr>
                <w:rFonts w:eastAsiaTheme="minorEastAsia"/>
                <w:color w:val="000000"/>
                <w:sz w:val="24"/>
              </w:rPr>
              <w:t>46,566,000.00</w:t>
            </w:r>
          </w:p>
        </w:tc>
        <w:tc>
          <w:tcPr>
            <w:tcW w:w="1434" w:type="dxa"/>
            <w:vAlign w:val="center"/>
          </w:tcPr>
          <w:p w:rsidR="003A2BFC" w:rsidRDefault="007E6CDB">
            <w:pPr>
              <w:jc w:val="right"/>
            </w:pPr>
            <w:r>
              <w:rPr>
                <w:rFonts w:eastAsiaTheme="minorEastAsia"/>
                <w:color w:val="000000"/>
                <w:sz w:val="24"/>
              </w:rPr>
              <w:t>8.25</w:t>
            </w:r>
          </w:p>
        </w:tc>
      </w:tr>
      <w:tr w:rsidR="003A2BFC">
        <w:trPr>
          <w:jc w:val="center"/>
        </w:trPr>
        <w:tc>
          <w:tcPr>
            <w:tcW w:w="1302" w:type="dxa"/>
            <w:vAlign w:val="center"/>
          </w:tcPr>
          <w:p w:rsidR="003A2BFC" w:rsidRDefault="007E6CDB">
            <w:pPr>
              <w:jc w:val="center"/>
            </w:pPr>
            <w:r>
              <w:rPr>
                <w:rFonts w:eastAsiaTheme="minorEastAsia"/>
                <w:color w:val="000000"/>
                <w:sz w:val="24"/>
              </w:rPr>
              <w:t>5</w:t>
            </w:r>
          </w:p>
        </w:tc>
        <w:tc>
          <w:tcPr>
            <w:tcW w:w="1362" w:type="dxa"/>
            <w:vAlign w:val="center"/>
          </w:tcPr>
          <w:p w:rsidR="003A2BFC" w:rsidRDefault="007E6CDB">
            <w:pPr>
              <w:jc w:val="center"/>
            </w:pPr>
            <w:r>
              <w:rPr>
                <w:rFonts w:eastAsiaTheme="minorEastAsia"/>
                <w:color w:val="000000"/>
                <w:sz w:val="24"/>
              </w:rPr>
              <w:t>124277</w:t>
            </w:r>
          </w:p>
        </w:tc>
        <w:tc>
          <w:tcPr>
            <w:tcW w:w="1652" w:type="dxa"/>
            <w:vAlign w:val="center"/>
          </w:tcPr>
          <w:p w:rsidR="003A2BFC" w:rsidRDefault="007E6CDB">
            <w:pPr>
              <w:jc w:val="center"/>
            </w:pPr>
            <w:r>
              <w:rPr>
                <w:rFonts w:eastAsiaTheme="minorEastAsia"/>
                <w:color w:val="000000"/>
                <w:sz w:val="24"/>
              </w:rPr>
              <w:t>13</w:t>
            </w:r>
            <w:r>
              <w:rPr>
                <w:rFonts w:eastAsiaTheme="minorEastAsia"/>
                <w:color w:val="000000"/>
                <w:sz w:val="24"/>
              </w:rPr>
              <w:t>大丰港</w:t>
            </w:r>
          </w:p>
        </w:tc>
        <w:tc>
          <w:tcPr>
            <w:tcW w:w="1417" w:type="dxa"/>
            <w:vAlign w:val="center"/>
          </w:tcPr>
          <w:p w:rsidR="003A2BFC" w:rsidRDefault="007E6CDB">
            <w:pPr>
              <w:jc w:val="right"/>
            </w:pPr>
            <w:r>
              <w:rPr>
                <w:rFonts w:eastAsiaTheme="minorEastAsia"/>
                <w:color w:val="000000"/>
                <w:sz w:val="24"/>
              </w:rPr>
              <w:t>402,010</w:t>
            </w:r>
          </w:p>
        </w:tc>
        <w:tc>
          <w:tcPr>
            <w:tcW w:w="1701" w:type="dxa"/>
            <w:vAlign w:val="center"/>
          </w:tcPr>
          <w:p w:rsidR="003A2BFC" w:rsidRDefault="007E6CDB">
            <w:pPr>
              <w:jc w:val="right"/>
            </w:pPr>
            <w:r>
              <w:rPr>
                <w:rFonts w:eastAsiaTheme="minorEastAsia"/>
                <w:color w:val="000000"/>
                <w:sz w:val="24"/>
              </w:rPr>
              <w:t>43,642,205.60</w:t>
            </w:r>
          </w:p>
        </w:tc>
        <w:tc>
          <w:tcPr>
            <w:tcW w:w="1434" w:type="dxa"/>
            <w:vAlign w:val="center"/>
          </w:tcPr>
          <w:p w:rsidR="003A2BFC" w:rsidRDefault="007E6CDB">
            <w:pPr>
              <w:jc w:val="right"/>
            </w:pPr>
            <w:r>
              <w:rPr>
                <w:rFonts w:eastAsiaTheme="minorEastAsia"/>
                <w:color w:val="000000"/>
                <w:sz w:val="24"/>
              </w:rPr>
              <w:t>7.73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本基金本报告期末未持有资产支持证券。</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报告期内本基金投资的前十名证券的发行主体除</w:t>
      </w:r>
      <w:r w:rsidR="009215BE" w:rsidRPr="00405493">
        <w:rPr>
          <w:rFonts w:eastAsiaTheme="minorEastAsia"/>
          <w:color w:val="000000"/>
          <w:sz w:val="24"/>
        </w:rPr>
        <w:t>14</w:t>
      </w:r>
      <w:r w:rsidR="009215BE" w:rsidRPr="00405493">
        <w:rPr>
          <w:rFonts w:eastAsiaTheme="minorEastAsia"/>
          <w:color w:val="000000"/>
          <w:sz w:val="24"/>
        </w:rPr>
        <w:t>山证</w:t>
      </w:r>
      <w:r w:rsidR="009215BE" w:rsidRPr="00405493">
        <w:rPr>
          <w:rFonts w:eastAsiaTheme="minorEastAsia"/>
          <w:color w:val="000000"/>
          <w:sz w:val="24"/>
        </w:rPr>
        <w:t>01</w:t>
      </w:r>
      <w:r w:rsidR="009215BE" w:rsidRPr="00405493">
        <w:rPr>
          <w:rFonts w:eastAsiaTheme="minorEastAsia"/>
          <w:color w:val="000000"/>
          <w:sz w:val="24"/>
        </w:rPr>
        <w:t>（证券代码</w:t>
      </w:r>
      <w:r w:rsidR="009215BE" w:rsidRPr="00405493">
        <w:rPr>
          <w:rFonts w:eastAsiaTheme="minorEastAsia"/>
          <w:color w:val="000000"/>
          <w:sz w:val="24"/>
        </w:rPr>
        <w:t>:112218</w:t>
      </w:r>
      <w:r w:rsidR="009215BE" w:rsidRPr="00405493">
        <w:rPr>
          <w:rFonts w:eastAsiaTheme="minorEastAsia"/>
          <w:color w:val="000000"/>
          <w:sz w:val="24"/>
        </w:rPr>
        <w:t>）外，未出现被监管部门立案调查，或在报告编制日前一年内受到公开谴责、处罚的情形。</w:t>
      </w:r>
    </w:p>
    <w:p w:rsidR="003A2BFC" w:rsidRDefault="007E6CDB">
      <w:pPr>
        <w:autoSpaceDE w:val="0"/>
        <w:autoSpaceDN w:val="0"/>
        <w:adjustRightInd w:val="0"/>
        <w:spacing w:before="29" w:line="288" w:lineRule="auto"/>
        <w:rPr>
          <w:rFonts w:eastAsiaTheme="minorEastAsia"/>
          <w:color w:val="000000"/>
          <w:sz w:val="24"/>
        </w:rPr>
      </w:pPr>
      <w:r>
        <w:rPr>
          <w:rFonts w:eastAsiaTheme="minorEastAsia"/>
          <w:color w:val="000000"/>
          <w:sz w:val="24"/>
        </w:rPr>
        <w:t>报告期内本基金投资的前十名证券之一</w:t>
      </w:r>
      <w:r>
        <w:rPr>
          <w:rFonts w:eastAsiaTheme="minorEastAsia"/>
          <w:color w:val="000000"/>
          <w:sz w:val="24"/>
        </w:rPr>
        <w:t>14</w:t>
      </w:r>
      <w:r>
        <w:rPr>
          <w:rFonts w:eastAsiaTheme="minorEastAsia"/>
          <w:color w:val="000000"/>
          <w:sz w:val="24"/>
        </w:rPr>
        <w:t>山证</w:t>
      </w:r>
      <w:r>
        <w:rPr>
          <w:rFonts w:eastAsiaTheme="minorEastAsia"/>
          <w:color w:val="000000"/>
          <w:sz w:val="24"/>
        </w:rPr>
        <w:t>01</w:t>
      </w:r>
      <w:r>
        <w:rPr>
          <w:rFonts w:eastAsiaTheme="minorEastAsia"/>
          <w:color w:val="000000"/>
          <w:sz w:val="24"/>
        </w:rPr>
        <w:t>（证券代码</w:t>
      </w:r>
      <w:r>
        <w:rPr>
          <w:rFonts w:eastAsiaTheme="minorEastAsia"/>
          <w:color w:val="000000"/>
          <w:sz w:val="24"/>
        </w:rPr>
        <w:t>:112218</w:t>
      </w:r>
      <w:r>
        <w:rPr>
          <w:rFonts w:eastAsiaTheme="minorEastAsia"/>
          <w:color w:val="000000"/>
          <w:sz w:val="24"/>
        </w:rPr>
        <w:t>）的发行主体山西证券于</w:t>
      </w:r>
      <w:r>
        <w:rPr>
          <w:rFonts w:eastAsiaTheme="minorEastAsia"/>
          <w:color w:val="000000"/>
          <w:sz w:val="24"/>
        </w:rPr>
        <w:t>2016</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11</w:t>
      </w:r>
      <w:r>
        <w:rPr>
          <w:rFonts w:eastAsiaTheme="minorEastAsia"/>
          <w:color w:val="000000"/>
          <w:sz w:val="24"/>
        </w:rPr>
        <w:t>日公告，</w:t>
      </w:r>
      <w:r>
        <w:rPr>
          <w:rFonts w:eastAsiaTheme="minorEastAsia"/>
          <w:color w:val="000000"/>
          <w:sz w:val="24"/>
        </w:rPr>
        <w:t>2016</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10</w:t>
      </w:r>
      <w:r>
        <w:rPr>
          <w:rFonts w:eastAsiaTheme="minorEastAsia"/>
          <w:color w:val="000000"/>
          <w:sz w:val="24"/>
        </w:rPr>
        <w:t>日公司控股子公司中德证券收到中国证监会《调查通知书》（稽查总队调查通字</w:t>
      </w:r>
      <w:r>
        <w:rPr>
          <w:rFonts w:eastAsiaTheme="minorEastAsia"/>
          <w:color w:val="000000"/>
          <w:sz w:val="24"/>
        </w:rPr>
        <w:t>161467</w:t>
      </w:r>
      <w:r>
        <w:rPr>
          <w:rFonts w:eastAsiaTheme="minorEastAsia"/>
          <w:color w:val="000000"/>
          <w:sz w:val="24"/>
        </w:rPr>
        <w:t>号），因中德证券作为西藏紫光卓远股权投资有限公司的财务顾问涉嫌未勤勉尽责，根据《中华人民共和国证券法》的有关规定，中国证监会决定对中德证券立案调查；公司于</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27</w:t>
      </w:r>
      <w:r>
        <w:rPr>
          <w:rFonts w:eastAsiaTheme="minorEastAsia"/>
          <w:color w:val="000000"/>
          <w:sz w:val="24"/>
        </w:rPr>
        <w:t>日公告，</w:t>
      </w:r>
      <w:r>
        <w:rPr>
          <w:rFonts w:eastAsiaTheme="minorEastAsia"/>
          <w:color w:val="000000"/>
          <w:sz w:val="24"/>
        </w:rPr>
        <w:t>2016</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26</w:t>
      </w:r>
      <w:r>
        <w:rPr>
          <w:rFonts w:eastAsiaTheme="minorEastAsia"/>
          <w:color w:val="000000"/>
          <w:sz w:val="24"/>
        </w:rPr>
        <w:t>日公司控股子公司中德证券收到中国证监会《行政处罚决定书》（</w:t>
      </w:r>
      <w:r>
        <w:rPr>
          <w:rFonts w:eastAsiaTheme="minorEastAsia"/>
          <w:color w:val="000000"/>
          <w:sz w:val="24"/>
        </w:rPr>
        <w:t>[2016]112</w:t>
      </w:r>
      <w:r>
        <w:rPr>
          <w:rFonts w:eastAsiaTheme="minorEastAsia"/>
          <w:color w:val="000000"/>
          <w:sz w:val="24"/>
        </w:rPr>
        <w:t>号），因在西藏紫光卓远股权投资有限公司财务顾问项目中，中德证券违反了《中华人民共和国证券法》和《上市公司收购管理办法》的有关规定，中国证监会决定责令中德证券改正，没收业务收入</w:t>
      </w:r>
      <w:r>
        <w:rPr>
          <w:rFonts w:eastAsiaTheme="minorEastAsia"/>
          <w:color w:val="000000"/>
          <w:sz w:val="24"/>
        </w:rPr>
        <w:t>300</w:t>
      </w:r>
      <w:r>
        <w:rPr>
          <w:rFonts w:eastAsiaTheme="minorEastAsia"/>
          <w:color w:val="000000"/>
          <w:sz w:val="24"/>
        </w:rPr>
        <w:t>万元，并处以</w:t>
      </w:r>
      <w:r>
        <w:rPr>
          <w:rFonts w:eastAsiaTheme="minorEastAsia"/>
          <w:color w:val="000000"/>
          <w:sz w:val="24"/>
        </w:rPr>
        <w:t>300</w:t>
      </w:r>
      <w:r>
        <w:rPr>
          <w:rFonts w:eastAsiaTheme="minorEastAsia"/>
          <w:color w:val="000000"/>
          <w:sz w:val="24"/>
        </w:rPr>
        <w:t>万元罚款。收到处罚决定书后，中德证券已将全部罚没款共计</w:t>
      </w:r>
      <w:r>
        <w:rPr>
          <w:rFonts w:eastAsiaTheme="minorEastAsia"/>
          <w:color w:val="000000"/>
          <w:sz w:val="24"/>
        </w:rPr>
        <w:t>600</w:t>
      </w:r>
      <w:r>
        <w:rPr>
          <w:rFonts w:eastAsiaTheme="minorEastAsia"/>
          <w:color w:val="000000"/>
          <w:sz w:val="24"/>
        </w:rPr>
        <w:t>万汇交至中国证监会指定账户。</w:t>
      </w:r>
    </w:p>
    <w:p w:rsidR="003A2BFC" w:rsidRDefault="007E6CDB">
      <w:pPr>
        <w:autoSpaceDE w:val="0"/>
        <w:autoSpaceDN w:val="0"/>
        <w:adjustRightInd w:val="0"/>
        <w:spacing w:before="29" w:line="288" w:lineRule="auto"/>
        <w:rPr>
          <w:rFonts w:eastAsiaTheme="minorEastAsia"/>
          <w:color w:val="000000"/>
          <w:sz w:val="24"/>
        </w:rPr>
      </w:pPr>
      <w:r>
        <w:rPr>
          <w:rFonts w:eastAsiaTheme="minorEastAsia"/>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11,368.08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15,541,571.37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15,552,939.45</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982DE1" w:rsidRPr="00982DE1" w:rsidRDefault="00982DE1"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、关于申请募集注册交银施罗德丰盈收益债券型证券投资基金的法律意见书；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、报告期内交银施罗德丰盈收益债券型证券投资基金在指定报刊上各项公告的原稿。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3A2BFC" w:rsidRDefault="007E6CD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79" w:rsidRDefault="00DA7279">
      <w:r>
        <w:separator/>
      </w:r>
    </w:p>
  </w:endnote>
  <w:endnote w:type="continuationSeparator" w:id="0">
    <w:p w:rsidR="00DA7279" w:rsidRDefault="00DA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FA4A2A">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FA4A2A">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79" w:rsidRDefault="00DA7279">
      <w:r>
        <w:separator/>
      </w:r>
    </w:p>
  </w:footnote>
  <w:footnote w:type="continuationSeparator" w:id="0">
    <w:p w:rsidR="00DA7279" w:rsidRDefault="00DA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4AA1"/>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0F36"/>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CAA"/>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376"/>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2BFC"/>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E6CDB"/>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DE1"/>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A7279"/>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2E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2A"/>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1024</Words>
  <Characters>5843</Characters>
  <Application>Microsoft Office Word</Application>
  <DocSecurity>0</DocSecurity>
  <Lines>48</Lines>
  <Paragraphs>13</Paragraphs>
  <ScaleCrop>false</ScaleCrop>
  <Company>TRT. Ltd. Co.</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399</cp:revision>
  <cp:lastPrinted>2007-07-19T00:46:00Z</cp:lastPrinted>
  <dcterms:created xsi:type="dcterms:W3CDTF">2014-01-20T05:40:00Z</dcterms:created>
  <dcterms:modified xsi:type="dcterms:W3CDTF">2016-10-21T08:15:00Z</dcterms:modified>
</cp:coreProperties>
</file>