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二〇一六年十月二十五日</w:t>
      </w:r>
    </w:p>
    <w:p w:rsidR="00902E3F" w:rsidRPr="000E4C40" w:rsidRDefault="00902E3F" w:rsidP="0060254D">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8F258E" w:rsidRDefault="004F222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F258E" w:rsidRDefault="004F2224">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F258E" w:rsidRDefault="004F222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F258E" w:rsidRDefault="004F222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F258E" w:rsidRDefault="004F2224">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60254D">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376,748,662.37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125,791,374.16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250,957,288.21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60254D">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40,867.21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965,407.33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40,867.21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965,407.33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125,791,374.16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250,957,288.21</w:t>
            </w:r>
          </w:p>
        </w:tc>
      </w:tr>
    </w:tbl>
    <w:p w:rsidR="008F258E" w:rsidRDefault="004F222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45F8F" w:rsidRPr="000E4C40" w:rsidRDefault="00845F8F" w:rsidP="00845F8F">
      <w:pPr>
        <w:autoSpaceDE w:val="0"/>
        <w:autoSpaceDN w:val="0"/>
        <w:adjustRightInd w:val="0"/>
        <w:spacing w:before="29" w:line="288" w:lineRule="auto"/>
        <w:ind w:firstLineChars="200" w:firstLine="480"/>
        <w:jc w:val="left"/>
        <w:rPr>
          <w:color w:val="000000"/>
          <w:sz w:val="24"/>
        </w:rPr>
      </w:pPr>
      <w:r w:rsidRPr="007F52FA">
        <w:rPr>
          <w:rFonts w:eastAsiaTheme="minorEastAsia"/>
          <w:color w:val="000000"/>
          <w:sz w:val="24"/>
        </w:rPr>
        <w:t>3</w:t>
      </w:r>
      <w:r w:rsidRPr="007F52FA">
        <w:rPr>
          <w:rFonts w:eastAsiaTheme="minorEastAsia"/>
          <w:color w:val="000000"/>
          <w:sz w:val="24"/>
        </w:rPr>
        <w:t>、本基金合同生效日为</w:t>
      </w:r>
      <w:r w:rsidRPr="007F52FA">
        <w:rPr>
          <w:rFonts w:eastAsiaTheme="minorEastAsia"/>
          <w:color w:val="000000"/>
          <w:sz w:val="24"/>
        </w:rPr>
        <w:t>2016</w:t>
      </w:r>
      <w:r w:rsidRPr="007F52FA">
        <w:rPr>
          <w:rFonts w:eastAsiaTheme="minorEastAsia"/>
          <w:color w:val="000000"/>
          <w:sz w:val="24"/>
        </w:rPr>
        <w:t>年</w:t>
      </w:r>
      <w:r>
        <w:rPr>
          <w:rFonts w:eastAsiaTheme="minorEastAsia" w:hint="eastAsia"/>
          <w:color w:val="000000"/>
          <w:sz w:val="24"/>
        </w:rPr>
        <w:t>7</w:t>
      </w:r>
      <w:r w:rsidRPr="007F52FA">
        <w:rPr>
          <w:rFonts w:eastAsiaTheme="minorEastAsia"/>
          <w:color w:val="000000"/>
          <w:sz w:val="24"/>
        </w:rPr>
        <w:t>月</w:t>
      </w:r>
      <w:r w:rsidRPr="007F52FA">
        <w:rPr>
          <w:rFonts w:eastAsiaTheme="minorEastAsia"/>
          <w:color w:val="000000"/>
          <w:sz w:val="24"/>
        </w:rPr>
        <w:t>2</w:t>
      </w:r>
      <w:r>
        <w:rPr>
          <w:rFonts w:eastAsiaTheme="minorEastAsia" w:hint="eastAsia"/>
          <w:color w:val="000000"/>
          <w:sz w:val="24"/>
        </w:rPr>
        <w:t>7</w:t>
      </w:r>
      <w:r w:rsidRPr="007F52FA">
        <w:rPr>
          <w:rFonts w:eastAsiaTheme="minorEastAsia"/>
          <w:color w:val="000000"/>
          <w:sz w:val="24"/>
        </w:rPr>
        <w:t>日，基金合同生效日至本报告期期末，本基金运作时间未满三个月。</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8F258E">
        <w:trPr>
          <w:jc w:val="center"/>
        </w:trPr>
        <w:tc>
          <w:tcPr>
            <w:tcW w:w="1266" w:type="dxa"/>
            <w:vAlign w:val="center"/>
          </w:tcPr>
          <w:p w:rsidR="008F258E" w:rsidRDefault="004F2224">
            <w:pPr>
              <w:jc w:val="left"/>
            </w:pPr>
            <w:r>
              <w:rPr>
                <w:color w:val="000000"/>
              </w:rPr>
              <w:lastRenderedPageBreak/>
              <w:t>自基金成立起至今</w:t>
            </w:r>
          </w:p>
        </w:tc>
        <w:tc>
          <w:tcPr>
            <w:tcW w:w="1267" w:type="dxa"/>
            <w:vAlign w:val="center"/>
          </w:tcPr>
          <w:p w:rsidR="008F258E" w:rsidRDefault="004F2224">
            <w:pPr>
              <w:jc w:val="center"/>
            </w:pPr>
            <w:r>
              <w:rPr>
                <w:color w:val="000000"/>
              </w:rPr>
              <w:t>0.3965%</w:t>
            </w:r>
          </w:p>
        </w:tc>
        <w:tc>
          <w:tcPr>
            <w:tcW w:w="1267" w:type="dxa"/>
            <w:vAlign w:val="center"/>
          </w:tcPr>
          <w:p w:rsidR="008F258E" w:rsidRDefault="004F2224">
            <w:pPr>
              <w:jc w:val="center"/>
            </w:pPr>
            <w:r>
              <w:rPr>
                <w:color w:val="000000"/>
              </w:rPr>
              <w:t>0.0011%</w:t>
            </w:r>
          </w:p>
        </w:tc>
        <w:tc>
          <w:tcPr>
            <w:tcW w:w="1267" w:type="dxa"/>
            <w:vAlign w:val="center"/>
          </w:tcPr>
          <w:p w:rsidR="008F258E" w:rsidRDefault="004F2224">
            <w:pPr>
              <w:jc w:val="center"/>
            </w:pPr>
            <w:r>
              <w:rPr>
                <w:color w:val="000000"/>
              </w:rPr>
              <w:t>0.0633%</w:t>
            </w:r>
          </w:p>
        </w:tc>
        <w:tc>
          <w:tcPr>
            <w:tcW w:w="1267" w:type="dxa"/>
            <w:vAlign w:val="center"/>
          </w:tcPr>
          <w:p w:rsidR="008F258E" w:rsidRDefault="004F2224">
            <w:pPr>
              <w:jc w:val="center"/>
            </w:pPr>
            <w:r>
              <w:rPr>
                <w:color w:val="000000"/>
              </w:rPr>
              <w:t>0.0000%</w:t>
            </w:r>
          </w:p>
        </w:tc>
        <w:tc>
          <w:tcPr>
            <w:tcW w:w="1267" w:type="dxa"/>
            <w:vAlign w:val="center"/>
          </w:tcPr>
          <w:p w:rsidR="008F258E" w:rsidRDefault="004F2224">
            <w:pPr>
              <w:jc w:val="center"/>
            </w:pPr>
            <w:r>
              <w:rPr>
                <w:color w:val="000000"/>
              </w:rPr>
              <w:t>0.3332%</w:t>
            </w:r>
          </w:p>
        </w:tc>
        <w:tc>
          <w:tcPr>
            <w:tcW w:w="1267" w:type="dxa"/>
            <w:vAlign w:val="center"/>
          </w:tcPr>
          <w:p w:rsidR="008F258E" w:rsidRDefault="004F2224">
            <w:pPr>
              <w:jc w:val="center"/>
            </w:pPr>
            <w:r>
              <w:rPr>
                <w:color w:val="000000"/>
              </w:rPr>
              <w:t>0.0011%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8F258E">
        <w:trPr>
          <w:jc w:val="center"/>
        </w:trPr>
        <w:tc>
          <w:tcPr>
            <w:tcW w:w="1266" w:type="dxa"/>
            <w:vAlign w:val="center"/>
          </w:tcPr>
          <w:p w:rsidR="008F258E" w:rsidRDefault="004F2224">
            <w:pPr>
              <w:jc w:val="left"/>
            </w:pPr>
            <w:r>
              <w:rPr>
                <w:color w:val="000000"/>
              </w:rPr>
              <w:t>自基金成立起至今</w:t>
            </w:r>
          </w:p>
        </w:tc>
        <w:tc>
          <w:tcPr>
            <w:tcW w:w="1267" w:type="dxa"/>
            <w:vAlign w:val="center"/>
          </w:tcPr>
          <w:p w:rsidR="008F258E" w:rsidRDefault="004F2224">
            <w:pPr>
              <w:jc w:val="center"/>
            </w:pPr>
            <w:r>
              <w:rPr>
                <w:color w:val="000000"/>
              </w:rPr>
              <w:t>0.4357%</w:t>
            </w:r>
          </w:p>
        </w:tc>
        <w:tc>
          <w:tcPr>
            <w:tcW w:w="1267" w:type="dxa"/>
            <w:vAlign w:val="center"/>
          </w:tcPr>
          <w:p w:rsidR="008F258E" w:rsidRDefault="004F2224">
            <w:pPr>
              <w:jc w:val="center"/>
            </w:pPr>
            <w:r>
              <w:rPr>
                <w:color w:val="000000"/>
              </w:rPr>
              <w:t>0.0011%</w:t>
            </w:r>
          </w:p>
        </w:tc>
        <w:tc>
          <w:tcPr>
            <w:tcW w:w="1267" w:type="dxa"/>
            <w:vAlign w:val="center"/>
          </w:tcPr>
          <w:p w:rsidR="008F258E" w:rsidRDefault="004F2224">
            <w:pPr>
              <w:jc w:val="center"/>
            </w:pPr>
            <w:r>
              <w:rPr>
                <w:color w:val="000000"/>
              </w:rPr>
              <w:t>0.0633%</w:t>
            </w:r>
          </w:p>
        </w:tc>
        <w:tc>
          <w:tcPr>
            <w:tcW w:w="1267" w:type="dxa"/>
            <w:vAlign w:val="center"/>
          </w:tcPr>
          <w:p w:rsidR="008F258E" w:rsidRDefault="004F2224">
            <w:pPr>
              <w:jc w:val="center"/>
            </w:pPr>
            <w:r>
              <w:rPr>
                <w:color w:val="000000"/>
              </w:rPr>
              <w:t>0.0000%</w:t>
            </w:r>
          </w:p>
        </w:tc>
        <w:tc>
          <w:tcPr>
            <w:tcW w:w="1267" w:type="dxa"/>
            <w:vAlign w:val="center"/>
          </w:tcPr>
          <w:p w:rsidR="008F258E" w:rsidRDefault="004F2224">
            <w:pPr>
              <w:jc w:val="center"/>
            </w:pPr>
            <w:r>
              <w:rPr>
                <w:color w:val="000000"/>
              </w:rPr>
              <w:t>0.3724%</w:t>
            </w:r>
          </w:p>
        </w:tc>
        <w:tc>
          <w:tcPr>
            <w:tcW w:w="1267" w:type="dxa"/>
            <w:vAlign w:val="center"/>
          </w:tcPr>
          <w:p w:rsidR="008F258E" w:rsidRDefault="004F2224">
            <w:pPr>
              <w:jc w:val="center"/>
            </w:pPr>
            <w:r>
              <w:rPr>
                <w:color w:val="000000"/>
              </w:rPr>
              <w:t>0.0011%</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日，本基金尚处于建仓期。</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日，本基金尚处于建仓期。</w:t>
      </w:r>
    </w:p>
    <w:p w:rsidR="00CA65DD" w:rsidRPr="000E4C40" w:rsidRDefault="00CA65DD" w:rsidP="00281564">
      <w:pPr>
        <w:tabs>
          <w:tab w:val="left" w:pos="1800"/>
        </w:tabs>
        <w:spacing w:before="29" w:line="288" w:lineRule="auto"/>
        <w:rPr>
          <w:color w:val="000000"/>
          <w:sz w:val="24"/>
        </w:rPr>
      </w:pPr>
    </w:p>
    <w:p w:rsidR="00902E3F" w:rsidRPr="000E4C40" w:rsidRDefault="00902E3F" w:rsidP="0060254D">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8F258E">
        <w:trPr>
          <w:jc w:val="center"/>
        </w:trPr>
        <w:tc>
          <w:tcPr>
            <w:tcW w:w="945" w:type="dxa"/>
            <w:vAlign w:val="center"/>
          </w:tcPr>
          <w:p w:rsidR="008F258E" w:rsidRDefault="004F2224">
            <w:pPr>
              <w:jc w:val="center"/>
            </w:pPr>
            <w:r>
              <w:rPr>
                <w:color w:val="000000"/>
                <w:sz w:val="24"/>
              </w:rPr>
              <w:t>连端清</w:t>
            </w:r>
          </w:p>
        </w:tc>
        <w:tc>
          <w:tcPr>
            <w:tcW w:w="1589" w:type="dxa"/>
            <w:vAlign w:val="center"/>
          </w:tcPr>
          <w:p w:rsidR="008F258E" w:rsidRDefault="004F222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天债券、交银丰盈收益债券、交银现金宝货币、交银丰润收益债券、交银活期通货币的基金经理</w:t>
            </w:r>
          </w:p>
        </w:tc>
        <w:tc>
          <w:tcPr>
            <w:tcW w:w="1478" w:type="dxa"/>
            <w:vAlign w:val="center"/>
          </w:tcPr>
          <w:p w:rsidR="008F258E" w:rsidRDefault="004F2224">
            <w:pPr>
              <w:jc w:val="center"/>
            </w:pPr>
            <w:r>
              <w:rPr>
                <w:color w:val="000000"/>
                <w:sz w:val="24"/>
              </w:rPr>
              <w:t>2016-07-27</w:t>
            </w:r>
          </w:p>
        </w:tc>
        <w:tc>
          <w:tcPr>
            <w:tcW w:w="1478" w:type="dxa"/>
            <w:vAlign w:val="center"/>
          </w:tcPr>
          <w:p w:rsidR="008F258E" w:rsidRDefault="004F2224">
            <w:pPr>
              <w:jc w:val="center"/>
            </w:pPr>
            <w:r>
              <w:rPr>
                <w:color w:val="000000"/>
                <w:sz w:val="24"/>
              </w:rPr>
              <w:t>-</w:t>
            </w:r>
          </w:p>
        </w:tc>
        <w:tc>
          <w:tcPr>
            <w:tcW w:w="986" w:type="dxa"/>
            <w:vAlign w:val="center"/>
          </w:tcPr>
          <w:p w:rsidR="008F258E" w:rsidRDefault="004F2224">
            <w:pPr>
              <w:jc w:val="center"/>
            </w:pPr>
            <w:r>
              <w:rPr>
                <w:color w:val="000000"/>
                <w:sz w:val="24"/>
              </w:rPr>
              <w:t>5</w:t>
            </w:r>
            <w:r>
              <w:rPr>
                <w:color w:val="000000"/>
                <w:sz w:val="24"/>
              </w:rPr>
              <w:t>年</w:t>
            </w:r>
          </w:p>
        </w:tc>
        <w:tc>
          <w:tcPr>
            <w:tcW w:w="2392" w:type="dxa"/>
            <w:vAlign w:val="center"/>
          </w:tcPr>
          <w:p w:rsidR="008F258E" w:rsidRDefault="004F222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8F258E">
        <w:trPr>
          <w:jc w:val="center"/>
        </w:trPr>
        <w:tc>
          <w:tcPr>
            <w:tcW w:w="945" w:type="dxa"/>
            <w:vAlign w:val="center"/>
          </w:tcPr>
          <w:p w:rsidR="008F258E" w:rsidRDefault="004F2224">
            <w:pPr>
              <w:jc w:val="center"/>
            </w:pPr>
            <w:r>
              <w:rPr>
                <w:color w:val="000000"/>
                <w:sz w:val="24"/>
              </w:rPr>
              <w:t>黄莹洁</w:t>
            </w:r>
          </w:p>
        </w:tc>
        <w:tc>
          <w:tcPr>
            <w:tcW w:w="1589" w:type="dxa"/>
            <w:vAlign w:val="center"/>
          </w:tcPr>
          <w:p w:rsidR="008F258E" w:rsidRDefault="004F2224">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天债券、交银现金宝货币、交银丰享收益债券、交银丰泽收益债券、交银裕通纯债债券、交银活期通货币的基金经理</w:t>
            </w:r>
          </w:p>
        </w:tc>
        <w:tc>
          <w:tcPr>
            <w:tcW w:w="1478" w:type="dxa"/>
            <w:vAlign w:val="center"/>
          </w:tcPr>
          <w:p w:rsidR="008F258E" w:rsidRDefault="004F2224">
            <w:pPr>
              <w:jc w:val="center"/>
            </w:pPr>
            <w:r>
              <w:rPr>
                <w:color w:val="000000"/>
                <w:sz w:val="24"/>
              </w:rPr>
              <w:t>2016-07-27</w:t>
            </w:r>
          </w:p>
        </w:tc>
        <w:tc>
          <w:tcPr>
            <w:tcW w:w="1478" w:type="dxa"/>
            <w:vAlign w:val="center"/>
          </w:tcPr>
          <w:p w:rsidR="008F258E" w:rsidRDefault="004F2224">
            <w:pPr>
              <w:jc w:val="center"/>
            </w:pPr>
            <w:r>
              <w:rPr>
                <w:color w:val="000000"/>
                <w:sz w:val="24"/>
              </w:rPr>
              <w:t>-</w:t>
            </w:r>
          </w:p>
        </w:tc>
        <w:tc>
          <w:tcPr>
            <w:tcW w:w="986" w:type="dxa"/>
            <w:vAlign w:val="center"/>
          </w:tcPr>
          <w:p w:rsidR="008F258E" w:rsidRDefault="004F2224">
            <w:pPr>
              <w:jc w:val="center"/>
            </w:pPr>
            <w:r>
              <w:rPr>
                <w:color w:val="000000"/>
                <w:sz w:val="24"/>
              </w:rPr>
              <w:t>8</w:t>
            </w:r>
            <w:r>
              <w:rPr>
                <w:color w:val="000000"/>
                <w:sz w:val="24"/>
              </w:rPr>
              <w:t>年</w:t>
            </w:r>
          </w:p>
        </w:tc>
        <w:tc>
          <w:tcPr>
            <w:tcW w:w="2392" w:type="dxa"/>
            <w:vAlign w:val="center"/>
          </w:tcPr>
          <w:p w:rsidR="008F258E" w:rsidRDefault="004F222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8F258E" w:rsidRDefault="004F222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F258E" w:rsidRDefault="004F22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F258E" w:rsidRDefault="004F222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C643F" w:rsidRPr="00FC643F" w:rsidRDefault="00FC643F" w:rsidP="00922742">
      <w:pPr>
        <w:spacing w:before="29" w:line="288" w:lineRule="auto"/>
        <w:ind w:firstLine="720"/>
        <w:rPr>
          <w:color w:val="000000"/>
          <w:sz w:val="24"/>
        </w:rPr>
      </w:pPr>
      <w:r w:rsidRPr="00FC643F">
        <w:rPr>
          <w:rFonts w:hint="eastAsia"/>
          <w:color w:val="000000"/>
          <w:sz w:val="24"/>
        </w:rPr>
        <w:t>2016</w:t>
      </w:r>
      <w:r w:rsidRPr="00FC643F">
        <w:rPr>
          <w:rFonts w:hint="eastAsia"/>
          <w:color w:val="000000"/>
          <w:sz w:val="24"/>
        </w:rPr>
        <w:t>年三季度，国内经济整体上呈现弱势平稳，但一、二线城市房地产价格涨幅惊人。</w:t>
      </w:r>
      <w:r w:rsidRPr="00FC643F">
        <w:rPr>
          <w:rFonts w:hint="eastAsia"/>
          <w:color w:val="000000"/>
          <w:sz w:val="24"/>
        </w:rPr>
        <w:t>PPI</w:t>
      </w:r>
      <w:r w:rsidRPr="00FC643F">
        <w:rPr>
          <w:rFonts w:hint="eastAsia"/>
          <w:color w:val="000000"/>
          <w:sz w:val="24"/>
        </w:rPr>
        <w:t>、工业增加值及制造业</w:t>
      </w:r>
      <w:r w:rsidRPr="00FC643F">
        <w:rPr>
          <w:rFonts w:hint="eastAsia"/>
          <w:color w:val="000000"/>
          <w:sz w:val="24"/>
        </w:rPr>
        <w:t>PMI</w:t>
      </w:r>
      <w:r w:rsidRPr="00FC643F">
        <w:rPr>
          <w:rFonts w:hint="eastAsia"/>
          <w:color w:val="000000"/>
          <w:sz w:val="24"/>
        </w:rPr>
        <w:t>等经济指标稳中向好，</w:t>
      </w:r>
      <w:r w:rsidRPr="00FC643F">
        <w:rPr>
          <w:rFonts w:hint="eastAsia"/>
          <w:color w:val="000000"/>
          <w:sz w:val="24"/>
        </w:rPr>
        <w:t>CPI</w:t>
      </w:r>
      <w:r w:rsidRPr="00FC643F">
        <w:rPr>
          <w:rFonts w:hint="eastAsia"/>
          <w:color w:val="000000"/>
          <w:sz w:val="24"/>
        </w:rPr>
        <w:t>低位运行。</w:t>
      </w:r>
      <w:r w:rsidRPr="00FC643F">
        <w:rPr>
          <w:rFonts w:hint="eastAsia"/>
          <w:color w:val="000000"/>
          <w:sz w:val="24"/>
        </w:rPr>
        <w:t>8</w:t>
      </w:r>
      <w:r w:rsidRPr="00FC643F">
        <w:rPr>
          <w:rFonts w:hint="eastAsia"/>
          <w:color w:val="000000"/>
          <w:sz w:val="24"/>
        </w:rPr>
        <w:t>月份，</w:t>
      </w:r>
      <w:r w:rsidRPr="00FC643F">
        <w:rPr>
          <w:rFonts w:hint="eastAsia"/>
          <w:color w:val="000000"/>
          <w:sz w:val="24"/>
        </w:rPr>
        <w:t>70</w:t>
      </w:r>
      <w:r w:rsidRPr="00FC643F">
        <w:rPr>
          <w:rFonts w:hint="eastAsia"/>
          <w:color w:val="000000"/>
          <w:sz w:val="24"/>
        </w:rPr>
        <w:t>个大中城市新建住宅价格指数同比涨幅为</w:t>
      </w:r>
      <w:r w:rsidRPr="00FC643F">
        <w:rPr>
          <w:rFonts w:hint="eastAsia"/>
          <w:color w:val="000000"/>
          <w:sz w:val="24"/>
        </w:rPr>
        <w:t>7.3%</w:t>
      </w:r>
      <w:r w:rsidRPr="00FC643F">
        <w:rPr>
          <w:rFonts w:hint="eastAsia"/>
          <w:color w:val="000000"/>
          <w:sz w:val="24"/>
        </w:rPr>
        <w:t>，创两年以来的新高。其中，一线城市继续维持</w:t>
      </w:r>
      <w:r w:rsidRPr="00FC643F">
        <w:rPr>
          <w:rFonts w:hint="eastAsia"/>
          <w:color w:val="000000"/>
          <w:sz w:val="24"/>
        </w:rPr>
        <w:t>28%</w:t>
      </w:r>
      <w:r w:rsidRPr="00FC643F">
        <w:rPr>
          <w:rFonts w:hint="eastAsia"/>
          <w:color w:val="000000"/>
          <w:sz w:val="24"/>
        </w:rPr>
        <w:t>以上的涨幅，二线城市涨幅也高达</w:t>
      </w:r>
      <w:r w:rsidRPr="00FC643F">
        <w:rPr>
          <w:rFonts w:hint="eastAsia"/>
          <w:color w:val="000000"/>
          <w:sz w:val="24"/>
        </w:rPr>
        <w:t>13.4%</w:t>
      </w:r>
      <w:r w:rsidRPr="00FC643F">
        <w:rPr>
          <w:rFonts w:hint="eastAsia"/>
          <w:color w:val="000000"/>
          <w:sz w:val="24"/>
        </w:rPr>
        <w:t>。货币政策上，央行通过公开市场操作与定向工具来维持适度宽松的流动性，但宽松的边际有所收窄。三季度公开市场净投放</w:t>
      </w:r>
      <w:r w:rsidRPr="00FC643F">
        <w:rPr>
          <w:rFonts w:hint="eastAsia"/>
          <w:color w:val="000000"/>
          <w:sz w:val="24"/>
        </w:rPr>
        <w:t>4658</w:t>
      </w:r>
      <w:r w:rsidRPr="00FC643F">
        <w:rPr>
          <w:rFonts w:hint="eastAsia"/>
          <w:color w:val="000000"/>
          <w:sz w:val="24"/>
        </w:rPr>
        <w:t>亿，较二季度减少</w:t>
      </w:r>
      <w:r w:rsidRPr="00FC643F">
        <w:rPr>
          <w:rFonts w:hint="eastAsia"/>
          <w:color w:val="000000"/>
          <w:sz w:val="24"/>
        </w:rPr>
        <w:t>2092</w:t>
      </w:r>
      <w:r w:rsidRPr="00FC643F">
        <w:rPr>
          <w:rFonts w:hint="eastAsia"/>
          <w:color w:val="000000"/>
          <w:sz w:val="24"/>
        </w:rPr>
        <w:t>亿。</w:t>
      </w:r>
    </w:p>
    <w:p w:rsidR="00FC643F" w:rsidRPr="00FC643F" w:rsidRDefault="00FC643F" w:rsidP="00922742">
      <w:pPr>
        <w:spacing w:before="29" w:line="288" w:lineRule="auto"/>
        <w:ind w:firstLine="720"/>
        <w:rPr>
          <w:color w:val="000000"/>
          <w:sz w:val="24"/>
        </w:rPr>
      </w:pPr>
      <w:r w:rsidRPr="00FC643F">
        <w:rPr>
          <w:rFonts w:hint="eastAsia"/>
          <w:color w:val="000000"/>
          <w:sz w:val="24"/>
        </w:rPr>
        <w:t>资金面上，三季度央行先后重启</w:t>
      </w:r>
      <w:r w:rsidRPr="00FC643F">
        <w:rPr>
          <w:rFonts w:hint="eastAsia"/>
          <w:color w:val="000000"/>
          <w:sz w:val="24"/>
        </w:rPr>
        <w:t>14</w:t>
      </w:r>
      <w:r w:rsidRPr="00FC643F">
        <w:rPr>
          <w:rFonts w:hint="eastAsia"/>
          <w:color w:val="000000"/>
          <w:sz w:val="24"/>
        </w:rPr>
        <w:t>天与</w:t>
      </w:r>
      <w:r w:rsidRPr="00FC643F">
        <w:rPr>
          <w:rFonts w:hint="eastAsia"/>
          <w:color w:val="000000"/>
          <w:sz w:val="24"/>
        </w:rPr>
        <w:t>28</w:t>
      </w:r>
      <w:r w:rsidRPr="00FC643F">
        <w:rPr>
          <w:rFonts w:hint="eastAsia"/>
          <w:color w:val="000000"/>
          <w:sz w:val="24"/>
        </w:rPr>
        <w:t>天逆回购，控制短端资金投放的意图明显，资金价格中枢显著上行。</w:t>
      </w:r>
      <w:r w:rsidRPr="00FC643F">
        <w:rPr>
          <w:rFonts w:hint="eastAsia"/>
          <w:color w:val="000000"/>
          <w:sz w:val="24"/>
        </w:rPr>
        <w:t>9</w:t>
      </w:r>
      <w:r w:rsidRPr="00FC643F">
        <w:rPr>
          <w:rFonts w:hint="eastAsia"/>
          <w:color w:val="000000"/>
          <w:sz w:val="24"/>
        </w:rPr>
        <w:t>月底银行间市场隔夜回购利率较二季度末上升</w:t>
      </w:r>
      <w:r w:rsidRPr="00FC643F">
        <w:rPr>
          <w:rFonts w:hint="eastAsia"/>
          <w:color w:val="000000"/>
          <w:sz w:val="24"/>
        </w:rPr>
        <w:t>22</w:t>
      </w:r>
      <w:r w:rsidRPr="00FC643F">
        <w:rPr>
          <w:rFonts w:hint="eastAsia"/>
          <w:color w:val="000000"/>
          <w:sz w:val="24"/>
        </w:rPr>
        <w:t>个</w:t>
      </w:r>
      <w:r w:rsidRPr="00FC643F">
        <w:rPr>
          <w:rFonts w:hint="eastAsia"/>
          <w:color w:val="000000"/>
          <w:sz w:val="24"/>
        </w:rPr>
        <w:t>BP</w:t>
      </w:r>
      <w:r w:rsidRPr="00FC643F">
        <w:rPr>
          <w:rFonts w:hint="eastAsia"/>
          <w:color w:val="000000"/>
          <w:sz w:val="24"/>
        </w:rPr>
        <w:t>以上。受英国退欧引发的全球再宽松预期、国内资产配置压力及信用环境相对平静等影响，三季度债市整体上较二季度进一步上涨。</w:t>
      </w:r>
      <w:r w:rsidRPr="00FC643F">
        <w:rPr>
          <w:rFonts w:hint="eastAsia"/>
          <w:color w:val="000000"/>
          <w:sz w:val="24"/>
        </w:rPr>
        <w:t>7</w:t>
      </w:r>
      <w:r w:rsidRPr="00FC643F">
        <w:rPr>
          <w:rFonts w:hint="eastAsia"/>
          <w:color w:val="000000"/>
          <w:sz w:val="24"/>
        </w:rPr>
        <w:t>月初至</w:t>
      </w:r>
      <w:r w:rsidRPr="00FC643F">
        <w:rPr>
          <w:rFonts w:hint="eastAsia"/>
          <w:color w:val="000000"/>
          <w:sz w:val="24"/>
        </w:rPr>
        <w:t>8</w:t>
      </w:r>
      <w:r w:rsidRPr="00FC643F">
        <w:rPr>
          <w:rFonts w:hint="eastAsia"/>
          <w:color w:val="000000"/>
          <w:sz w:val="24"/>
        </w:rPr>
        <w:t>月中旬债市延续上涨走势，之后受宏观数据好于预期及央行收窄资金面的宽松边际等影响，债市有所回调。</w:t>
      </w:r>
      <w:r w:rsidRPr="00FC643F">
        <w:rPr>
          <w:rFonts w:hint="eastAsia"/>
          <w:color w:val="000000"/>
          <w:sz w:val="24"/>
        </w:rPr>
        <w:t>9</w:t>
      </w:r>
      <w:r w:rsidRPr="00FC643F">
        <w:rPr>
          <w:rFonts w:hint="eastAsia"/>
          <w:color w:val="000000"/>
          <w:sz w:val="24"/>
        </w:rPr>
        <w:t>月底，</w:t>
      </w:r>
      <w:r w:rsidRPr="00FC643F">
        <w:rPr>
          <w:rFonts w:hint="eastAsia"/>
          <w:color w:val="000000"/>
          <w:sz w:val="24"/>
        </w:rPr>
        <w:t>1</w:t>
      </w:r>
      <w:r w:rsidRPr="00FC643F">
        <w:rPr>
          <w:rFonts w:hint="eastAsia"/>
          <w:color w:val="000000"/>
          <w:sz w:val="24"/>
        </w:rPr>
        <w:t>年期与</w:t>
      </w:r>
      <w:r w:rsidRPr="00FC643F">
        <w:rPr>
          <w:rFonts w:hint="eastAsia"/>
          <w:color w:val="000000"/>
          <w:sz w:val="24"/>
        </w:rPr>
        <w:t>3</w:t>
      </w:r>
      <w:r w:rsidRPr="00FC643F">
        <w:rPr>
          <w:rFonts w:hint="eastAsia"/>
          <w:color w:val="000000"/>
          <w:sz w:val="24"/>
        </w:rPr>
        <w:t>年期</w:t>
      </w:r>
      <w:r w:rsidRPr="00FC643F">
        <w:rPr>
          <w:rFonts w:hint="eastAsia"/>
          <w:color w:val="000000"/>
          <w:sz w:val="24"/>
        </w:rPr>
        <w:t>AAA</w:t>
      </w:r>
      <w:r w:rsidRPr="00FC643F">
        <w:rPr>
          <w:rFonts w:hint="eastAsia"/>
          <w:color w:val="000000"/>
          <w:sz w:val="24"/>
        </w:rPr>
        <w:t>信用债</w:t>
      </w:r>
      <w:r w:rsidRPr="00FC643F">
        <w:rPr>
          <w:rFonts w:hint="eastAsia"/>
          <w:color w:val="000000"/>
          <w:sz w:val="24"/>
        </w:rPr>
        <w:t>YTM</w:t>
      </w:r>
      <w:r w:rsidRPr="00FC643F">
        <w:rPr>
          <w:rFonts w:hint="eastAsia"/>
          <w:color w:val="000000"/>
          <w:sz w:val="24"/>
        </w:rPr>
        <w:t>较二季度末分别下行</w:t>
      </w:r>
      <w:r w:rsidRPr="00FC643F">
        <w:rPr>
          <w:rFonts w:hint="eastAsia"/>
          <w:color w:val="000000"/>
          <w:sz w:val="24"/>
        </w:rPr>
        <w:t>9</w:t>
      </w:r>
      <w:r w:rsidRPr="00FC643F">
        <w:rPr>
          <w:rFonts w:hint="eastAsia"/>
          <w:color w:val="000000"/>
          <w:sz w:val="24"/>
        </w:rPr>
        <w:t>个</w:t>
      </w:r>
      <w:r w:rsidRPr="00FC643F">
        <w:rPr>
          <w:rFonts w:hint="eastAsia"/>
          <w:color w:val="000000"/>
          <w:sz w:val="24"/>
        </w:rPr>
        <w:t>BP</w:t>
      </w:r>
      <w:r w:rsidRPr="00FC643F">
        <w:rPr>
          <w:rFonts w:hint="eastAsia"/>
          <w:color w:val="000000"/>
          <w:sz w:val="24"/>
        </w:rPr>
        <w:t>与</w:t>
      </w:r>
      <w:r w:rsidRPr="00FC643F">
        <w:rPr>
          <w:rFonts w:hint="eastAsia"/>
          <w:color w:val="000000"/>
          <w:sz w:val="24"/>
        </w:rPr>
        <w:t>17</w:t>
      </w:r>
      <w:r w:rsidRPr="00FC643F">
        <w:rPr>
          <w:rFonts w:hint="eastAsia"/>
          <w:color w:val="000000"/>
          <w:sz w:val="24"/>
        </w:rPr>
        <w:t>个</w:t>
      </w:r>
      <w:r w:rsidRPr="00FC643F">
        <w:rPr>
          <w:rFonts w:hint="eastAsia"/>
          <w:color w:val="000000"/>
          <w:sz w:val="24"/>
        </w:rPr>
        <w:t>BP</w:t>
      </w:r>
      <w:r w:rsidRPr="00FC643F">
        <w:rPr>
          <w:rFonts w:hint="eastAsia"/>
          <w:color w:val="000000"/>
          <w:sz w:val="24"/>
        </w:rPr>
        <w:t>以上。而低评级信用债涨幅较大，</w:t>
      </w:r>
      <w:r w:rsidRPr="00FC643F">
        <w:rPr>
          <w:rFonts w:hint="eastAsia"/>
          <w:color w:val="000000"/>
          <w:sz w:val="24"/>
        </w:rPr>
        <w:t>1</w:t>
      </w:r>
      <w:r w:rsidRPr="00FC643F">
        <w:rPr>
          <w:rFonts w:hint="eastAsia"/>
          <w:color w:val="000000"/>
          <w:sz w:val="24"/>
        </w:rPr>
        <w:t>年期与</w:t>
      </w:r>
      <w:r w:rsidRPr="00FC643F">
        <w:rPr>
          <w:rFonts w:hint="eastAsia"/>
          <w:color w:val="000000"/>
          <w:sz w:val="24"/>
        </w:rPr>
        <w:t>3</w:t>
      </w:r>
      <w:r w:rsidRPr="00FC643F">
        <w:rPr>
          <w:rFonts w:hint="eastAsia"/>
          <w:color w:val="000000"/>
          <w:sz w:val="24"/>
        </w:rPr>
        <w:t>年期</w:t>
      </w:r>
      <w:r w:rsidRPr="00FC643F">
        <w:rPr>
          <w:rFonts w:hint="eastAsia"/>
          <w:color w:val="000000"/>
          <w:sz w:val="24"/>
        </w:rPr>
        <w:t>AA</w:t>
      </w:r>
      <w:r w:rsidRPr="00FC643F">
        <w:rPr>
          <w:rFonts w:hint="eastAsia"/>
          <w:color w:val="000000"/>
          <w:sz w:val="24"/>
        </w:rPr>
        <w:t>信用债</w:t>
      </w:r>
      <w:r w:rsidRPr="00FC643F">
        <w:rPr>
          <w:rFonts w:hint="eastAsia"/>
          <w:color w:val="000000"/>
          <w:sz w:val="24"/>
        </w:rPr>
        <w:t>YTM</w:t>
      </w:r>
      <w:r w:rsidRPr="00FC643F">
        <w:rPr>
          <w:rFonts w:hint="eastAsia"/>
          <w:color w:val="000000"/>
          <w:sz w:val="24"/>
        </w:rPr>
        <w:t>较二季度末分别下行</w:t>
      </w:r>
      <w:r w:rsidRPr="00FC643F">
        <w:rPr>
          <w:rFonts w:hint="eastAsia"/>
          <w:color w:val="000000"/>
          <w:sz w:val="24"/>
        </w:rPr>
        <w:t>65</w:t>
      </w:r>
      <w:r w:rsidRPr="00FC643F">
        <w:rPr>
          <w:rFonts w:hint="eastAsia"/>
          <w:color w:val="000000"/>
          <w:sz w:val="24"/>
        </w:rPr>
        <w:t>个</w:t>
      </w:r>
      <w:r w:rsidRPr="00FC643F">
        <w:rPr>
          <w:rFonts w:hint="eastAsia"/>
          <w:color w:val="000000"/>
          <w:sz w:val="24"/>
        </w:rPr>
        <w:t>BP</w:t>
      </w:r>
      <w:r w:rsidRPr="00FC643F">
        <w:rPr>
          <w:rFonts w:hint="eastAsia"/>
          <w:color w:val="000000"/>
          <w:sz w:val="24"/>
        </w:rPr>
        <w:t>与</w:t>
      </w:r>
      <w:r w:rsidRPr="00FC643F">
        <w:rPr>
          <w:rFonts w:hint="eastAsia"/>
          <w:color w:val="000000"/>
          <w:sz w:val="24"/>
        </w:rPr>
        <w:t>75</w:t>
      </w:r>
      <w:r w:rsidRPr="00FC643F">
        <w:rPr>
          <w:rFonts w:hint="eastAsia"/>
          <w:color w:val="000000"/>
          <w:sz w:val="24"/>
        </w:rPr>
        <w:t>个</w:t>
      </w:r>
      <w:r w:rsidRPr="00FC643F">
        <w:rPr>
          <w:rFonts w:hint="eastAsia"/>
          <w:color w:val="000000"/>
          <w:sz w:val="24"/>
        </w:rPr>
        <w:t>BP</w:t>
      </w:r>
      <w:r w:rsidRPr="00FC643F">
        <w:rPr>
          <w:rFonts w:hint="eastAsia"/>
          <w:color w:val="000000"/>
          <w:sz w:val="24"/>
        </w:rPr>
        <w:t>以上。利率债方面，</w:t>
      </w:r>
      <w:r w:rsidRPr="00FC643F">
        <w:rPr>
          <w:rFonts w:hint="eastAsia"/>
          <w:color w:val="000000"/>
          <w:sz w:val="24"/>
        </w:rPr>
        <w:t>10</w:t>
      </w:r>
      <w:r w:rsidRPr="00FC643F">
        <w:rPr>
          <w:rFonts w:hint="eastAsia"/>
          <w:color w:val="000000"/>
          <w:sz w:val="24"/>
        </w:rPr>
        <w:t>年期国开债自</w:t>
      </w:r>
      <w:r w:rsidRPr="00FC643F">
        <w:rPr>
          <w:rFonts w:hint="eastAsia"/>
          <w:color w:val="000000"/>
          <w:sz w:val="24"/>
        </w:rPr>
        <w:t>7</w:t>
      </w:r>
      <w:r w:rsidRPr="00FC643F">
        <w:rPr>
          <w:rFonts w:hint="eastAsia"/>
          <w:color w:val="000000"/>
          <w:sz w:val="24"/>
        </w:rPr>
        <w:t>月初一路上涨至</w:t>
      </w:r>
      <w:r w:rsidRPr="00FC643F">
        <w:rPr>
          <w:rFonts w:hint="eastAsia"/>
          <w:color w:val="000000"/>
          <w:sz w:val="24"/>
        </w:rPr>
        <w:t>8</w:t>
      </w:r>
      <w:r w:rsidRPr="00FC643F">
        <w:rPr>
          <w:rFonts w:hint="eastAsia"/>
          <w:color w:val="000000"/>
          <w:sz w:val="24"/>
        </w:rPr>
        <w:t>月中旬，然后回调了</w:t>
      </w:r>
      <w:r w:rsidRPr="00FC643F">
        <w:rPr>
          <w:rFonts w:hint="eastAsia"/>
          <w:color w:val="000000"/>
          <w:sz w:val="24"/>
        </w:rPr>
        <w:t>10</w:t>
      </w:r>
      <w:r w:rsidRPr="00FC643F">
        <w:rPr>
          <w:rFonts w:hint="eastAsia"/>
          <w:color w:val="000000"/>
          <w:sz w:val="24"/>
        </w:rPr>
        <w:t>几个</w:t>
      </w:r>
      <w:r w:rsidRPr="00FC643F">
        <w:rPr>
          <w:rFonts w:hint="eastAsia"/>
          <w:color w:val="000000"/>
          <w:sz w:val="24"/>
        </w:rPr>
        <w:t>BP</w:t>
      </w:r>
      <w:r w:rsidRPr="00FC643F">
        <w:rPr>
          <w:rFonts w:hint="eastAsia"/>
          <w:color w:val="000000"/>
          <w:sz w:val="24"/>
        </w:rPr>
        <w:t>，</w:t>
      </w:r>
      <w:r w:rsidRPr="00FC643F">
        <w:rPr>
          <w:rFonts w:hint="eastAsia"/>
          <w:color w:val="000000"/>
          <w:sz w:val="24"/>
        </w:rPr>
        <w:t>9</w:t>
      </w:r>
      <w:r w:rsidRPr="00FC643F">
        <w:rPr>
          <w:rFonts w:hint="eastAsia"/>
          <w:color w:val="000000"/>
          <w:sz w:val="24"/>
        </w:rPr>
        <w:t>月上旬以来受房地产泡沫膨胀导致经济中期下行的担忧等影响，再次上涨。</w:t>
      </w:r>
      <w:r w:rsidRPr="00FC643F">
        <w:rPr>
          <w:rFonts w:hint="eastAsia"/>
          <w:color w:val="000000"/>
          <w:sz w:val="24"/>
        </w:rPr>
        <w:t>9</w:t>
      </w:r>
      <w:r w:rsidRPr="00FC643F">
        <w:rPr>
          <w:rFonts w:hint="eastAsia"/>
          <w:color w:val="000000"/>
          <w:sz w:val="24"/>
        </w:rPr>
        <w:t>月底，</w:t>
      </w:r>
      <w:r w:rsidRPr="00FC643F">
        <w:rPr>
          <w:rFonts w:hint="eastAsia"/>
          <w:color w:val="000000"/>
          <w:sz w:val="24"/>
        </w:rPr>
        <w:t>10</w:t>
      </w:r>
      <w:r w:rsidRPr="00FC643F">
        <w:rPr>
          <w:rFonts w:hint="eastAsia"/>
          <w:color w:val="000000"/>
          <w:sz w:val="24"/>
        </w:rPr>
        <w:t>年期国开债</w:t>
      </w:r>
      <w:r w:rsidRPr="00FC643F">
        <w:rPr>
          <w:rFonts w:hint="eastAsia"/>
          <w:color w:val="000000"/>
          <w:sz w:val="24"/>
        </w:rPr>
        <w:t>YTM</w:t>
      </w:r>
      <w:r w:rsidRPr="00FC643F">
        <w:rPr>
          <w:rFonts w:hint="eastAsia"/>
          <w:color w:val="000000"/>
          <w:sz w:val="24"/>
        </w:rPr>
        <w:t>较二季度末下行</w:t>
      </w:r>
      <w:r w:rsidRPr="00FC643F">
        <w:rPr>
          <w:rFonts w:hint="eastAsia"/>
          <w:color w:val="000000"/>
          <w:sz w:val="24"/>
        </w:rPr>
        <w:t>13</w:t>
      </w:r>
      <w:r w:rsidRPr="00FC643F">
        <w:rPr>
          <w:rFonts w:hint="eastAsia"/>
          <w:color w:val="000000"/>
          <w:sz w:val="24"/>
        </w:rPr>
        <w:t>个</w:t>
      </w:r>
      <w:r w:rsidRPr="00FC643F">
        <w:rPr>
          <w:rFonts w:hint="eastAsia"/>
          <w:color w:val="000000"/>
          <w:sz w:val="24"/>
        </w:rPr>
        <w:t>BP</w:t>
      </w:r>
      <w:r w:rsidRPr="00FC643F">
        <w:rPr>
          <w:rFonts w:hint="eastAsia"/>
          <w:color w:val="000000"/>
          <w:sz w:val="24"/>
        </w:rPr>
        <w:t>以上。</w:t>
      </w:r>
    </w:p>
    <w:p w:rsidR="00FC643F" w:rsidRPr="00FC643F" w:rsidRDefault="00FC643F" w:rsidP="00922742">
      <w:pPr>
        <w:spacing w:before="29" w:line="288" w:lineRule="auto"/>
        <w:ind w:firstLine="480"/>
        <w:rPr>
          <w:color w:val="000000"/>
          <w:sz w:val="24"/>
        </w:rPr>
      </w:pPr>
      <w:r w:rsidRPr="00FC643F">
        <w:rPr>
          <w:rFonts w:hint="eastAsia"/>
          <w:color w:val="000000"/>
          <w:sz w:val="24"/>
        </w:rPr>
        <w:t>基金操作方面，报告期内本基金努力控制信用风险，保持适度的组合久期与杠杆，力争为持有人创造稳定的回报。在资产类别配置上以存款、逆回购及债券为主。</w:t>
      </w:r>
    </w:p>
    <w:p w:rsidR="00FC643F" w:rsidRDefault="00FC643F" w:rsidP="00281564">
      <w:pPr>
        <w:spacing w:before="29" w:line="288" w:lineRule="auto"/>
        <w:ind w:firstLineChars="200" w:firstLine="480"/>
        <w:rPr>
          <w:color w:val="000000"/>
          <w:sz w:val="24"/>
        </w:rPr>
      </w:pPr>
      <w:r w:rsidRPr="00FC643F">
        <w:rPr>
          <w:rFonts w:hint="eastAsia"/>
          <w:color w:val="000000"/>
          <w:sz w:val="24"/>
        </w:rPr>
        <w:t>展望四季度，鉴于国庆期间多个城市密集启动楼市限购政策，为过热的一、二线房地产市场降温，后续房地产投资走弱是大概率事情，国内经济可能再次面临下行压力加大的风险。央行货币政策需在防泡沫与防经济下行风险之间谨慎平衡，除非经济下行风险超预期，否则预计央行仍将以定向工具及公开市场操作为主来调节流动性。组合管理方面，本基金将密切关注国内房地产投资与宏观经济走势、跟踪央行货币政策动态，力求保持投资组合良好的流动性，适机参与存款存单及高等级短融的投资机会，力求控制信用风险，努力为基金份额持有人创造较为稳健的投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0.3965%</w:t>
      </w:r>
      <w:r w:rsidRPr="000E4C40">
        <w:rPr>
          <w:color w:val="000000"/>
          <w:sz w:val="24"/>
        </w:rPr>
        <w:t>，同期业绩比较基准收益率为</w:t>
      </w:r>
      <w:r w:rsidRPr="000E4C40">
        <w:rPr>
          <w:color w:val="000000"/>
          <w:sz w:val="24"/>
        </w:rPr>
        <w:t>0.0633%</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0.4357%</w:t>
      </w:r>
      <w:r w:rsidRPr="000E4C40">
        <w:rPr>
          <w:color w:val="000000"/>
          <w:sz w:val="24"/>
        </w:rPr>
        <w:t>，同期业绩比较基准收益率为</w:t>
      </w:r>
      <w:r w:rsidRPr="000E4C40">
        <w:rPr>
          <w:color w:val="000000"/>
          <w:sz w:val="24"/>
        </w:rPr>
        <w:t>0.0633%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60254D">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80,109,297.56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19.36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80,109,297.56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19.36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77,690,148.50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18.77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253,475,993.33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61.25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2,585,672.42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413,861,111.81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1.41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36,999,624.50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9.82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52.86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9.82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15.94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32.40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7.96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109.16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9.82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30,217,125.65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8.02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30,217,125.65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8.02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40,035,095.04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9,857,076.87</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2.62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80,109,297.56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21.26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71"/>
        <w:gridCol w:w="1288"/>
        <w:gridCol w:w="1861"/>
        <w:gridCol w:w="1163"/>
        <w:gridCol w:w="2130"/>
        <w:gridCol w:w="1455"/>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8F258E">
        <w:trPr>
          <w:jc w:val="center"/>
        </w:trPr>
        <w:tc>
          <w:tcPr>
            <w:tcW w:w="0" w:type="auto"/>
            <w:vAlign w:val="center"/>
          </w:tcPr>
          <w:p w:rsidR="008F258E" w:rsidRDefault="004F2224">
            <w:pPr>
              <w:jc w:val="center"/>
            </w:pPr>
            <w:r>
              <w:rPr>
                <w:color w:val="000000"/>
                <w:sz w:val="24"/>
              </w:rPr>
              <w:t>1</w:t>
            </w:r>
          </w:p>
        </w:tc>
        <w:tc>
          <w:tcPr>
            <w:tcW w:w="0" w:type="auto"/>
            <w:vAlign w:val="center"/>
          </w:tcPr>
          <w:p w:rsidR="008F258E" w:rsidRDefault="004F2224">
            <w:pPr>
              <w:jc w:val="center"/>
            </w:pPr>
            <w:r>
              <w:rPr>
                <w:color w:val="000000"/>
                <w:sz w:val="24"/>
              </w:rPr>
              <w:t>011699291</w:t>
            </w:r>
          </w:p>
        </w:tc>
        <w:tc>
          <w:tcPr>
            <w:tcW w:w="0" w:type="auto"/>
            <w:vAlign w:val="center"/>
          </w:tcPr>
          <w:p w:rsidR="008F258E" w:rsidRDefault="004F2224">
            <w:pPr>
              <w:jc w:val="center"/>
            </w:pPr>
            <w:r>
              <w:rPr>
                <w:color w:val="000000"/>
                <w:sz w:val="24"/>
              </w:rPr>
              <w:t>16</w:t>
            </w:r>
            <w:r>
              <w:rPr>
                <w:color w:val="000000"/>
                <w:sz w:val="24"/>
              </w:rPr>
              <w:t>光明</w:t>
            </w:r>
            <w:r>
              <w:rPr>
                <w:color w:val="000000"/>
                <w:sz w:val="24"/>
              </w:rPr>
              <w:t>SCP001</w:t>
            </w:r>
          </w:p>
        </w:tc>
        <w:tc>
          <w:tcPr>
            <w:tcW w:w="0" w:type="auto"/>
            <w:vAlign w:val="center"/>
          </w:tcPr>
          <w:p w:rsidR="008F258E" w:rsidRDefault="004F2224">
            <w:pPr>
              <w:jc w:val="right"/>
            </w:pPr>
            <w:r>
              <w:rPr>
                <w:color w:val="000000"/>
                <w:sz w:val="24"/>
              </w:rPr>
              <w:t>200,000</w:t>
            </w:r>
          </w:p>
        </w:tc>
        <w:tc>
          <w:tcPr>
            <w:tcW w:w="0" w:type="auto"/>
            <w:vAlign w:val="center"/>
          </w:tcPr>
          <w:p w:rsidR="008F258E" w:rsidRDefault="004F2224">
            <w:pPr>
              <w:jc w:val="right"/>
            </w:pPr>
            <w:r>
              <w:rPr>
                <w:color w:val="000000"/>
                <w:sz w:val="24"/>
              </w:rPr>
              <w:t>20,046,962.30</w:t>
            </w:r>
          </w:p>
        </w:tc>
        <w:tc>
          <w:tcPr>
            <w:tcW w:w="0" w:type="auto"/>
            <w:vAlign w:val="center"/>
          </w:tcPr>
          <w:p w:rsidR="008F258E" w:rsidRDefault="004F2224">
            <w:pPr>
              <w:jc w:val="right"/>
            </w:pPr>
            <w:r>
              <w:rPr>
                <w:color w:val="000000"/>
                <w:sz w:val="24"/>
              </w:rPr>
              <w:t>5.32</w:t>
            </w:r>
          </w:p>
        </w:tc>
      </w:tr>
      <w:tr w:rsidR="008F258E">
        <w:trPr>
          <w:jc w:val="center"/>
        </w:trPr>
        <w:tc>
          <w:tcPr>
            <w:tcW w:w="0" w:type="auto"/>
            <w:vAlign w:val="center"/>
          </w:tcPr>
          <w:p w:rsidR="008F258E" w:rsidRDefault="004F2224">
            <w:pPr>
              <w:jc w:val="center"/>
            </w:pPr>
            <w:r>
              <w:rPr>
                <w:color w:val="000000"/>
                <w:sz w:val="24"/>
              </w:rPr>
              <w:t>2</w:t>
            </w:r>
          </w:p>
        </w:tc>
        <w:tc>
          <w:tcPr>
            <w:tcW w:w="0" w:type="auto"/>
            <w:vAlign w:val="center"/>
          </w:tcPr>
          <w:p w:rsidR="008F258E" w:rsidRDefault="004F2224">
            <w:pPr>
              <w:jc w:val="center"/>
            </w:pPr>
            <w:r>
              <w:rPr>
                <w:color w:val="000000"/>
                <w:sz w:val="24"/>
              </w:rPr>
              <w:t>011698100</w:t>
            </w:r>
          </w:p>
        </w:tc>
        <w:tc>
          <w:tcPr>
            <w:tcW w:w="0" w:type="auto"/>
            <w:vAlign w:val="center"/>
          </w:tcPr>
          <w:p w:rsidR="008F258E" w:rsidRDefault="004F2224">
            <w:pPr>
              <w:jc w:val="center"/>
            </w:pPr>
            <w:r>
              <w:rPr>
                <w:color w:val="000000"/>
                <w:sz w:val="24"/>
              </w:rPr>
              <w:t>16</w:t>
            </w:r>
            <w:r>
              <w:rPr>
                <w:color w:val="000000"/>
                <w:sz w:val="24"/>
              </w:rPr>
              <w:t>苏交通</w:t>
            </w:r>
            <w:r>
              <w:rPr>
                <w:color w:val="000000"/>
                <w:sz w:val="24"/>
              </w:rPr>
              <w:t>SCP009</w:t>
            </w:r>
          </w:p>
        </w:tc>
        <w:tc>
          <w:tcPr>
            <w:tcW w:w="0" w:type="auto"/>
            <w:vAlign w:val="center"/>
          </w:tcPr>
          <w:p w:rsidR="008F258E" w:rsidRDefault="004F2224">
            <w:pPr>
              <w:jc w:val="right"/>
            </w:pPr>
            <w:r>
              <w:rPr>
                <w:color w:val="000000"/>
                <w:sz w:val="24"/>
              </w:rPr>
              <w:t>200,000</w:t>
            </w:r>
          </w:p>
        </w:tc>
        <w:tc>
          <w:tcPr>
            <w:tcW w:w="0" w:type="auto"/>
            <w:vAlign w:val="center"/>
          </w:tcPr>
          <w:p w:rsidR="008F258E" w:rsidRDefault="004F2224">
            <w:pPr>
              <w:jc w:val="right"/>
            </w:pPr>
            <w:r>
              <w:rPr>
                <w:color w:val="000000"/>
                <w:sz w:val="24"/>
              </w:rPr>
              <w:t>19,988,132.74</w:t>
            </w:r>
          </w:p>
        </w:tc>
        <w:tc>
          <w:tcPr>
            <w:tcW w:w="0" w:type="auto"/>
            <w:vAlign w:val="center"/>
          </w:tcPr>
          <w:p w:rsidR="008F258E" w:rsidRDefault="004F2224">
            <w:pPr>
              <w:jc w:val="right"/>
            </w:pPr>
            <w:r>
              <w:rPr>
                <w:color w:val="000000"/>
                <w:sz w:val="24"/>
              </w:rPr>
              <w:t>5.31</w:t>
            </w:r>
          </w:p>
        </w:tc>
      </w:tr>
      <w:tr w:rsidR="008F258E">
        <w:trPr>
          <w:jc w:val="center"/>
        </w:trPr>
        <w:tc>
          <w:tcPr>
            <w:tcW w:w="0" w:type="auto"/>
            <w:vAlign w:val="center"/>
          </w:tcPr>
          <w:p w:rsidR="008F258E" w:rsidRDefault="004F2224">
            <w:pPr>
              <w:jc w:val="center"/>
            </w:pPr>
            <w:r>
              <w:rPr>
                <w:color w:val="000000"/>
                <w:sz w:val="24"/>
              </w:rPr>
              <w:t>3</w:t>
            </w:r>
          </w:p>
        </w:tc>
        <w:tc>
          <w:tcPr>
            <w:tcW w:w="0" w:type="auto"/>
            <w:vAlign w:val="center"/>
          </w:tcPr>
          <w:p w:rsidR="008F258E" w:rsidRDefault="004F2224">
            <w:pPr>
              <w:jc w:val="center"/>
            </w:pPr>
            <w:r>
              <w:rPr>
                <w:color w:val="000000"/>
                <w:sz w:val="24"/>
              </w:rPr>
              <w:t>140421</w:t>
            </w:r>
          </w:p>
        </w:tc>
        <w:tc>
          <w:tcPr>
            <w:tcW w:w="0" w:type="auto"/>
            <w:vAlign w:val="center"/>
          </w:tcPr>
          <w:p w:rsidR="008F258E" w:rsidRDefault="004F2224">
            <w:pPr>
              <w:jc w:val="center"/>
            </w:pPr>
            <w:r>
              <w:rPr>
                <w:color w:val="000000"/>
                <w:sz w:val="24"/>
              </w:rPr>
              <w:t>14</w:t>
            </w:r>
            <w:r>
              <w:rPr>
                <w:color w:val="000000"/>
                <w:sz w:val="24"/>
              </w:rPr>
              <w:t>农发</w:t>
            </w:r>
            <w:r>
              <w:rPr>
                <w:color w:val="000000"/>
                <w:sz w:val="24"/>
              </w:rPr>
              <w:t>21</w:t>
            </w:r>
          </w:p>
        </w:tc>
        <w:tc>
          <w:tcPr>
            <w:tcW w:w="0" w:type="auto"/>
            <w:vAlign w:val="center"/>
          </w:tcPr>
          <w:p w:rsidR="008F258E" w:rsidRDefault="004F2224">
            <w:pPr>
              <w:jc w:val="right"/>
            </w:pPr>
            <w:r>
              <w:rPr>
                <w:color w:val="000000"/>
                <w:sz w:val="24"/>
              </w:rPr>
              <w:t>100,000</w:t>
            </w:r>
          </w:p>
        </w:tc>
        <w:tc>
          <w:tcPr>
            <w:tcW w:w="0" w:type="auto"/>
            <w:vAlign w:val="center"/>
          </w:tcPr>
          <w:p w:rsidR="008F258E" w:rsidRDefault="004F2224">
            <w:pPr>
              <w:jc w:val="right"/>
            </w:pPr>
            <w:r>
              <w:rPr>
                <w:color w:val="000000"/>
                <w:sz w:val="24"/>
              </w:rPr>
              <w:t>10,125,497.77</w:t>
            </w:r>
          </w:p>
        </w:tc>
        <w:tc>
          <w:tcPr>
            <w:tcW w:w="0" w:type="auto"/>
            <w:vAlign w:val="center"/>
          </w:tcPr>
          <w:p w:rsidR="008F258E" w:rsidRDefault="004F2224">
            <w:pPr>
              <w:jc w:val="right"/>
            </w:pPr>
            <w:r>
              <w:rPr>
                <w:color w:val="000000"/>
                <w:sz w:val="24"/>
              </w:rPr>
              <w:t>2.69</w:t>
            </w:r>
          </w:p>
        </w:tc>
      </w:tr>
      <w:tr w:rsidR="008F258E">
        <w:trPr>
          <w:jc w:val="center"/>
        </w:trPr>
        <w:tc>
          <w:tcPr>
            <w:tcW w:w="0" w:type="auto"/>
            <w:vAlign w:val="center"/>
          </w:tcPr>
          <w:p w:rsidR="008F258E" w:rsidRDefault="004F2224">
            <w:pPr>
              <w:jc w:val="center"/>
            </w:pPr>
            <w:r>
              <w:rPr>
                <w:color w:val="000000"/>
                <w:sz w:val="24"/>
              </w:rPr>
              <w:t>4</w:t>
            </w:r>
          </w:p>
        </w:tc>
        <w:tc>
          <w:tcPr>
            <w:tcW w:w="0" w:type="auto"/>
            <w:vAlign w:val="center"/>
          </w:tcPr>
          <w:p w:rsidR="008F258E" w:rsidRDefault="004F2224">
            <w:pPr>
              <w:jc w:val="center"/>
            </w:pPr>
            <w:r>
              <w:rPr>
                <w:color w:val="000000"/>
                <w:sz w:val="24"/>
              </w:rPr>
              <w:t>140401</w:t>
            </w:r>
          </w:p>
        </w:tc>
        <w:tc>
          <w:tcPr>
            <w:tcW w:w="0" w:type="auto"/>
            <w:vAlign w:val="center"/>
          </w:tcPr>
          <w:p w:rsidR="008F258E" w:rsidRDefault="004F2224">
            <w:pPr>
              <w:jc w:val="center"/>
            </w:pPr>
            <w:r>
              <w:rPr>
                <w:color w:val="000000"/>
                <w:sz w:val="24"/>
              </w:rPr>
              <w:t>14</w:t>
            </w:r>
            <w:r>
              <w:rPr>
                <w:color w:val="000000"/>
                <w:sz w:val="24"/>
              </w:rPr>
              <w:t>农发</w:t>
            </w:r>
            <w:r>
              <w:rPr>
                <w:color w:val="000000"/>
                <w:sz w:val="24"/>
              </w:rPr>
              <w:t>01</w:t>
            </w:r>
          </w:p>
        </w:tc>
        <w:tc>
          <w:tcPr>
            <w:tcW w:w="0" w:type="auto"/>
            <w:vAlign w:val="center"/>
          </w:tcPr>
          <w:p w:rsidR="008F258E" w:rsidRDefault="004F2224">
            <w:pPr>
              <w:jc w:val="right"/>
            </w:pPr>
            <w:r>
              <w:rPr>
                <w:color w:val="000000"/>
                <w:sz w:val="24"/>
              </w:rPr>
              <w:t>100,000</w:t>
            </w:r>
          </w:p>
        </w:tc>
        <w:tc>
          <w:tcPr>
            <w:tcW w:w="0" w:type="auto"/>
            <w:vAlign w:val="center"/>
          </w:tcPr>
          <w:p w:rsidR="008F258E" w:rsidRDefault="004F2224">
            <w:pPr>
              <w:jc w:val="right"/>
            </w:pPr>
            <w:r>
              <w:rPr>
                <w:color w:val="000000"/>
                <w:sz w:val="24"/>
              </w:rPr>
              <w:t>10,096,594.75</w:t>
            </w:r>
          </w:p>
        </w:tc>
        <w:tc>
          <w:tcPr>
            <w:tcW w:w="0" w:type="auto"/>
            <w:vAlign w:val="center"/>
          </w:tcPr>
          <w:p w:rsidR="008F258E" w:rsidRDefault="004F2224">
            <w:pPr>
              <w:jc w:val="right"/>
            </w:pPr>
            <w:r>
              <w:rPr>
                <w:color w:val="000000"/>
                <w:sz w:val="24"/>
              </w:rPr>
              <w:t>2.68</w:t>
            </w:r>
          </w:p>
        </w:tc>
      </w:tr>
      <w:tr w:rsidR="008F258E">
        <w:trPr>
          <w:jc w:val="center"/>
        </w:trPr>
        <w:tc>
          <w:tcPr>
            <w:tcW w:w="0" w:type="auto"/>
            <w:vAlign w:val="center"/>
          </w:tcPr>
          <w:p w:rsidR="008F258E" w:rsidRDefault="004F2224">
            <w:pPr>
              <w:jc w:val="center"/>
            </w:pPr>
            <w:r>
              <w:rPr>
                <w:color w:val="000000"/>
                <w:sz w:val="24"/>
              </w:rPr>
              <w:t>5</w:t>
            </w:r>
          </w:p>
        </w:tc>
        <w:tc>
          <w:tcPr>
            <w:tcW w:w="0" w:type="auto"/>
            <w:vAlign w:val="center"/>
          </w:tcPr>
          <w:p w:rsidR="008F258E" w:rsidRDefault="004F2224">
            <w:pPr>
              <w:jc w:val="center"/>
            </w:pPr>
            <w:r>
              <w:rPr>
                <w:color w:val="000000"/>
                <w:sz w:val="24"/>
              </w:rPr>
              <w:t>160201</w:t>
            </w:r>
          </w:p>
        </w:tc>
        <w:tc>
          <w:tcPr>
            <w:tcW w:w="0" w:type="auto"/>
            <w:vAlign w:val="center"/>
          </w:tcPr>
          <w:p w:rsidR="008F258E" w:rsidRDefault="004F2224">
            <w:pPr>
              <w:jc w:val="center"/>
            </w:pPr>
            <w:r>
              <w:rPr>
                <w:color w:val="000000"/>
                <w:sz w:val="24"/>
              </w:rPr>
              <w:t>16</w:t>
            </w:r>
            <w:r>
              <w:rPr>
                <w:color w:val="000000"/>
                <w:sz w:val="24"/>
              </w:rPr>
              <w:t>国开</w:t>
            </w:r>
            <w:r>
              <w:rPr>
                <w:color w:val="000000"/>
                <w:sz w:val="24"/>
              </w:rPr>
              <w:t>01</w:t>
            </w:r>
          </w:p>
        </w:tc>
        <w:tc>
          <w:tcPr>
            <w:tcW w:w="0" w:type="auto"/>
            <w:vAlign w:val="center"/>
          </w:tcPr>
          <w:p w:rsidR="008F258E" w:rsidRDefault="004F2224">
            <w:pPr>
              <w:jc w:val="right"/>
            </w:pPr>
            <w:r>
              <w:rPr>
                <w:color w:val="000000"/>
                <w:sz w:val="24"/>
              </w:rPr>
              <w:t>100,000</w:t>
            </w:r>
          </w:p>
        </w:tc>
        <w:tc>
          <w:tcPr>
            <w:tcW w:w="0" w:type="auto"/>
            <w:vAlign w:val="center"/>
          </w:tcPr>
          <w:p w:rsidR="008F258E" w:rsidRDefault="004F2224">
            <w:pPr>
              <w:jc w:val="right"/>
            </w:pPr>
            <w:r>
              <w:rPr>
                <w:color w:val="000000"/>
                <w:sz w:val="24"/>
              </w:rPr>
              <w:t>9,995,033.13</w:t>
            </w:r>
          </w:p>
        </w:tc>
        <w:tc>
          <w:tcPr>
            <w:tcW w:w="0" w:type="auto"/>
            <w:vAlign w:val="center"/>
          </w:tcPr>
          <w:p w:rsidR="008F258E" w:rsidRDefault="004F2224">
            <w:pPr>
              <w:jc w:val="right"/>
            </w:pPr>
            <w:r>
              <w:rPr>
                <w:color w:val="000000"/>
                <w:sz w:val="24"/>
              </w:rPr>
              <w:t>2.65</w:t>
            </w:r>
          </w:p>
        </w:tc>
      </w:tr>
      <w:tr w:rsidR="008F258E">
        <w:trPr>
          <w:jc w:val="center"/>
        </w:trPr>
        <w:tc>
          <w:tcPr>
            <w:tcW w:w="0" w:type="auto"/>
            <w:vAlign w:val="center"/>
          </w:tcPr>
          <w:p w:rsidR="008F258E" w:rsidRDefault="004F2224">
            <w:pPr>
              <w:jc w:val="center"/>
            </w:pPr>
            <w:r>
              <w:rPr>
                <w:color w:val="000000"/>
                <w:sz w:val="24"/>
              </w:rPr>
              <w:t>6</w:t>
            </w:r>
          </w:p>
        </w:tc>
        <w:tc>
          <w:tcPr>
            <w:tcW w:w="0" w:type="auto"/>
            <w:vAlign w:val="center"/>
          </w:tcPr>
          <w:p w:rsidR="008F258E" w:rsidRDefault="004F2224">
            <w:pPr>
              <w:jc w:val="center"/>
            </w:pPr>
            <w:r>
              <w:rPr>
                <w:color w:val="000000"/>
                <w:sz w:val="24"/>
              </w:rPr>
              <w:t>111697644</w:t>
            </w:r>
          </w:p>
        </w:tc>
        <w:tc>
          <w:tcPr>
            <w:tcW w:w="0" w:type="auto"/>
            <w:vAlign w:val="center"/>
          </w:tcPr>
          <w:p w:rsidR="008F258E" w:rsidRDefault="004F2224">
            <w:pPr>
              <w:jc w:val="center"/>
            </w:pPr>
            <w:r>
              <w:rPr>
                <w:color w:val="000000"/>
                <w:sz w:val="24"/>
              </w:rPr>
              <w:t>16</w:t>
            </w:r>
            <w:r>
              <w:rPr>
                <w:color w:val="000000"/>
                <w:sz w:val="24"/>
              </w:rPr>
              <w:t>吉林银行</w:t>
            </w:r>
            <w:r>
              <w:rPr>
                <w:color w:val="000000"/>
                <w:sz w:val="24"/>
              </w:rPr>
              <w:t>CD156</w:t>
            </w:r>
          </w:p>
        </w:tc>
        <w:tc>
          <w:tcPr>
            <w:tcW w:w="0" w:type="auto"/>
            <w:vAlign w:val="center"/>
          </w:tcPr>
          <w:p w:rsidR="008F258E" w:rsidRDefault="004F2224">
            <w:pPr>
              <w:jc w:val="right"/>
            </w:pPr>
            <w:r>
              <w:rPr>
                <w:color w:val="000000"/>
                <w:sz w:val="24"/>
              </w:rPr>
              <w:t>100,000</w:t>
            </w:r>
          </w:p>
        </w:tc>
        <w:tc>
          <w:tcPr>
            <w:tcW w:w="0" w:type="auto"/>
            <w:vAlign w:val="center"/>
          </w:tcPr>
          <w:p w:rsidR="008F258E" w:rsidRDefault="004F2224">
            <w:pPr>
              <w:jc w:val="right"/>
            </w:pPr>
            <w:r>
              <w:rPr>
                <w:color w:val="000000"/>
                <w:sz w:val="24"/>
              </w:rPr>
              <w:t>9,857,076.87</w:t>
            </w:r>
          </w:p>
        </w:tc>
        <w:tc>
          <w:tcPr>
            <w:tcW w:w="0" w:type="auto"/>
            <w:vAlign w:val="center"/>
          </w:tcPr>
          <w:p w:rsidR="008F258E" w:rsidRDefault="004F2224">
            <w:pPr>
              <w:jc w:val="right"/>
            </w:pPr>
            <w:r>
              <w:rPr>
                <w:color w:val="000000"/>
                <w:sz w:val="24"/>
              </w:rPr>
              <w:t>2.62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0.0225%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1F302F" w:rsidP="00281564">
            <w:pPr>
              <w:spacing w:before="29" w:line="288" w:lineRule="auto"/>
              <w:jc w:val="right"/>
              <w:rPr>
                <w:sz w:val="24"/>
              </w:rPr>
            </w:pPr>
            <w:r>
              <w:rPr>
                <w:rFonts w:hint="eastAsia"/>
                <w:color w:val="000000"/>
                <w:sz w:val="24"/>
              </w:rPr>
              <w:t>0.0000%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0.0073%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845F8F" w:rsidRPr="002304D5" w:rsidRDefault="00845F8F" w:rsidP="00845F8F">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845F8F"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845F8F" w:rsidRPr="002304D5" w:rsidRDefault="00845F8F" w:rsidP="00845F8F">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845F8F"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1,987,292.72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598,379.70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2,585,672.42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60254D">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60254D" w:rsidP="00281564">
            <w:pPr>
              <w:autoSpaceDE w:val="0"/>
              <w:autoSpaceDN w:val="0"/>
              <w:adjustRightInd w:val="0"/>
              <w:spacing w:before="29" w:line="288" w:lineRule="auto"/>
              <w:ind w:left="15"/>
              <w:jc w:val="left"/>
              <w:rPr>
                <w:color w:val="000000"/>
                <w:kern w:val="0"/>
                <w:sz w:val="24"/>
              </w:rPr>
            </w:pPr>
            <w:r w:rsidRPr="007F52FA">
              <w:rPr>
                <w:rFonts w:eastAsiaTheme="minorEastAsia"/>
                <w:color w:val="000000"/>
                <w:kern w:val="0"/>
                <w:sz w:val="24"/>
              </w:rPr>
              <w:t>基金合同生效日基金份额总额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70,925.35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210,009,450.00</w:t>
            </w:r>
          </w:p>
        </w:tc>
      </w:tr>
      <w:tr w:rsidR="000417E0" w:rsidRPr="000E4C40" w:rsidTr="009D1870">
        <w:trPr>
          <w:jc w:val="center"/>
        </w:trPr>
        <w:tc>
          <w:tcPr>
            <w:tcW w:w="4134" w:type="dxa"/>
            <w:vAlign w:val="center"/>
          </w:tcPr>
          <w:p w:rsidR="000417E0" w:rsidRPr="000E4C40" w:rsidRDefault="0060254D" w:rsidP="00281564">
            <w:pPr>
              <w:autoSpaceDE w:val="0"/>
              <w:autoSpaceDN w:val="0"/>
              <w:adjustRightInd w:val="0"/>
              <w:spacing w:before="29" w:line="288" w:lineRule="auto"/>
              <w:ind w:left="15"/>
              <w:jc w:val="left"/>
              <w:rPr>
                <w:color w:val="000000"/>
                <w:kern w:val="0"/>
                <w:sz w:val="24"/>
              </w:rPr>
            </w:pPr>
            <w:r w:rsidRPr="007F52FA">
              <w:rPr>
                <w:rFonts w:eastAsiaTheme="minorEastAsia"/>
                <w:color w:val="000000"/>
                <w:kern w:val="0"/>
                <w:sz w:val="24"/>
              </w:rPr>
              <w:t>基金合同生效日起至报告期期末</w:t>
            </w:r>
            <w:r>
              <w:rPr>
                <w:rFonts w:eastAsiaTheme="minorEastAsia" w:hint="eastAsia"/>
                <w:color w:val="000000"/>
                <w:kern w:val="0"/>
                <w:sz w:val="24"/>
              </w:rPr>
              <w:t>期间</w:t>
            </w:r>
            <w:r w:rsidRPr="007F52FA">
              <w:rPr>
                <w:rFonts w:eastAsiaTheme="minorEastAsia"/>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151,395,076.69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40,947,838.21</w:t>
            </w:r>
          </w:p>
        </w:tc>
      </w:tr>
      <w:tr w:rsidR="000417E0" w:rsidRPr="000E4C40" w:rsidTr="009D1870">
        <w:trPr>
          <w:jc w:val="center"/>
        </w:trPr>
        <w:tc>
          <w:tcPr>
            <w:tcW w:w="4134" w:type="dxa"/>
            <w:vAlign w:val="center"/>
          </w:tcPr>
          <w:p w:rsidR="000417E0" w:rsidRPr="000E4C40" w:rsidRDefault="0060254D" w:rsidP="00281564">
            <w:pPr>
              <w:autoSpaceDE w:val="0"/>
              <w:autoSpaceDN w:val="0"/>
              <w:adjustRightInd w:val="0"/>
              <w:spacing w:before="29" w:line="288" w:lineRule="auto"/>
              <w:ind w:left="15"/>
              <w:jc w:val="left"/>
              <w:rPr>
                <w:color w:val="000000"/>
                <w:kern w:val="0"/>
                <w:sz w:val="24"/>
              </w:rPr>
            </w:pPr>
            <w:r w:rsidRPr="007F52FA">
              <w:rPr>
                <w:rFonts w:eastAsiaTheme="minorEastAsia"/>
                <w:color w:val="000000"/>
                <w:kern w:val="0"/>
                <w:sz w:val="24"/>
              </w:rPr>
              <w:t>减：基金合同生效日起至报告期期末</w:t>
            </w:r>
            <w:r>
              <w:rPr>
                <w:rFonts w:eastAsiaTheme="minorEastAsia" w:hint="eastAsia"/>
                <w:color w:val="000000"/>
                <w:kern w:val="0"/>
                <w:sz w:val="24"/>
              </w:rPr>
              <w:t>期间</w:t>
            </w:r>
            <w:r w:rsidRPr="007F52FA">
              <w:rPr>
                <w:rFonts w:eastAsiaTheme="minorEastAsia"/>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25,674,627.88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125,791,374.16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250,957,288.21</w:t>
            </w:r>
          </w:p>
        </w:tc>
      </w:tr>
    </w:tbl>
    <w:p w:rsidR="008F258E" w:rsidRDefault="004F222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w:t>
      </w:r>
      <w:r w:rsidR="003D3A9A">
        <w:rPr>
          <w:rFonts w:hint="eastAsia"/>
          <w:color w:val="000000"/>
          <w:sz w:val="24"/>
        </w:rPr>
        <w:t>类</w:t>
      </w:r>
      <w:r w:rsidR="003D3A9A">
        <w:rPr>
          <w:color w:val="000000"/>
          <w:sz w:val="24"/>
        </w:rPr>
        <w:t>别</w:t>
      </w:r>
      <w:r>
        <w:rPr>
          <w:color w:val="000000"/>
          <w:sz w:val="24"/>
        </w:rPr>
        <w:t>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w:t>
      </w:r>
      <w:r w:rsidR="003D3A9A">
        <w:rPr>
          <w:rFonts w:hint="eastAsia"/>
          <w:color w:val="000000"/>
          <w:sz w:val="24"/>
        </w:rPr>
        <w:t>类</w:t>
      </w:r>
      <w:r w:rsidRPr="000E4C40">
        <w:rPr>
          <w:color w:val="000000"/>
          <w:sz w:val="24"/>
        </w:rPr>
        <w:t>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60254D">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26"/>
        <w:gridCol w:w="1760"/>
        <w:gridCol w:w="1310"/>
        <w:gridCol w:w="1620"/>
        <w:gridCol w:w="1752"/>
        <w:gridCol w:w="1334"/>
      </w:tblGrid>
      <w:tr w:rsidR="00DC22F4" w:rsidRPr="000E4C40" w:rsidTr="00922742">
        <w:trPr>
          <w:trHeight w:val="340"/>
          <w:jc w:val="center"/>
        </w:trPr>
        <w:tc>
          <w:tcPr>
            <w:tcW w:w="820" w:type="pct"/>
            <w:vAlign w:val="center"/>
          </w:tcPr>
          <w:p w:rsidR="00DC22F4" w:rsidRPr="000E4C40" w:rsidRDefault="00DC22F4" w:rsidP="00725D5C">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946" w:type="pct"/>
            <w:vAlign w:val="center"/>
          </w:tcPr>
          <w:p w:rsidR="00DC22F4" w:rsidRPr="000E4C40" w:rsidRDefault="00DC22F4" w:rsidP="00725D5C">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704" w:type="pct"/>
            <w:vAlign w:val="center"/>
          </w:tcPr>
          <w:p w:rsidR="00DC22F4" w:rsidRPr="000E4C40" w:rsidRDefault="00DC22F4" w:rsidP="00725D5C">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871" w:type="pct"/>
            <w:vAlign w:val="center"/>
          </w:tcPr>
          <w:p w:rsidR="00DC22F4" w:rsidRPr="000E4C40" w:rsidRDefault="00DC22F4" w:rsidP="00725D5C">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942" w:type="pct"/>
            <w:vAlign w:val="center"/>
          </w:tcPr>
          <w:p w:rsidR="00DC22F4" w:rsidRPr="000E4C40" w:rsidRDefault="00DC22F4" w:rsidP="00725D5C">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718" w:type="pct"/>
            <w:vAlign w:val="center"/>
          </w:tcPr>
          <w:p w:rsidR="00DC22F4" w:rsidRPr="000E4C40" w:rsidRDefault="00DC22F4" w:rsidP="00725D5C">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DC22F4" w:rsidTr="00922742">
        <w:trPr>
          <w:jc w:val="center"/>
        </w:trPr>
        <w:tc>
          <w:tcPr>
            <w:tcW w:w="820" w:type="pct"/>
            <w:vAlign w:val="center"/>
          </w:tcPr>
          <w:p w:rsidR="00DC22F4" w:rsidRDefault="00DC22F4" w:rsidP="00725D5C">
            <w:pPr>
              <w:jc w:val="center"/>
            </w:pPr>
            <w:r>
              <w:rPr>
                <w:color w:val="000000"/>
                <w:sz w:val="24"/>
              </w:rPr>
              <w:t>1</w:t>
            </w:r>
          </w:p>
        </w:tc>
        <w:tc>
          <w:tcPr>
            <w:tcW w:w="946" w:type="pct"/>
            <w:vAlign w:val="center"/>
          </w:tcPr>
          <w:p w:rsidR="00DC22F4" w:rsidRDefault="00DC22F4" w:rsidP="00725D5C">
            <w:pPr>
              <w:jc w:val="center"/>
            </w:pPr>
            <w:r>
              <w:rPr>
                <w:color w:val="000000"/>
                <w:sz w:val="24"/>
              </w:rPr>
              <w:t>认购</w:t>
            </w:r>
            <w:r>
              <w:rPr>
                <w:color w:val="000000"/>
                <w:sz w:val="24"/>
              </w:rPr>
              <w:t>E</w:t>
            </w:r>
            <w:r>
              <w:rPr>
                <w:color w:val="000000"/>
                <w:sz w:val="24"/>
              </w:rPr>
              <w:t>类份额</w:t>
            </w:r>
          </w:p>
        </w:tc>
        <w:tc>
          <w:tcPr>
            <w:tcW w:w="704" w:type="pct"/>
            <w:vAlign w:val="center"/>
          </w:tcPr>
          <w:p w:rsidR="00DC22F4" w:rsidRDefault="00DC22F4" w:rsidP="00725D5C">
            <w:pPr>
              <w:jc w:val="center"/>
            </w:pPr>
            <w:r>
              <w:rPr>
                <w:color w:val="000000"/>
                <w:sz w:val="24"/>
              </w:rPr>
              <w:t>2016-07-22</w:t>
            </w:r>
          </w:p>
        </w:tc>
        <w:tc>
          <w:tcPr>
            <w:tcW w:w="871" w:type="pct"/>
            <w:vAlign w:val="center"/>
          </w:tcPr>
          <w:p w:rsidR="00DC22F4" w:rsidRDefault="00DC22F4" w:rsidP="00725D5C">
            <w:pPr>
              <w:jc w:val="right"/>
            </w:pPr>
            <w:r>
              <w:rPr>
                <w:color w:val="000000"/>
                <w:sz w:val="24"/>
              </w:rPr>
              <w:t>10,000,000.00</w:t>
            </w:r>
          </w:p>
        </w:tc>
        <w:tc>
          <w:tcPr>
            <w:tcW w:w="942" w:type="pct"/>
            <w:vAlign w:val="center"/>
          </w:tcPr>
          <w:p w:rsidR="00DC22F4" w:rsidRDefault="00DC22F4" w:rsidP="00725D5C">
            <w:pPr>
              <w:jc w:val="right"/>
            </w:pPr>
            <w:r>
              <w:rPr>
                <w:color w:val="000000"/>
                <w:sz w:val="24"/>
              </w:rPr>
              <w:t>10,000,000.00</w:t>
            </w:r>
          </w:p>
        </w:tc>
        <w:tc>
          <w:tcPr>
            <w:tcW w:w="718" w:type="pct"/>
            <w:vAlign w:val="center"/>
          </w:tcPr>
          <w:p w:rsidR="00DC22F4" w:rsidRDefault="00DC22F4" w:rsidP="00725D5C">
            <w:pPr>
              <w:jc w:val="center"/>
            </w:pPr>
            <w:r>
              <w:rPr>
                <w:color w:val="000000"/>
                <w:sz w:val="24"/>
              </w:rPr>
              <w:t>0.00%</w:t>
            </w:r>
          </w:p>
        </w:tc>
      </w:tr>
      <w:tr w:rsidR="00DC22F4" w:rsidTr="00922742">
        <w:trPr>
          <w:jc w:val="center"/>
        </w:trPr>
        <w:tc>
          <w:tcPr>
            <w:tcW w:w="820" w:type="pct"/>
            <w:vAlign w:val="center"/>
          </w:tcPr>
          <w:p w:rsidR="00DC22F4" w:rsidRDefault="00DC22F4" w:rsidP="00725D5C">
            <w:pPr>
              <w:jc w:val="center"/>
            </w:pPr>
            <w:r>
              <w:rPr>
                <w:color w:val="000000"/>
                <w:sz w:val="24"/>
              </w:rPr>
              <w:t>2</w:t>
            </w:r>
          </w:p>
        </w:tc>
        <w:tc>
          <w:tcPr>
            <w:tcW w:w="946" w:type="pct"/>
            <w:vAlign w:val="center"/>
          </w:tcPr>
          <w:p w:rsidR="00DC22F4" w:rsidRDefault="00DC22F4" w:rsidP="00725D5C">
            <w:pPr>
              <w:jc w:val="center"/>
            </w:pPr>
            <w:r>
              <w:rPr>
                <w:color w:val="000000"/>
                <w:sz w:val="24"/>
              </w:rPr>
              <w:t>申购</w:t>
            </w:r>
            <w:r>
              <w:rPr>
                <w:color w:val="000000"/>
                <w:sz w:val="24"/>
              </w:rPr>
              <w:t>E</w:t>
            </w:r>
            <w:r>
              <w:rPr>
                <w:color w:val="000000"/>
                <w:sz w:val="24"/>
              </w:rPr>
              <w:t>类份额</w:t>
            </w:r>
          </w:p>
        </w:tc>
        <w:tc>
          <w:tcPr>
            <w:tcW w:w="704" w:type="pct"/>
            <w:vAlign w:val="center"/>
          </w:tcPr>
          <w:p w:rsidR="00DC22F4" w:rsidRDefault="00DC22F4" w:rsidP="00725D5C">
            <w:pPr>
              <w:jc w:val="center"/>
            </w:pPr>
            <w:r>
              <w:rPr>
                <w:color w:val="000000"/>
                <w:sz w:val="24"/>
              </w:rPr>
              <w:t>2016-09-13</w:t>
            </w:r>
          </w:p>
        </w:tc>
        <w:tc>
          <w:tcPr>
            <w:tcW w:w="871" w:type="pct"/>
            <w:vAlign w:val="center"/>
          </w:tcPr>
          <w:p w:rsidR="00DC22F4" w:rsidRDefault="00DC22F4" w:rsidP="00725D5C">
            <w:pPr>
              <w:jc w:val="right"/>
            </w:pPr>
            <w:r>
              <w:rPr>
                <w:color w:val="000000"/>
                <w:sz w:val="24"/>
              </w:rPr>
              <w:t>40,000,000.00</w:t>
            </w:r>
          </w:p>
        </w:tc>
        <w:tc>
          <w:tcPr>
            <w:tcW w:w="942" w:type="pct"/>
            <w:vAlign w:val="center"/>
          </w:tcPr>
          <w:p w:rsidR="00DC22F4" w:rsidRDefault="00DC22F4" w:rsidP="00725D5C">
            <w:pPr>
              <w:jc w:val="right"/>
            </w:pPr>
            <w:r>
              <w:rPr>
                <w:color w:val="000000"/>
                <w:sz w:val="24"/>
              </w:rPr>
              <w:t>40,000,000.00</w:t>
            </w:r>
          </w:p>
        </w:tc>
        <w:tc>
          <w:tcPr>
            <w:tcW w:w="718" w:type="pct"/>
            <w:vAlign w:val="center"/>
          </w:tcPr>
          <w:p w:rsidR="00DC22F4" w:rsidRDefault="00DC22F4" w:rsidP="00725D5C">
            <w:pPr>
              <w:jc w:val="center"/>
            </w:pPr>
            <w:r>
              <w:rPr>
                <w:color w:val="000000"/>
                <w:sz w:val="24"/>
              </w:rPr>
              <w:t>0.00%</w:t>
            </w:r>
          </w:p>
        </w:tc>
      </w:tr>
      <w:tr w:rsidR="00DC22F4" w:rsidTr="00922742">
        <w:trPr>
          <w:jc w:val="center"/>
        </w:trPr>
        <w:tc>
          <w:tcPr>
            <w:tcW w:w="820" w:type="pct"/>
            <w:vAlign w:val="center"/>
          </w:tcPr>
          <w:p w:rsidR="00DC22F4" w:rsidRDefault="00DC22F4" w:rsidP="00725D5C">
            <w:pPr>
              <w:jc w:val="center"/>
            </w:pPr>
            <w:r>
              <w:rPr>
                <w:color w:val="000000"/>
                <w:sz w:val="24"/>
              </w:rPr>
              <w:t>3</w:t>
            </w:r>
          </w:p>
        </w:tc>
        <w:tc>
          <w:tcPr>
            <w:tcW w:w="946" w:type="pct"/>
            <w:vAlign w:val="center"/>
          </w:tcPr>
          <w:p w:rsidR="00DC22F4" w:rsidRDefault="00DC22F4" w:rsidP="00725D5C">
            <w:pPr>
              <w:jc w:val="center"/>
            </w:pPr>
            <w:r>
              <w:rPr>
                <w:color w:val="000000"/>
                <w:sz w:val="24"/>
              </w:rPr>
              <w:t>E</w:t>
            </w:r>
            <w:r>
              <w:rPr>
                <w:color w:val="000000"/>
                <w:sz w:val="24"/>
              </w:rPr>
              <w:t>类份额红利再投</w:t>
            </w:r>
          </w:p>
        </w:tc>
        <w:tc>
          <w:tcPr>
            <w:tcW w:w="704" w:type="pct"/>
            <w:vAlign w:val="center"/>
          </w:tcPr>
          <w:p w:rsidR="00DC22F4" w:rsidRDefault="00DC22F4" w:rsidP="00725D5C">
            <w:pPr>
              <w:jc w:val="center"/>
            </w:pPr>
            <w:r>
              <w:rPr>
                <w:color w:val="000000"/>
                <w:sz w:val="24"/>
              </w:rPr>
              <w:t>2016-09-30</w:t>
            </w:r>
          </w:p>
        </w:tc>
        <w:tc>
          <w:tcPr>
            <w:tcW w:w="871" w:type="pct"/>
            <w:vAlign w:val="center"/>
          </w:tcPr>
          <w:p w:rsidR="00DC22F4" w:rsidRDefault="00DC22F4" w:rsidP="00725D5C">
            <w:pPr>
              <w:jc w:val="right"/>
            </w:pPr>
            <w:r>
              <w:rPr>
                <w:color w:val="000000"/>
                <w:sz w:val="24"/>
              </w:rPr>
              <w:t>90,883.27</w:t>
            </w:r>
          </w:p>
        </w:tc>
        <w:tc>
          <w:tcPr>
            <w:tcW w:w="942" w:type="pct"/>
            <w:vAlign w:val="center"/>
          </w:tcPr>
          <w:p w:rsidR="00DC22F4" w:rsidRDefault="00DC22F4" w:rsidP="00725D5C">
            <w:pPr>
              <w:jc w:val="right"/>
            </w:pPr>
            <w:r>
              <w:rPr>
                <w:color w:val="000000"/>
                <w:sz w:val="24"/>
              </w:rPr>
              <w:t>90,883.27</w:t>
            </w:r>
          </w:p>
        </w:tc>
        <w:tc>
          <w:tcPr>
            <w:tcW w:w="718" w:type="pct"/>
            <w:vAlign w:val="center"/>
          </w:tcPr>
          <w:p w:rsidR="00DC22F4" w:rsidRDefault="00DC22F4" w:rsidP="00725D5C">
            <w:pPr>
              <w:jc w:val="center"/>
            </w:pPr>
            <w:r>
              <w:rPr>
                <w:color w:val="000000"/>
                <w:sz w:val="24"/>
              </w:rPr>
              <w:t>0.00%</w:t>
            </w:r>
          </w:p>
        </w:tc>
      </w:tr>
      <w:tr w:rsidR="00DC22F4" w:rsidRPr="000E4C40" w:rsidTr="00922742">
        <w:trPr>
          <w:trHeight w:val="340"/>
          <w:jc w:val="center"/>
        </w:trPr>
        <w:tc>
          <w:tcPr>
            <w:tcW w:w="820" w:type="pct"/>
            <w:vAlign w:val="center"/>
          </w:tcPr>
          <w:p w:rsidR="00DC22F4" w:rsidRPr="000E4C40" w:rsidRDefault="00DC22F4" w:rsidP="00725D5C">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946" w:type="pct"/>
            <w:vAlign w:val="center"/>
          </w:tcPr>
          <w:p w:rsidR="00DC22F4" w:rsidRPr="000E4C40" w:rsidRDefault="00DC22F4" w:rsidP="00725D5C">
            <w:pPr>
              <w:adjustRightInd w:val="0"/>
              <w:snapToGrid w:val="0"/>
              <w:spacing w:before="29" w:line="288" w:lineRule="auto"/>
              <w:jc w:val="right"/>
              <w:rPr>
                <w:color w:val="0000FF"/>
                <w:kern w:val="0"/>
                <w:sz w:val="18"/>
              </w:rPr>
            </w:pPr>
          </w:p>
        </w:tc>
        <w:tc>
          <w:tcPr>
            <w:tcW w:w="704" w:type="pct"/>
            <w:vAlign w:val="center"/>
          </w:tcPr>
          <w:p w:rsidR="00DC22F4" w:rsidRPr="000E4C40" w:rsidRDefault="00DC22F4" w:rsidP="00725D5C">
            <w:pPr>
              <w:adjustRightInd w:val="0"/>
              <w:snapToGrid w:val="0"/>
              <w:spacing w:before="29" w:line="288" w:lineRule="auto"/>
              <w:jc w:val="right"/>
              <w:rPr>
                <w:color w:val="0000FF"/>
                <w:kern w:val="0"/>
                <w:sz w:val="18"/>
              </w:rPr>
            </w:pPr>
          </w:p>
        </w:tc>
        <w:tc>
          <w:tcPr>
            <w:tcW w:w="871" w:type="pct"/>
            <w:vAlign w:val="center"/>
          </w:tcPr>
          <w:p w:rsidR="00DC22F4" w:rsidRPr="000E4C40" w:rsidRDefault="00DC22F4" w:rsidP="00725D5C">
            <w:pPr>
              <w:adjustRightInd w:val="0"/>
              <w:snapToGrid w:val="0"/>
              <w:spacing w:before="29" w:line="288" w:lineRule="auto"/>
              <w:jc w:val="right"/>
              <w:rPr>
                <w:color w:val="000000"/>
                <w:sz w:val="24"/>
              </w:rPr>
            </w:pPr>
            <w:r w:rsidRPr="000E4C40">
              <w:rPr>
                <w:color w:val="000000"/>
                <w:sz w:val="24"/>
              </w:rPr>
              <w:t>50,090,883.27</w:t>
            </w:r>
          </w:p>
        </w:tc>
        <w:tc>
          <w:tcPr>
            <w:tcW w:w="942" w:type="pct"/>
            <w:vAlign w:val="center"/>
          </w:tcPr>
          <w:p w:rsidR="00DC22F4" w:rsidRPr="000E4C40" w:rsidRDefault="00DC22F4" w:rsidP="00725D5C">
            <w:pPr>
              <w:adjustRightInd w:val="0"/>
              <w:snapToGrid w:val="0"/>
              <w:spacing w:before="29" w:line="288" w:lineRule="auto"/>
              <w:jc w:val="right"/>
              <w:rPr>
                <w:color w:val="000000"/>
                <w:sz w:val="24"/>
              </w:rPr>
            </w:pPr>
            <w:r w:rsidRPr="000E4C40">
              <w:rPr>
                <w:color w:val="000000"/>
                <w:sz w:val="24"/>
              </w:rPr>
              <w:t>50,090,883.27</w:t>
            </w:r>
          </w:p>
        </w:tc>
        <w:tc>
          <w:tcPr>
            <w:tcW w:w="718" w:type="pct"/>
            <w:vAlign w:val="center"/>
          </w:tcPr>
          <w:p w:rsidR="00DC22F4" w:rsidRPr="000E4C40" w:rsidRDefault="00DC22F4" w:rsidP="00725D5C">
            <w:pPr>
              <w:adjustRightInd w:val="0"/>
              <w:snapToGrid w:val="0"/>
              <w:spacing w:before="29" w:line="288" w:lineRule="auto"/>
              <w:jc w:val="right"/>
              <w:rPr>
                <w:color w:val="0000FF"/>
                <w:kern w:val="0"/>
                <w:sz w:val="18"/>
              </w:rPr>
            </w:pPr>
          </w:p>
        </w:tc>
      </w:tr>
    </w:tbl>
    <w:p w:rsidR="00DC22F4" w:rsidRDefault="00DC22F4" w:rsidP="00DC22F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rFonts w:hint="eastAsia"/>
          <w:color w:val="000000"/>
          <w:sz w:val="24"/>
        </w:rPr>
        <w:t>A</w:t>
      </w:r>
      <w:r>
        <w:rPr>
          <w:rFonts w:hint="eastAsia"/>
          <w:color w:val="000000"/>
          <w:sz w:val="24"/>
        </w:rPr>
        <w:t>类</w:t>
      </w:r>
      <w:r>
        <w:rPr>
          <w:color w:val="000000"/>
          <w:sz w:val="24"/>
        </w:rPr>
        <w:t>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50,090,883.27</w:t>
      </w:r>
      <w:r>
        <w:rPr>
          <w:color w:val="000000"/>
          <w:sz w:val="24"/>
        </w:rPr>
        <w:t>份，占本基金期末</w:t>
      </w:r>
      <w:r>
        <w:rPr>
          <w:rFonts w:hint="eastAsia"/>
          <w:color w:val="000000"/>
          <w:sz w:val="24"/>
        </w:rPr>
        <w:t>E</w:t>
      </w:r>
      <w:r>
        <w:rPr>
          <w:rFonts w:hint="eastAsia"/>
          <w:color w:val="000000"/>
          <w:sz w:val="24"/>
        </w:rPr>
        <w:t>类</w:t>
      </w:r>
      <w:r>
        <w:rPr>
          <w:color w:val="000000"/>
          <w:sz w:val="24"/>
        </w:rPr>
        <w:t>基金总份额的</w:t>
      </w:r>
      <w:r>
        <w:rPr>
          <w:color w:val="000000"/>
          <w:sz w:val="24"/>
        </w:rPr>
        <w:t>19.96%</w:t>
      </w:r>
      <w:r>
        <w:rPr>
          <w:color w:val="000000"/>
          <w:sz w:val="24"/>
        </w:rPr>
        <w:t>。</w:t>
      </w:r>
    </w:p>
    <w:p w:rsidR="00DC22F4" w:rsidRDefault="00DC22F4" w:rsidP="00DC22F4">
      <w:pPr>
        <w:autoSpaceDE w:val="0"/>
        <w:autoSpaceDN w:val="0"/>
        <w:adjustRightInd w:val="0"/>
        <w:spacing w:before="29" w:line="288" w:lineRule="auto"/>
        <w:jc w:val="left"/>
        <w:rPr>
          <w:color w:val="000000"/>
          <w:sz w:val="24"/>
        </w:rPr>
      </w:pPr>
      <w:r>
        <w:rPr>
          <w:color w:val="000000"/>
          <w:sz w:val="24"/>
        </w:rPr>
        <w:t xml:space="preserve">  </w:t>
      </w:r>
      <w:r w:rsidR="00A13504">
        <w:rPr>
          <w:color w:val="000000"/>
          <w:sz w:val="24"/>
        </w:rPr>
        <w:t xml:space="preserve"> </w:t>
      </w:r>
      <w:r>
        <w:rPr>
          <w:color w:val="000000"/>
          <w:sz w:val="24"/>
        </w:rPr>
        <w:t xml:space="preserve"> 2</w:t>
      </w:r>
      <w:r>
        <w:rPr>
          <w:color w:val="000000"/>
          <w:sz w:val="24"/>
        </w:rPr>
        <w:t>、本基金收益分配按日结转份额。</w:t>
      </w:r>
    </w:p>
    <w:p w:rsidR="00DC22F4" w:rsidRPr="00DC22F4" w:rsidRDefault="00DC22F4" w:rsidP="00281564">
      <w:pPr>
        <w:autoSpaceDE w:val="0"/>
        <w:autoSpaceDN w:val="0"/>
        <w:adjustRightInd w:val="0"/>
        <w:spacing w:before="29" w:line="288" w:lineRule="auto"/>
        <w:jc w:val="left"/>
        <w:rPr>
          <w:color w:val="000000"/>
          <w:sz w:val="24"/>
        </w:rPr>
      </w:pPr>
    </w:p>
    <w:p w:rsidR="00C03EF8" w:rsidRPr="009268A2" w:rsidRDefault="009D74FC" w:rsidP="0060254D">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8F258E" w:rsidRDefault="004F2224">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8F258E" w:rsidRDefault="004F2224">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8F258E" w:rsidRDefault="004F2224">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8F258E" w:rsidRDefault="004F2224">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8F258E" w:rsidRDefault="004F2224">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8F258E" w:rsidRDefault="004F222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F258E" w:rsidRDefault="004F222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8F258E" w:rsidRDefault="004F222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86" w:rsidRDefault="00934286">
      <w:r>
        <w:separator/>
      </w:r>
    </w:p>
  </w:endnote>
  <w:endnote w:type="continuationSeparator" w:id="0">
    <w:p w:rsidR="00934286" w:rsidRDefault="0093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C226F8">
      <w:rPr>
        <w:kern w:val="0"/>
        <w:szCs w:val="21"/>
      </w:rPr>
      <w:fldChar w:fldCharType="begin"/>
    </w:r>
    <w:r>
      <w:rPr>
        <w:kern w:val="0"/>
        <w:szCs w:val="21"/>
      </w:rPr>
      <w:instrText xml:space="preserve"> PAGE </w:instrText>
    </w:r>
    <w:r w:rsidR="00C226F8">
      <w:rPr>
        <w:kern w:val="0"/>
        <w:szCs w:val="21"/>
      </w:rPr>
      <w:fldChar w:fldCharType="separate"/>
    </w:r>
    <w:r w:rsidR="00922742">
      <w:rPr>
        <w:noProof/>
        <w:kern w:val="0"/>
        <w:szCs w:val="21"/>
      </w:rPr>
      <w:t>14</w:t>
    </w:r>
    <w:r w:rsidR="00C226F8">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C226F8">
      <w:rPr>
        <w:rFonts w:hint="eastAsia"/>
        <w:kern w:val="0"/>
        <w:szCs w:val="21"/>
      </w:rPr>
      <w:fldChar w:fldCharType="begin"/>
    </w:r>
    <w:r>
      <w:rPr>
        <w:kern w:val="0"/>
        <w:szCs w:val="21"/>
      </w:rPr>
      <w:instrText xml:space="preserve"> NUMPAGES </w:instrText>
    </w:r>
    <w:r w:rsidR="00C226F8">
      <w:rPr>
        <w:rFonts w:hint="eastAsia"/>
        <w:kern w:val="0"/>
        <w:szCs w:val="21"/>
      </w:rPr>
      <w:fldChar w:fldCharType="separate"/>
    </w:r>
    <w:r w:rsidR="00922742">
      <w:rPr>
        <w:noProof/>
        <w:kern w:val="0"/>
        <w:szCs w:val="21"/>
      </w:rPr>
      <w:t>14</w:t>
    </w:r>
    <w:r w:rsidR="00C226F8">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86" w:rsidRDefault="00934286">
      <w:r>
        <w:separator/>
      </w:r>
    </w:p>
  </w:footnote>
  <w:footnote w:type="continuationSeparator" w:id="0">
    <w:p w:rsidR="00934286" w:rsidRDefault="0093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1F302F"/>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3A9A"/>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594C"/>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224"/>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5AFD"/>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254D"/>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45F8F"/>
    <w:rsid w:val="00852119"/>
    <w:rsid w:val="0085498E"/>
    <w:rsid w:val="00855BA5"/>
    <w:rsid w:val="008616BD"/>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258E"/>
    <w:rsid w:val="008F44F3"/>
    <w:rsid w:val="009004F7"/>
    <w:rsid w:val="00901503"/>
    <w:rsid w:val="00902E3F"/>
    <w:rsid w:val="00903E98"/>
    <w:rsid w:val="00906C9B"/>
    <w:rsid w:val="00907F97"/>
    <w:rsid w:val="00910FB5"/>
    <w:rsid w:val="00911C0E"/>
    <w:rsid w:val="009153D7"/>
    <w:rsid w:val="00920D1F"/>
    <w:rsid w:val="00922742"/>
    <w:rsid w:val="009268A2"/>
    <w:rsid w:val="00930856"/>
    <w:rsid w:val="0093428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3504"/>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26F8"/>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22F4"/>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C643F"/>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B0B0C29-7914-43CF-8531-ACD5CA8C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8DC3D1-E21C-4F99-BF56-44773D1A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14</Pages>
  <Words>1197</Words>
  <Characters>6824</Characters>
  <Application>Microsoft Office Word</Application>
  <DocSecurity>0</DocSecurity>
  <Lines>56</Lines>
  <Paragraphs>16</Paragraphs>
  <ScaleCrop>false</ScaleCrop>
  <Company>jysld</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320</cp:revision>
  <cp:lastPrinted>2009-01-22T10:11:00Z</cp:lastPrinted>
  <dcterms:created xsi:type="dcterms:W3CDTF">2012-11-21T05:49:00Z</dcterms:created>
  <dcterms:modified xsi:type="dcterms:W3CDTF">2016-10-20T11:48:00Z</dcterms:modified>
</cp:coreProperties>
</file>