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bookmarkStart w:id="0" w:name="_GoBack"/>
      <w:bookmarkEnd w:id="0"/>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交银施罗德丰泽收益债券型证券投资基金</w:t>
      </w:r>
    </w:p>
    <w:p w:rsidR="001548F9" w:rsidRPr="005C672D" w:rsidRDefault="001548F9" w:rsidP="00AC6DDA">
      <w:pPr>
        <w:spacing w:before="29" w:line="288" w:lineRule="auto"/>
        <w:jc w:val="center"/>
        <w:rPr>
          <w:b/>
          <w:sz w:val="36"/>
          <w:szCs w:val="36"/>
        </w:rPr>
      </w:pPr>
      <w:r w:rsidRPr="005C672D">
        <w:rPr>
          <w:b/>
          <w:sz w:val="36"/>
          <w:szCs w:val="36"/>
        </w:rPr>
        <w:t>2016</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2016</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基金托管人：中信银行股份有限公司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报告送出日期：二〇一六年八月二十七日</w:t>
      </w:r>
    </w:p>
    <w:p w:rsidR="001548F9" w:rsidRPr="005C672D" w:rsidRDefault="001548F9" w:rsidP="00AC6DDA">
      <w:pPr>
        <w:spacing w:before="29" w:line="288" w:lineRule="auto"/>
        <w:ind w:firstLineChars="900" w:firstLine="2168"/>
        <w:rPr>
          <w:b/>
          <w:color w:val="000000"/>
          <w:sz w:val="24"/>
        </w:rPr>
        <w:sectPr w:rsidR="001548F9" w:rsidRPr="005C672D">
          <w:headerReference w:type="default" r:id="rId8"/>
          <w:pgSz w:w="11926" w:h="15840"/>
          <w:pgMar w:top="1418" w:right="1418" w:bottom="851" w:left="1418" w:header="851" w:footer="992" w:gutter="0"/>
          <w:cols w:space="720"/>
        </w:sectPr>
      </w:pPr>
    </w:p>
    <w:p w:rsidR="001548F9" w:rsidRPr="005C672D" w:rsidRDefault="001548F9" w:rsidP="000B63EC">
      <w:pPr>
        <w:pStyle w:val="1"/>
        <w:keepNext/>
        <w:keepLines/>
        <w:widowControl w:val="0"/>
        <w:spacing w:beforeLines="100" w:before="312" w:afterLines="100" w:after="312" w:line="288" w:lineRule="auto"/>
        <w:jc w:val="center"/>
        <w:rPr>
          <w:b/>
          <w:bCs/>
          <w:szCs w:val="24"/>
          <w:lang w:val="en-US"/>
        </w:rPr>
      </w:pPr>
      <w:bookmarkStart w:id="1" w:name="_Toc331410066"/>
      <w:bookmarkStart w:id="2" w:name="_Toc225498243"/>
      <w:r w:rsidRPr="005C672D">
        <w:rPr>
          <w:b/>
          <w:bCs/>
          <w:szCs w:val="24"/>
          <w:lang w:val="en-US"/>
        </w:rPr>
        <w:lastRenderedPageBreak/>
        <w:t xml:space="preserve">1  </w:t>
      </w:r>
      <w:r w:rsidRPr="005C672D">
        <w:rPr>
          <w:b/>
          <w:bCs/>
          <w:szCs w:val="24"/>
          <w:lang w:val="en-US"/>
        </w:rPr>
        <w:t>重要提示</w:t>
      </w:r>
      <w:bookmarkEnd w:id="1"/>
      <w:bookmarkEnd w:id="2"/>
    </w:p>
    <w:p w:rsidR="001548F9" w:rsidRPr="005C672D" w:rsidRDefault="001548F9" w:rsidP="00AC6DDA">
      <w:pPr>
        <w:pStyle w:val="20"/>
        <w:spacing w:before="29" w:after="0" w:line="288" w:lineRule="auto"/>
        <w:rPr>
          <w:rFonts w:ascii="Times New Roman" w:hAnsi="Times New Roman"/>
          <w:kern w:val="0"/>
          <w:szCs w:val="24"/>
        </w:rPr>
      </w:pPr>
      <w:bookmarkStart w:id="3"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3"/>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中信银行股份有限公司</w:t>
      </w:r>
      <w:r w:rsidRPr="005C672D">
        <w:rPr>
          <w:color w:val="000000"/>
          <w:sz w:val="24"/>
        </w:rPr>
        <w:t>根据本基金合同规定，于</w:t>
      </w:r>
      <w:r w:rsidRPr="005C672D">
        <w:rPr>
          <w:color w:val="000000"/>
          <w:sz w:val="24"/>
        </w:rPr>
        <w:t>2016</w:t>
      </w:r>
      <w:r w:rsidRPr="005C672D">
        <w:rPr>
          <w:color w:val="000000"/>
          <w:sz w:val="24"/>
        </w:rPr>
        <w:t>年</w:t>
      </w:r>
      <w:r w:rsidRPr="005C672D">
        <w:rPr>
          <w:color w:val="000000"/>
          <w:sz w:val="24"/>
        </w:rPr>
        <w:t>8</w:t>
      </w:r>
      <w:r w:rsidRPr="005C672D">
        <w:rPr>
          <w:color w:val="000000"/>
          <w:sz w:val="24"/>
        </w:rPr>
        <w:t>月</w:t>
      </w:r>
      <w:r w:rsidRPr="005C672D">
        <w:rPr>
          <w:color w:val="000000"/>
          <w:sz w:val="24"/>
        </w:rPr>
        <w:t>26</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2016</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0B63EC">
      <w:pPr>
        <w:pStyle w:val="1"/>
        <w:keepNext/>
        <w:keepLines/>
        <w:widowControl w:val="0"/>
        <w:spacing w:beforeLines="100" w:before="312" w:afterLines="100" w:after="312" w:line="288" w:lineRule="auto"/>
        <w:jc w:val="center"/>
        <w:rPr>
          <w:szCs w:val="24"/>
          <w:lang w:val="en-US"/>
        </w:rPr>
      </w:pPr>
      <w:bookmarkStart w:id="4" w:name="_Toc331410068"/>
      <w:bookmarkStart w:id="5" w:name="_Toc225498244"/>
      <w:r w:rsidRPr="005C672D">
        <w:rPr>
          <w:b/>
          <w:bCs/>
          <w:szCs w:val="24"/>
          <w:lang w:val="en-US"/>
        </w:rPr>
        <w:lastRenderedPageBreak/>
        <w:t xml:space="preserve">2  </w:t>
      </w:r>
      <w:r w:rsidRPr="005C672D">
        <w:rPr>
          <w:b/>
          <w:bCs/>
          <w:szCs w:val="24"/>
          <w:lang w:val="en-US"/>
        </w:rPr>
        <w:t>基金简介</w:t>
      </w:r>
      <w:bookmarkEnd w:id="4"/>
      <w:bookmarkEnd w:id="5"/>
    </w:p>
    <w:p w:rsidR="001548F9" w:rsidRPr="005C672D" w:rsidRDefault="001548F9" w:rsidP="00AC6DDA">
      <w:pPr>
        <w:pStyle w:val="20"/>
        <w:spacing w:before="29" w:after="0" w:line="288" w:lineRule="auto"/>
        <w:rPr>
          <w:rFonts w:ascii="Times New Roman" w:hAnsi="Times New Roman"/>
          <w:color w:val="000000"/>
          <w:szCs w:val="24"/>
        </w:rPr>
      </w:pPr>
      <w:bookmarkStart w:id="6"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交银丰泽收益债券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519749</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519749</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契约型，本基金在基金合同生效之日起两年（含两年）的期间内封闭式运作（按照基金合同的约定提前转换基金运作方式的除外），封闭期结束后转为开放式运作</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2015</w:t>
            </w:r>
            <w:r w:rsidRPr="005C672D">
              <w:rPr>
                <w:sz w:val="24"/>
              </w:rPr>
              <w:t>年</w:t>
            </w:r>
            <w:r w:rsidRPr="005C672D">
              <w:rPr>
                <w:sz w:val="24"/>
              </w:rPr>
              <w:t>1</w:t>
            </w:r>
            <w:r w:rsidRPr="005C672D">
              <w:rPr>
                <w:sz w:val="24"/>
              </w:rPr>
              <w:t>月</w:t>
            </w:r>
            <w:r w:rsidRPr="005C672D">
              <w:rPr>
                <w:sz w:val="24"/>
              </w:rPr>
              <w:t>30</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中信银行股份有限公司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226,060,553.36</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注：本基金在基金合同生效之日起两年（含两年）的期间内封闭式运作（按照基金合同的约定提前转换基金运作方式的除外）。封闭期内，基金投资者不能申购、赎回本基金基金份额，即</w:t>
      </w:r>
      <w:r w:rsidRPr="005C672D">
        <w:rPr>
          <w:kern w:val="0"/>
          <w:sz w:val="24"/>
        </w:rPr>
        <w:t>A</w:t>
      </w:r>
      <w:r w:rsidRPr="005C672D">
        <w:rPr>
          <w:kern w:val="0"/>
          <w:sz w:val="24"/>
        </w:rPr>
        <w:t>类基金份额。</w:t>
      </w:r>
    </w:p>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7"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在严格控制风险的基础上</w:t>
            </w:r>
            <w:r w:rsidRPr="005C672D">
              <w:rPr>
                <w:sz w:val="24"/>
              </w:rPr>
              <w:t>,</w:t>
            </w:r>
            <w:r w:rsidRPr="005C672D">
              <w:rPr>
                <w:sz w:val="24"/>
              </w:rPr>
              <w:t>力争获取高于业绩比较基准的稳定收益。</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两年期银行定期存款税后收益率</w:t>
            </w:r>
            <w:r w:rsidRPr="005C672D">
              <w:rPr>
                <w:sz w:val="24"/>
              </w:rPr>
              <w:t>+1.25%</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本基金是一只债券型基金，其风险与预期收益高于货币市场基金，低于混合型基金和股票型基金，属于证券投资基金中中等风险的品种。</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8" w:name="_Toc331410071"/>
      <w:bookmarkStart w:id="9"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中信银行股份有限公司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孙艳</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方韡</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010-89936330</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fangwei@citicbank.com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95558</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010-85230024</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0" w:name="_Toc331410072"/>
      <w:bookmarkStart w:id="11"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r w:rsidRPr="005C672D">
              <w:rPr>
                <w:color w:val="000000"/>
                <w:sz w:val="24"/>
              </w:rPr>
              <w:t>，</w:t>
            </w:r>
            <w:r w:rsidRPr="005C672D">
              <w:rPr>
                <w:color w:val="000000"/>
                <w:sz w:val="24"/>
              </w:rPr>
              <w:t>www.bocomschroder.com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0B63EC">
      <w:pPr>
        <w:pStyle w:val="1"/>
        <w:keepNext/>
        <w:keepLines/>
        <w:widowControl w:val="0"/>
        <w:spacing w:beforeLines="100" w:before="312" w:afterLines="100" w:after="312" w:line="288" w:lineRule="auto"/>
        <w:jc w:val="center"/>
        <w:rPr>
          <w:b/>
          <w:bCs/>
          <w:szCs w:val="24"/>
          <w:lang w:val="en-US"/>
        </w:rPr>
      </w:pPr>
      <w:bookmarkStart w:id="12" w:name="_Toc225498250"/>
      <w:bookmarkStart w:id="13" w:name="_Toc331410074"/>
      <w:bookmarkStart w:id="14" w:name="_Toc194312019"/>
      <w:bookmarkStart w:id="15" w:name="_Toc193947512"/>
      <w:r w:rsidRPr="005C672D">
        <w:rPr>
          <w:b/>
          <w:bCs/>
          <w:szCs w:val="24"/>
          <w:lang w:val="en-US"/>
        </w:rPr>
        <w:t xml:space="preserve">3  </w:t>
      </w:r>
      <w:r w:rsidRPr="005C672D">
        <w:rPr>
          <w:b/>
          <w:bCs/>
          <w:szCs w:val="24"/>
          <w:lang w:val="en-US"/>
        </w:rPr>
        <w:t>主要财务指标和基金净值表现</w:t>
      </w:r>
      <w:bookmarkEnd w:id="12"/>
      <w:bookmarkEnd w:id="13"/>
    </w:p>
    <w:p w:rsidR="001548F9" w:rsidRPr="005C672D" w:rsidRDefault="001548F9" w:rsidP="00AC6DDA">
      <w:pPr>
        <w:pStyle w:val="20"/>
        <w:spacing w:before="29" w:after="0" w:line="288" w:lineRule="auto"/>
        <w:rPr>
          <w:rFonts w:ascii="Times New Roman" w:hAnsi="Times New Roman"/>
          <w:kern w:val="0"/>
          <w:szCs w:val="24"/>
        </w:rPr>
      </w:pPr>
      <w:bookmarkStart w:id="16"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6"/>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2016</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2016</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9,471,850.80</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4,204,231.87</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0.0186</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1.78%</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(2016</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0.043</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238,426,109.02</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1.055</w:t>
            </w:r>
          </w:p>
        </w:tc>
      </w:tr>
    </w:tbl>
    <w:bookmarkEnd w:id="14"/>
    <w:bookmarkEnd w:id="15"/>
    <w:p w:rsidR="005A0F6D" w:rsidRDefault="00D24CEF">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7" w:name="_Toc331410076"/>
      <w:bookmarkStart w:id="18"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7"/>
      <w:bookmarkEnd w:id="18"/>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5A0F6D">
        <w:tc>
          <w:tcPr>
            <w:tcW w:w="1497" w:type="dxa"/>
            <w:vAlign w:val="center"/>
          </w:tcPr>
          <w:p w:rsidR="005A0F6D" w:rsidRDefault="00D24CEF">
            <w:pPr>
              <w:jc w:val="left"/>
            </w:pPr>
            <w:r>
              <w:rPr>
                <w:color w:val="000000"/>
                <w:sz w:val="24"/>
              </w:rPr>
              <w:t>过去一个月</w:t>
            </w:r>
          </w:p>
        </w:tc>
        <w:tc>
          <w:tcPr>
            <w:tcW w:w="1251" w:type="dxa"/>
            <w:vAlign w:val="center"/>
          </w:tcPr>
          <w:p w:rsidR="005A0F6D" w:rsidRDefault="00D24CEF">
            <w:pPr>
              <w:jc w:val="center"/>
            </w:pPr>
            <w:r>
              <w:rPr>
                <w:color w:val="000000"/>
                <w:sz w:val="24"/>
              </w:rPr>
              <w:t>0.86%</w:t>
            </w:r>
          </w:p>
        </w:tc>
        <w:tc>
          <w:tcPr>
            <w:tcW w:w="1250" w:type="dxa"/>
            <w:vAlign w:val="center"/>
          </w:tcPr>
          <w:p w:rsidR="005A0F6D" w:rsidRDefault="00D24CEF">
            <w:pPr>
              <w:jc w:val="center"/>
            </w:pPr>
            <w:r>
              <w:rPr>
                <w:color w:val="000000"/>
                <w:sz w:val="24"/>
              </w:rPr>
              <w:t>0.06%</w:t>
            </w:r>
          </w:p>
        </w:tc>
        <w:tc>
          <w:tcPr>
            <w:tcW w:w="1250" w:type="dxa"/>
            <w:vAlign w:val="center"/>
          </w:tcPr>
          <w:p w:rsidR="005A0F6D" w:rsidRDefault="00D24CEF">
            <w:pPr>
              <w:jc w:val="center"/>
            </w:pPr>
            <w:r>
              <w:rPr>
                <w:color w:val="000000"/>
                <w:sz w:val="24"/>
              </w:rPr>
              <w:t>0.28%</w:t>
            </w:r>
          </w:p>
        </w:tc>
        <w:tc>
          <w:tcPr>
            <w:tcW w:w="1250" w:type="dxa"/>
            <w:vAlign w:val="center"/>
          </w:tcPr>
          <w:p w:rsidR="005A0F6D" w:rsidRDefault="00D24CEF">
            <w:pPr>
              <w:jc w:val="center"/>
            </w:pPr>
            <w:r>
              <w:rPr>
                <w:color w:val="000000"/>
                <w:sz w:val="24"/>
              </w:rPr>
              <w:t>0.01%</w:t>
            </w:r>
          </w:p>
        </w:tc>
        <w:tc>
          <w:tcPr>
            <w:tcW w:w="1250" w:type="dxa"/>
            <w:vAlign w:val="center"/>
          </w:tcPr>
          <w:p w:rsidR="005A0F6D" w:rsidRDefault="00D24CEF">
            <w:pPr>
              <w:jc w:val="center"/>
            </w:pPr>
            <w:r>
              <w:rPr>
                <w:color w:val="000000"/>
                <w:sz w:val="24"/>
              </w:rPr>
              <w:t>0.58%</w:t>
            </w:r>
          </w:p>
        </w:tc>
        <w:tc>
          <w:tcPr>
            <w:tcW w:w="1250" w:type="dxa"/>
            <w:vAlign w:val="center"/>
          </w:tcPr>
          <w:p w:rsidR="005A0F6D" w:rsidRDefault="00D24CEF">
            <w:pPr>
              <w:jc w:val="center"/>
            </w:pPr>
            <w:r>
              <w:rPr>
                <w:color w:val="000000"/>
                <w:sz w:val="24"/>
              </w:rPr>
              <w:t>0.05%</w:t>
            </w:r>
          </w:p>
        </w:tc>
      </w:tr>
      <w:tr w:rsidR="005A0F6D">
        <w:tc>
          <w:tcPr>
            <w:tcW w:w="1497" w:type="dxa"/>
            <w:vAlign w:val="center"/>
          </w:tcPr>
          <w:p w:rsidR="005A0F6D" w:rsidRDefault="00D24CEF">
            <w:pPr>
              <w:jc w:val="left"/>
            </w:pPr>
            <w:r>
              <w:rPr>
                <w:color w:val="000000"/>
                <w:sz w:val="24"/>
              </w:rPr>
              <w:t>过去三个月</w:t>
            </w:r>
          </w:p>
        </w:tc>
        <w:tc>
          <w:tcPr>
            <w:tcW w:w="1251" w:type="dxa"/>
            <w:vAlign w:val="center"/>
          </w:tcPr>
          <w:p w:rsidR="005A0F6D" w:rsidRDefault="00D24CEF">
            <w:pPr>
              <w:jc w:val="center"/>
            </w:pPr>
            <w:r>
              <w:rPr>
                <w:color w:val="000000"/>
                <w:sz w:val="24"/>
              </w:rPr>
              <w:t>0.09%</w:t>
            </w:r>
          </w:p>
        </w:tc>
        <w:tc>
          <w:tcPr>
            <w:tcW w:w="1250" w:type="dxa"/>
            <w:vAlign w:val="center"/>
          </w:tcPr>
          <w:p w:rsidR="005A0F6D" w:rsidRDefault="00D24CEF">
            <w:pPr>
              <w:jc w:val="center"/>
            </w:pPr>
            <w:r>
              <w:rPr>
                <w:color w:val="000000"/>
                <w:sz w:val="24"/>
              </w:rPr>
              <w:t>0.08%</w:t>
            </w:r>
          </w:p>
        </w:tc>
        <w:tc>
          <w:tcPr>
            <w:tcW w:w="1250" w:type="dxa"/>
            <w:vAlign w:val="center"/>
          </w:tcPr>
          <w:p w:rsidR="005A0F6D" w:rsidRDefault="00D24CEF">
            <w:pPr>
              <w:jc w:val="center"/>
            </w:pPr>
            <w:r>
              <w:rPr>
                <w:color w:val="000000"/>
                <w:sz w:val="24"/>
              </w:rPr>
              <w:t>0.85%</w:t>
            </w:r>
          </w:p>
        </w:tc>
        <w:tc>
          <w:tcPr>
            <w:tcW w:w="1250" w:type="dxa"/>
            <w:vAlign w:val="center"/>
          </w:tcPr>
          <w:p w:rsidR="005A0F6D" w:rsidRDefault="00D24CEF">
            <w:pPr>
              <w:jc w:val="center"/>
            </w:pPr>
            <w:r>
              <w:rPr>
                <w:color w:val="000000"/>
                <w:sz w:val="24"/>
              </w:rPr>
              <w:t>0.01%</w:t>
            </w:r>
          </w:p>
        </w:tc>
        <w:tc>
          <w:tcPr>
            <w:tcW w:w="1250" w:type="dxa"/>
            <w:vAlign w:val="center"/>
          </w:tcPr>
          <w:p w:rsidR="005A0F6D" w:rsidRDefault="00D24CEF">
            <w:pPr>
              <w:jc w:val="center"/>
            </w:pPr>
            <w:r>
              <w:rPr>
                <w:color w:val="000000"/>
                <w:sz w:val="24"/>
              </w:rPr>
              <w:t>-0.76%</w:t>
            </w:r>
          </w:p>
        </w:tc>
        <w:tc>
          <w:tcPr>
            <w:tcW w:w="1250" w:type="dxa"/>
            <w:vAlign w:val="center"/>
          </w:tcPr>
          <w:p w:rsidR="005A0F6D" w:rsidRDefault="00D24CEF">
            <w:pPr>
              <w:jc w:val="center"/>
            </w:pPr>
            <w:r>
              <w:rPr>
                <w:color w:val="000000"/>
                <w:sz w:val="24"/>
              </w:rPr>
              <w:t>0.07%</w:t>
            </w:r>
          </w:p>
        </w:tc>
      </w:tr>
      <w:tr w:rsidR="005A0F6D">
        <w:tc>
          <w:tcPr>
            <w:tcW w:w="1497" w:type="dxa"/>
            <w:vAlign w:val="center"/>
          </w:tcPr>
          <w:p w:rsidR="005A0F6D" w:rsidRDefault="00D24CEF">
            <w:pPr>
              <w:jc w:val="left"/>
            </w:pPr>
            <w:r>
              <w:rPr>
                <w:color w:val="000000"/>
                <w:sz w:val="24"/>
              </w:rPr>
              <w:t>过去六个月</w:t>
            </w:r>
          </w:p>
        </w:tc>
        <w:tc>
          <w:tcPr>
            <w:tcW w:w="1251" w:type="dxa"/>
            <w:vAlign w:val="center"/>
          </w:tcPr>
          <w:p w:rsidR="005A0F6D" w:rsidRDefault="00D24CEF">
            <w:pPr>
              <w:jc w:val="center"/>
            </w:pPr>
            <w:r>
              <w:rPr>
                <w:color w:val="000000"/>
                <w:sz w:val="24"/>
              </w:rPr>
              <w:t>1.78%</w:t>
            </w:r>
          </w:p>
        </w:tc>
        <w:tc>
          <w:tcPr>
            <w:tcW w:w="1250" w:type="dxa"/>
            <w:vAlign w:val="center"/>
          </w:tcPr>
          <w:p w:rsidR="005A0F6D" w:rsidRDefault="00D24CEF">
            <w:pPr>
              <w:jc w:val="center"/>
            </w:pPr>
            <w:r>
              <w:rPr>
                <w:color w:val="000000"/>
                <w:sz w:val="24"/>
              </w:rPr>
              <w:t>0.09%</w:t>
            </w:r>
          </w:p>
        </w:tc>
        <w:tc>
          <w:tcPr>
            <w:tcW w:w="1250" w:type="dxa"/>
            <w:vAlign w:val="center"/>
          </w:tcPr>
          <w:p w:rsidR="005A0F6D" w:rsidRDefault="00D24CEF">
            <w:pPr>
              <w:jc w:val="center"/>
            </w:pPr>
            <w:r>
              <w:rPr>
                <w:color w:val="000000"/>
                <w:sz w:val="24"/>
              </w:rPr>
              <w:t>1.69%</w:t>
            </w:r>
          </w:p>
        </w:tc>
        <w:tc>
          <w:tcPr>
            <w:tcW w:w="1250" w:type="dxa"/>
            <w:vAlign w:val="center"/>
          </w:tcPr>
          <w:p w:rsidR="005A0F6D" w:rsidRDefault="00D24CEF">
            <w:pPr>
              <w:jc w:val="center"/>
            </w:pPr>
            <w:r>
              <w:rPr>
                <w:color w:val="000000"/>
                <w:sz w:val="24"/>
              </w:rPr>
              <w:t>0.01%</w:t>
            </w:r>
          </w:p>
        </w:tc>
        <w:tc>
          <w:tcPr>
            <w:tcW w:w="1250" w:type="dxa"/>
            <w:vAlign w:val="center"/>
          </w:tcPr>
          <w:p w:rsidR="005A0F6D" w:rsidRDefault="00D24CEF">
            <w:pPr>
              <w:jc w:val="center"/>
            </w:pPr>
            <w:r>
              <w:rPr>
                <w:color w:val="000000"/>
                <w:sz w:val="24"/>
              </w:rPr>
              <w:t>0.09%</w:t>
            </w:r>
          </w:p>
        </w:tc>
        <w:tc>
          <w:tcPr>
            <w:tcW w:w="1250" w:type="dxa"/>
            <w:vAlign w:val="center"/>
          </w:tcPr>
          <w:p w:rsidR="005A0F6D" w:rsidRDefault="00D24CEF">
            <w:pPr>
              <w:jc w:val="center"/>
            </w:pPr>
            <w:r>
              <w:rPr>
                <w:color w:val="000000"/>
                <w:sz w:val="24"/>
              </w:rPr>
              <w:t>0.08%</w:t>
            </w:r>
          </w:p>
        </w:tc>
      </w:tr>
      <w:tr w:rsidR="005A0F6D">
        <w:tc>
          <w:tcPr>
            <w:tcW w:w="1497" w:type="dxa"/>
            <w:vAlign w:val="center"/>
          </w:tcPr>
          <w:p w:rsidR="005A0F6D" w:rsidRDefault="00D24CEF">
            <w:pPr>
              <w:jc w:val="left"/>
            </w:pPr>
            <w:r>
              <w:rPr>
                <w:color w:val="000000"/>
                <w:sz w:val="24"/>
              </w:rPr>
              <w:t>过去一年</w:t>
            </w:r>
          </w:p>
        </w:tc>
        <w:tc>
          <w:tcPr>
            <w:tcW w:w="1251" w:type="dxa"/>
            <w:vAlign w:val="center"/>
          </w:tcPr>
          <w:p w:rsidR="005A0F6D" w:rsidRDefault="00D24CEF">
            <w:pPr>
              <w:jc w:val="center"/>
            </w:pPr>
            <w:r>
              <w:rPr>
                <w:color w:val="000000"/>
                <w:sz w:val="24"/>
              </w:rPr>
              <w:t>8.04%</w:t>
            </w:r>
          </w:p>
        </w:tc>
        <w:tc>
          <w:tcPr>
            <w:tcW w:w="1250" w:type="dxa"/>
            <w:vAlign w:val="center"/>
          </w:tcPr>
          <w:p w:rsidR="005A0F6D" w:rsidRDefault="00D24CEF">
            <w:pPr>
              <w:jc w:val="center"/>
            </w:pPr>
            <w:r>
              <w:rPr>
                <w:color w:val="000000"/>
                <w:sz w:val="24"/>
              </w:rPr>
              <w:t>0.09%</w:t>
            </w:r>
          </w:p>
        </w:tc>
        <w:tc>
          <w:tcPr>
            <w:tcW w:w="1250" w:type="dxa"/>
            <w:vAlign w:val="center"/>
          </w:tcPr>
          <w:p w:rsidR="005A0F6D" w:rsidRDefault="00D24CEF">
            <w:pPr>
              <w:jc w:val="center"/>
            </w:pPr>
            <w:r>
              <w:rPr>
                <w:color w:val="000000"/>
                <w:sz w:val="24"/>
              </w:rPr>
              <w:t>3.52%</w:t>
            </w:r>
          </w:p>
        </w:tc>
        <w:tc>
          <w:tcPr>
            <w:tcW w:w="1250" w:type="dxa"/>
            <w:vAlign w:val="center"/>
          </w:tcPr>
          <w:p w:rsidR="005A0F6D" w:rsidRDefault="00D24CEF">
            <w:pPr>
              <w:jc w:val="center"/>
            </w:pPr>
            <w:r>
              <w:rPr>
                <w:color w:val="000000"/>
                <w:sz w:val="24"/>
              </w:rPr>
              <w:t>0.01%</w:t>
            </w:r>
          </w:p>
        </w:tc>
        <w:tc>
          <w:tcPr>
            <w:tcW w:w="1250" w:type="dxa"/>
            <w:vAlign w:val="center"/>
          </w:tcPr>
          <w:p w:rsidR="005A0F6D" w:rsidRDefault="00D24CEF">
            <w:pPr>
              <w:jc w:val="center"/>
            </w:pPr>
            <w:r>
              <w:rPr>
                <w:color w:val="000000"/>
                <w:sz w:val="24"/>
              </w:rPr>
              <w:t>4.52%</w:t>
            </w:r>
          </w:p>
        </w:tc>
        <w:tc>
          <w:tcPr>
            <w:tcW w:w="1250" w:type="dxa"/>
            <w:vAlign w:val="center"/>
          </w:tcPr>
          <w:p w:rsidR="005A0F6D" w:rsidRDefault="00D24CEF">
            <w:pPr>
              <w:jc w:val="center"/>
            </w:pPr>
            <w:r>
              <w:rPr>
                <w:color w:val="000000"/>
                <w:sz w:val="24"/>
              </w:rPr>
              <w:t>0.08%</w:t>
            </w:r>
          </w:p>
        </w:tc>
      </w:tr>
      <w:tr w:rsidR="005A0F6D">
        <w:tc>
          <w:tcPr>
            <w:tcW w:w="1497" w:type="dxa"/>
            <w:vAlign w:val="center"/>
          </w:tcPr>
          <w:p w:rsidR="005A0F6D" w:rsidRDefault="00D24CEF">
            <w:pPr>
              <w:jc w:val="left"/>
            </w:pPr>
            <w:r>
              <w:rPr>
                <w:color w:val="000000"/>
                <w:sz w:val="24"/>
              </w:rPr>
              <w:t>自基金合同生效起至今</w:t>
            </w:r>
          </w:p>
        </w:tc>
        <w:tc>
          <w:tcPr>
            <w:tcW w:w="1251" w:type="dxa"/>
            <w:vAlign w:val="center"/>
          </w:tcPr>
          <w:p w:rsidR="005A0F6D" w:rsidRDefault="00D24CEF">
            <w:pPr>
              <w:jc w:val="center"/>
            </w:pPr>
            <w:r>
              <w:rPr>
                <w:color w:val="000000"/>
                <w:sz w:val="24"/>
              </w:rPr>
              <w:t>12.57%</w:t>
            </w:r>
          </w:p>
        </w:tc>
        <w:tc>
          <w:tcPr>
            <w:tcW w:w="1250" w:type="dxa"/>
            <w:vAlign w:val="center"/>
          </w:tcPr>
          <w:p w:rsidR="005A0F6D" w:rsidRDefault="00D24CEF">
            <w:pPr>
              <w:jc w:val="center"/>
            </w:pPr>
            <w:r>
              <w:rPr>
                <w:color w:val="000000"/>
                <w:sz w:val="24"/>
              </w:rPr>
              <w:t>0.09%</w:t>
            </w:r>
          </w:p>
        </w:tc>
        <w:tc>
          <w:tcPr>
            <w:tcW w:w="1250" w:type="dxa"/>
            <w:vAlign w:val="center"/>
          </w:tcPr>
          <w:p w:rsidR="005A0F6D" w:rsidRDefault="00D24CEF">
            <w:pPr>
              <w:jc w:val="center"/>
            </w:pPr>
            <w:r>
              <w:rPr>
                <w:color w:val="000000"/>
                <w:sz w:val="24"/>
              </w:rPr>
              <w:t>5.34%</w:t>
            </w:r>
          </w:p>
        </w:tc>
        <w:tc>
          <w:tcPr>
            <w:tcW w:w="1250" w:type="dxa"/>
            <w:vAlign w:val="center"/>
          </w:tcPr>
          <w:p w:rsidR="005A0F6D" w:rsidRDefault="00D24CEF">
            <w:pPr>
              <w:jc w:val="center"/>
            </w:pPr>
            <w:r>
              <w:rPr>
                <w:color w:val="000000"/>
                <w:sz w:val="24"/>
              </w:rPr>
              <w:t>0.01%</w:t>
            </w:r>
          </w:p>
        </w:tc>
        <w:tc>
          <w:tcPr>
            <w:tcW w:w="1250" w:type="dxa"/>
            <w:vAlign w:val="center"/>
          </w:tcPr>
          <w:p w:rsidR="005A0F6D" w:rsidRDefault="00D24CEF">
            <w:pPr>
              <w:jc w:val="center"/>
            </w:pPr>
            <w:r>
              <w:rPr>
                <w:color w:val="000000"/>
                <w:sz w:val="24"/>
              </w:rPr>
              <w:t>7.23%</w:t>
            </w:r>
          </w:p>
        </w:tc>
        <w:tc>
          <w:tcPr>
            <w:tcW w:w="1250" w:type="dxa"/>
            <w:vAlign w:val="center"/>
          </w:tcPr>
          <w:p w:rsidR="005A0F6D" w:rsidRDefault="00D24CEF">
            <w:pPr>
              <w:jc w:val="center"/>
            </w:pPr>
            <w:r>
              <w:rPr>
                <w:color w:val="000000"/>
                <w:sz w:val="24"/>
              </w:rPr>
              <w:t>0.08%</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注：本基金业绩比较基准为两年期银行定期存款税后收益率</w:t>
      </w:r>
      <w:r w:rsidRPr="005C672D">
        <w:rPr>
          <w:kern w:val="0"/>
          <w:sz w:val="24"/>
        </w:rPr>
        <w:t>+1.25%</w:t>
      </w:r>
      <w:r w:rsidRPr="005C672D">
        <w:rPr>
          <w:kern w:val="0"/>
          <w:sz w:val="24"/>
        </w:rPr>
        <w:t>。</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交银施罗德丰泽收益债券型证券投资基金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2015</w:t>
      </w:r>
      <w:r w:rsidR="001548F9" w:rsidRPr="005C672D">
        <w:rPr>
          <w:rFonts w:ascii="Times New Roman" w:hAnsi="Times New Roman"/>
          <w:sz w:val="24"/>
          <w:szCs w:val="24"/>
        </w:rPr>
        <w:t>年</w:t>
      </w:r>
      <w:r w:rsidR="001548F9" w:rsidRPr="005C672D">
        <w:rPr>
          <w:rFonts w:ascii="Times New Roman" w:hAnsi="Times New Roman"/>
          <w:sz w:val="24"/>
          <w:szCs w:val="24"/>
        </w:rPr>
        <w:t>1</w:t>
      </w:r>
      <w:r w:rsidR="001548F9" w:rsidRPr="005C672D">
        <w:rPr>
          <w:rFonts w:ascii="Times New Roman" w:hAnsi="Times New Roman"/>
          <w:sz w:val="24"/>
          <w:szCs w:val="24"/>
        </w:rPr>
        <w:t>月</w:t>
      </w:r>
      <w:r w:rsidR="001548F9" w:rsidRPr="005C672D">
        <w:rPr>
          <w:rFonts w:ascii="Times New Roman" w:hAnsi="Times New Roman"/>
          <w:sz w:val="24"/>
          <w:szCs w:val="24"/>
        </w:rPr>
        <w:t>30</w:t>
      </w:r>
      <w:r w:rsidR="001548F9" w:rsidRPr="005C672D">
        <w:rPr>
          <w:rFonts w:ascii="Times New Roman" w:hAnsi="Times New Roman"/>
          <w:sz w:val="24"/>
          <w:szCs w:val="24"/>
        </w:rPr>
        <w:t>日至</w:t>
      </w:r>
      <w:r w:rsidRPr="005C672D">
        <w:rPr>
          <w:rFonts w:ascii="Times New Roman" w:hAnsi="Times New Roman"/>
          <w:sz w:val="24"/>
          <w:szCs w:val="24"/>
        </w:rPr>
        <w:t>2016</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14:anchorId="2D0E2B1A" wp14:editId="13984E1A">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注：本基金基金合同生效日为</w:t>
      </w:r>
      <w:r w:rsidRPr="005C672D">
        <w:rPr>
          <w:kern w:val="0"/>
          <w:sz w:val="24"/>
        </w:rPr>
        <w:t>2015</w:t>
      </w:r>
      <w:r w:rsidRPr="005C672D">
        <w:rPr>
          <w:kern w:val="0"/>
          <w:sz w:val="24"/>
        </w:rPr>
        <w:t>年</w:t>
      </w:r>
      <w:r w:rsidRPr="005C672D">
        <w:rPr>
          <w:kern w:val="0"/>
          <w:sz w:val="24"/>
        </w:rPr>
        <w:t>1</w:t>
      </w:r>
      <w:r w:rsidRPr="005C672D">
        <w:rPr>
          <w:kern w:val="0"/>
          <w:sz w:val="24"/>
        </w:rPr>
        <w:t>月</w:t>
      </w:r>
      <w:r w:rsidRPr="005C672D">
        <w:rPr>
          <w:kern w:val="0"/>
          <w:sz w:val="24"/>
        </w:rPr>
        <w:t>30</w:t>
      </w:r>
      <w:r w:rsidRPr="005C672D">
        <w:rPr>
          <w:kern w:val="0"/>
          <w:sz w:val="24"/>
        </w:rPr>
        <w:t>日，截至报告期期末，本基金已完成建仓但报告期期末距建仓结束未满一年。本基金建仓期为自基金合同生效日起的</w:t>
      </w:r>
      <w:r w:rsidRPr="005C672D">
        <w:rPr>
          <w:kern w:val="0"/>
          <w:sz w:val="24"/>
        </w:rPr>
        <w:t>6</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0B63EC">
      <w:pPr>
        <w:pStyle w:val="1"/>
        <w:keepNext/>
        <w:keepLines/>
        <w:widowControl w:val="0"/>
        <w:spacing w:beforeLines="100" w:before="312" w:afterLines="100" w:after="312" w:line="288" w:lineRule="auto"/>
        <w:jc w:val="center"/>
        <w:rPr>
          <w:b/>
          <w:bCs/>
          <w:szCs w:val="24"/>
          <w:lang w:val="en-US"/>
        </w:rPr>
      </w:pPr>
      <w:bookmarkStart w:id="19" w:name="_Toc331410078"/>
      <w:bookmarkStart w:id="20" w:name="_Toc225498254"/>
      <w:r w:rsidRPr="005C672D">
        <w:rPr>
          <w:b/>
          <w:bCs/>
          <w:szCs w:val="24"/>
          <w:lang w:val="en-US"/>
        </w:rPr>
        <w:t xml:space="preserve">4  </w:t>
      </w:r>
      <w:r w:rsidRPr="005C672D">
        <w:rPr>
          <w:b/>
          <w:bCs/>
          <w:szCs w:val="24"/>
          <w:lang w:val="en-US"/>
        </w:rPr>
        <w:t>管理人报告</w:t>
      </w:r>
      <w:bookmarkEnd w:id="19"/>
      <w:bookmarkEnd w:id="20"/>
    </w:p>
    <w:p w:rsidR="001548F9" w:rsidRPr="005C672D" w:rsidRDefault="001548F9" w:rsidP="00AC6DDA">
      <w:pPr>
        <w:pStyle w:val="20"/>
        <w:spacing w:before="29" w:after="0" w:line="288" w:lineRule="auto"/>
        <w:rPr>
          <w:rFonts w:ascii="Times New Roman" w:hAnsi="Times New Roman"/>
          <w:kern w:val="0"/>
          <w:szCs w:val="24"/>
        </w:rPr>
      </w:pPr>
      <w:bookmarkStart w:id="21"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5A0F6D" w:rsidRDefault="00D24CEF">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截至报告期末，公司管理了包括货币型、债券型、保本混合型、普通混合型和股票型在内的</w:t>
      </w:r>
      <w:r w:rsidRPr="005C672D">
        <w:rPr>
          <w:color w:val="000000"/>
          <w:sz w:val="24"/>
        </w:rPr>
        <w:t>54</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5A0F6D">
        <w:tc>
          <w:tcPr>
            <w:tcW w:w="1033" w:type="dxa"/>
            <w:vAlign w:val="center"/>
          </w:tcPr>
          <w:p w:rsidR="005A0F6D" w:rsidRDefault="00D24CEF">
            <w:pPr>
              <w:jc w:val="center"/>
            </w:pPr>
            <w:r>
              <w:rPr>
                <w:color w:val="000000"/>
                <w:sz w:val="24"/>
              </w:rPr>
              <w:t>孙超</w:t>
            </w:r>
          </w:p>
        </w:tc>
        <w:tc>
          <w:tcPr>
            <w:tcW w:w="1416" w:type="dxa"/>
            <w:vAlign w:val="center"/>
          </w:tcPr>
          <w:p w:rsidR="005A0F6D" w:rsidRDefault="00D24CEF">
            <w:pPr>
              <w:jc w:val="center"/>
            </w:pPr>
            <w:r>
              <w:rPr>
                <w:color w:val="000000"/>
                <w:sz w:val="24"/>
              </w:rPr>
              <w:t>交银增利债券、交银纯债债券发起、交银荣祥保本混合、交银荣泰保本混合、交银定期支付月月丰债券、交银强化回报债券、交银丰润收益债券、交银丰享收益债券、交银丰泽收益债券、交银丰硕收益债券、交银荣鑫保本混合的基金经理</w:t>
            </w:r>
          </w:p>
        </w:tc>
        <w:tc>
          <w:tcPr>
            <w:tcW w:w="1126" w:type="dxa"/>
            <w:vAlign w:val="center"/>
          </w:tcPr>
          <w:p w:rsidR="005A0F6D" w:rsidRDefault="00D24CEF">
            <w:pPr>
              <w:jc w:val="center"/>
            </w:pPr>
            <w:r>
              <w:rPr>
                <w:color w:val="000000"/>
                <w:sz w:val="24"/>
              </w:rPr>
              <w:t>2015-01-30</w:t>
            </w:r>
          </w:p>
        </w:tc>
        <w:tc>
          <w:tcPr>
            <w:tcW w:w="1192" w:type="dxa"/>
            <w:vAlign w:val="center"/>
          </w:tcPr>
          <w:p w:rsidR="005A0F6D" w:rsidRDefault="00D24CEF">
            <w:pPr>
              <w:jc w:val="center"/>
            </w:pPr>
            <w:r>
              <w:rPr>
                <w:color w:val="000000"/>
                <w:sz w:val="24"/>
              </w:rPr>
              <w:t>-</w:t>
            </w:r>
          </w:p>
        </w:tc>
        <w:tc>
          <w:tcPr>
            <w:tcW w:w="1169" w:type="dxa"/>
            <w:vAlign w:val="center"/>
          </w:tcPr>
          <w:p w:rsidR="005A0F6D" w:rsidRDefault="00D24CEF">
            <w:pPr>
              <w:jc w:val="center"/>
            </w:pPr>
            <w:r>
              <w:rPr>
                <w:color w:val="000000"/>
                <w:sz w:val="24"/>
              </w:rPr>
              <w:t>5</w:t>
            </w:r>
            <w:r>
              <w:rPr>
                <w:color w:val="000000"/>
                <w:sz w:val="24"/>
              </w:rPr>
              <w:t>年</w:t>
            </w:r>
          </w:p>
        </w:tc>
        <w:tc>
          <w:tcPr>
            <w:tcW w:w="3062" w:type="dxa"/>
            <w:vAlign w:val="center"/>
          </w:tcPr>
          <w:p w:rsidR="005A0F6D" w:rsidRDefault="00D24CEF">
            <w:r>
              <w:rPr>
                <w:color w:val="000000"/>
                <w:sz w:val="24"/>
              </w:rPr>
              <w:t>孙超先生，美国哥伦比亚大学经济学硕士。历任中信建投证券股份有限公司资产管理部经理、高级经理。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日担任交银施罗德双轮动债券型证券投资基金基金经理。</w:t>
            </w:r>
          </w:p>
        </w:tc>
      </w:tr>
      <w:tr w:rsidR="005A0F6D">
        <w:tc>
          <w:tcPr>
            <w:tcW w:w="1033" w:type="dxa"/>
            <w:vAlign w:val="center"/>
          </w:tcPr>
          <w:p w:rsidR="005A0F6D" w:rsidRDefault="00D24CEF">
            <w:pPr>
              <w:jc w:val="center"/>
            </w:pPr>
            <w:r>
              <w:rPr>
                <w:color w:val="000000"/>
                <w:sz w:val="24"/>
              </w:rPr>
              <w:t>黄莹洁</w:t>
            </w:r>
          </w:p>
        </w:tc>
        <w:tc>
          <w:tcPr>
            <w:tcW w:w="1416" w:type="dxa"/>
            <w:vAlign w:val="center"/>
          </w:tcPr>
          <w:p w:rsidR="005A0F6D" w:rsidRDefault="00D24CEF">
            <w:pPr>
              <w:jc w:val="center"/>
            </w:pPr>
            <w:r>
              <w:rPr>
                <w:color w:val="000000"/>
                <w:sz w:val="24"/>
              </w:rPr>
              <w:t>交银货币、交银理财</w:t>
            </w:r>
            <w:r>
              <w:rPr>
                <w:color w:val="000000"/>
                <w:sz w:val="24"/>
              </w:rPr>
              <w:t>21</w:t>
            </w:r>
            <w:r>
              <w:rPr>
                <w:color w:val="000000"/>
                <w:sz w:val="24"/>
              </w:rPr>
              <w:t>天债券、交银现金宝货币、交银丰享收益债券、交银丰泽收益债券、交银裕通纯债债券的基金经理</w:t>
            </w:r>
          </w:p>
        </w:tc>
        <w:tc>
          <w:tcPr>
            <w:tcW w:w="1126" w:type="dxa"/>
            <w:vAlign w:val="center"/>
          </w:tcPr>
          <w:p w:rsidR="005A0F6D" w:rsidRDefault="00D24CEF">
            <w:pPr>
              <w:jc w:val="center"/>
            </w:pPr>
            <w:r>
              <w:rPr>
                <w:color w:val="000000"/>
                <w:sz w:val="24"/>
              </w:rPr>
              <w:t>2015-07-25</w:t>
            </w:r>
          </w:p>
        </w:tc>
        <w:tc>
          <w:tcPr>
            <w:tcW w:w="1192" w:type="dxa"/>
            <w:vAlign w:val="center"/>
          </w:tcPr>
          <w:p w:rsidR="005A0F6D" w:rsidRDefault="00D24CEF">
            <w:pPr>
              <w:jc w:val="center"/>
            </w:pPr>
            <w:r>
              <w:rPr>
                <w:color w:val="000000"/>
                <w:sz w:val="24"/>
              </w:rPr>
              <w:t>-</w:t>
            </w:r>
          </w:p>
        </w:tc>
        <w:tc>
          <w:tcPr>
            <w:tcW w:w="1169" w:type="dxa"/>
            <w:vAlign w:val="center"/>
          </w:tcPr>
          <w:p w:rsidR="005A0F6D" w:rsidRDefault="00D24CEF">
            <w:pPr>
              <w:jc w:val="center"/>
            </w:pPr>
            <w:r>
              <w:rPr>
                <w:color w:val="000000"/>
                <w:sz w:val="24"/>
              </w:rPr>
              <w:t>8</w:t>
            </w:r>
            <w:r>
              <w:rPr>
                <w:color w:val="000000"/>
                <w:sz w:val="24"/>
              </w:rPr>
              <w:t>年</w:t>
            </w:r>
          </w:p>
        </w:tc>
        <w:tc>
          <w:tcPr>
            <w:tcW w:w="3062" w:type="dxa"/>
            <w:vAlign w:val="center"/>
          </w:tcPr>
          <w:p w:rsidR="005A0F6D" w:rsidRDefault="00D24CEF">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p>
        </w:tc>
      </w:tr>
    </w:tbl>
    <w:p w:rsidR="005A0F6D" w:rsidRDefault="00D24CEF">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5A0F6D" w:rsidRDefault="00D24CEF">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2" w:name="_Toc331410080"/>
      <w:bookmarkStart w:id="23"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2"/>
      <w:bookmarkEnd w:id="23"/>
    </w:p>
    <w:p w:rsidR="005A0F6D" w:rsidRDefault="00D24CEF">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4" w:name="_Toc331410081"/>
      <w:bookmarkStart w:id="25"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4"/>
      <w:bookmarkEnd w:id="25"/>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5A0F6D" w:rsidRDefault="00D24CEF">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A0F6D" w:rsidRDefault="00D24CEF">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A0F6D" w:rsidRDefault="00D24CEF">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w:t>
      </w:r>
      <w:r w:rsidRPr="005C672D">
        <w:rPr>
          <w:color w:val="000000"/>
          <w:sz w:val="24"/>
        </w:rPr>
        <w:t>5%</w:t>
      </w:r>
      <w:r w:rsidRPr="005C672D">
        <w:rPr>
          <w:color w:val="000000"/>
          <w:sz w:val="24"/>
        </w:rPr>
        <w:t>的情况有</w:t>
      </w:r>
      <w:r w:rsidRPr="005C672D">
        <w:rPr>
          <w:color w:val="000000"/>
          <w:sz w:val="24"/>
        </w:rPr>
        <w:t>1</w:t>
      </w:r>
      <w:r w:rsidRPr="005C672D">
        <w:rPr>
          <w:color w:val="000000"/>
          <w:sz w:val="24"/>
        </w:rPr>
        <w:t>次，是投资组合在合规范围内因被动超标调整需要而发生同日反向交易，未发现不公平交易和利益输送的情况。本基金与本公司管理的其他投资组合在不同时间窗下（如日内、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日内）同向交易的交易价差未发现异常。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6" w:name="_Toc331410082"/>
      <w:bookmarkStart w:id="27"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6"/>
      <w:bookmarkEnd w:id="27"/>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5A0F6D" w:rsidRDefault="00D24CEF">
      <w:pPr>
        <w:spacing w:before="29" w:line="288" w:lineRule="auto"/>
        <w:ind w:firstLineChars="200" w:firstLine="480"/>
        <w:rPr>
          <w:color w:val="000000"/>
          <w:sz w:val="24"/>
        </w:rPr>
      </w:pPr>
      <w:r>
        <w:rPr>
          <w:color w:val="000000"/>
          <w:sz w:val="24"/>
        </w:rPr>
        <w:t>本报告期内，国内宏观经济整体上依然面临下行压力，央行加强短端利率波动管控，着重维持资金面平稳格局，虽然资金面整体偏宽松，但外汇占款持续流出、信贷扩张、银行</w:t>
      </w:r>
      <w:r>
        <w:rPr>
          <w:color w:val="000000"/>
          <w:sz w:val="24"/>
        </w:rPr>
        <w:t>MPA</w:t>
      </w:r>
      <w:r>
        <w:rPr>
          <w:color w:val="000000"/>
          <w:sz w:val="24"/>
        </w:rPr>
        <w:t>考核等因素使得流动性在边际上趋紧。利率债短端上行，长端小幅下行，收益率曲线平坦化，受信用事件频发的影响，信用债收益则以上行为主，低评级上行幅度更大，信用利差走阔。</w:t>
      </w:r>
    </w:p>
    <w:p w:rsidR="00C02A8F" w:rsidRPr="005C672D" w:rsidRDefault="00C02A8F" w:rsidP="00AC6DDA">
      <w:pPr>
        <w:spacing w:before="29" w:line="288" w:lineRule="auto"/>
        <w:ind w:firstLineChars="200" w:firstLine="480"/>
        <w:rPr>
          <w:color w:val="000000"/>
          <w:sz w:val="24"/>
        </w:rPr>
      </w:pPr>
      <w:r w:rsidRPr="005C672D">
        <w:rPr>
          <w:color w:val="000000"/>
          <w:sz w:val="24"/>
        </w:rPr>
        <w:t>基金操作方面，本基金以与封闭期适度匹配的债券配置进行杠杆操作，报告期内运作稳健。</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截至</w:t>
      </w:r>
      <w:r w:rsidRPr="005C672D">
        <w:rPr>
          <w:color w:val="000000"/>
          <w:sz w:val="24"/>
        </w:rPr>
        <w:t>2016</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日，本基金份额净值为</w:t>
      </w:r>
      <w:r w:rsidRPr="005C672D">
        <w:rPr>
          <w:color w:val="000000"/>
          <w:sz w:val="24"/>
        </w:rPr>
        <w:t>1.055</w:t>
      </w:r>
      <w:r w:rsidRPr="005C672D">
        <w:rPr>
          <w:color w:val="000000"/>
          <w:sz w:val="24"/>
        </w:rPr>
        <w:t>元，本报告期份额净值增长率为</w:t>
      </w:r>
      <w:r w:rsidRPr="005C672D">
        <w:rPr>
          <w:color w:val="000000"/>
          <w:sz w:val="24"/>
        </w:rPr>
        <w:t>1.78%</w:t>
      </w:r>
      <w:r w:rsidRPr="005C672D">
        <w:rPr>
          <w:color w:val="000000"/>
          <w:sz w:val="24"/>
        </w:rPr>
        <w:t>，同期业绩比较基准增长率为</w:t>
      </w:r>
      <w:r w:rsidRPr="005C672D">
        <w:rPr>
          <w:color w:val="000000"/>
          <w:sz w:val="24"/>
        </w:rPr>
        <w:t>1.69%</w:t>
      </w:r>
      <w:r w:rsidRPr="005C672D">
        <w:rPr>
          <w:color w:val="000000"/>
          <w:sz w:val="24"/>
        </w:rPr>
        <w:t>。</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8" w:name="_Toc331410083"/>
      <w:bookmarkStart w:id="29"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8"/>
      <w:bookmarkEnd w:id="29"/>
    </w:p>
    <w:p w:rsidR="001548F9" w:rsidRPr="005C672D" w:rsidRDefault="001548F9" w:rsidP="00AC6DDA">
      <w:pPr>
        <w:spacing w:before="29" w:line="288" w:lineRule="auto"/>
        <w:ind w:firstLineChars="200" w:firstLine="480"/>
        <w:rPr>
          <w:color w:val="000000"/>
          <w:sz w:val="24"/>
        </w:rPr>
      </w:pPr>
      <w:r w:rsidRPr="005C672D">
        <w:rPr>
          <w:color w:val="000000"/>
          <w:sz w:val="24"/>
        </w:rPr>
        <w:t>展望下半年，判断中国内在的经济增长动能仍处于下降通道，未来可能低位波动。考虑到货币政策对经济拉动的边际效用在递减，货币政策大幅宽松的可能性较小，央行仍将继续维持资金面平稳格局。考虑到经济基本面偏弱，资金面平稳，下半年债券到期量较大，机构面临配置压力，债券收益率或有一定的下行空间。组合管理方面，本基金计划将维持现有仓位配置，努力为投资者创造稳健的收益回报。</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0" w:name="_Toc331410085"/>
      <w:bookmarkStart w:id="31" w:name="_Toc247959457"/>
      <w:bookmarkStart w:id="32"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30"/>
      <w:bookmarkEnd w:id="31"/>
      <w:bookmarkEnd w:id="32"/>
    </w:p>
    <w:p w:rsidR="005A0F6D" w:rsidRDefault="00D24CEF">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5A0F6D" w:rsidRDefault="00D24CEF">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3" w:name="_Toc331410086"/>
      <w:bookmarkStart w:id="34" w:name="_Toc247959458"/>
      <w:bookmarkStart w:id="35"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3"/>
      <w:bookmarkEnd w:id="34"/>
      <w:bookmarkEnd w:id="35"/>
    </w:p>
    <w:p w:rsidR="005A0F6D" w:rsidRDefault="00D24CEF">
      <w:pPr>
        <w:spacing w:before="29" w:line="288" w:lineRule="auto"/>
        <w:ind w:firstLineChars="200" w:firstLine="480"/>
        <w:rPr>
          <w:color w:val="000000"/>
          <w:sz w:val="24"/>
        </w:rPr>
      </w:pPr>
      <w:r>
        <w:rPr>
          <w:color w:val="000000"/>
          <w:sz w:val="24"/>
        </w:rPr>
        <w:t>根据相关法律法规和基金合同要求，本基金本报告期内对上一年度应分配的可分配利润进行了收益分配，具体情况参见半年度报告正文</w:t>
      </w:r>
      <w:r>
        <w:rPr>
          <w:color w:val="000000"/>
          <w:sz w:val="24"/>
        </w:rPr>
        <w:t>6.4.11</w:t>
      </w:r>
      <w:r>
        <w:rPr>
          <w:color w:val="000000"/>
          <w:sz w:val="24"/>
        </w:rPr>
        <w:t>利润分配情况。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本基金未对本报告期内利润进行分配。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r w:rsidRPr="005C672D">
        <w:rPr>
          <w:kern w:val="0"/>
          <w:sz w:val="24"/>
        </w:rPr>
        <w:t xml:space="preserve"> </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0B63EC">
      <w:pPr>
        <w:pStyle w:val="1"/>
        <w:keepNext/>
        <w:keepLines/>
        <w:widowControl w:val="0"/>
        <w:spacing w:beforeLines="100" w:before="312" w:afterLines="100" w:after="312" w:line="288" w:lineRule="auto"/>
        <w:jc w:val="center"/>
        <w:rPr>
          <w:b/>
          <w:bCs/>
          <w:szCs w:val="24"/>
          <w:lang w:val="en-US"/>
        </w:rPr>
      </w:pPr>
      <w:bookmarkStart w:id="36" w:name="_Toc331410088"/>
      <w:bookmarkStart w:id="37" w:name="_Toc225498263"/>
      <w:r w:rsidRPr="005C672D">
        <w:rPr>
          <w:b/>
          <w:bCs/>
          <w:szCs w:val="24"/>
          <w:lang w:val="en-US"/>
        </w:rPr>
        <w:t xml:space="preserve">5  </w:t>
      </w:r>
      <w:r w:rsidRPr="005C672D">
        <w:rPr>
          <w:b/>
          <w:bCs/>
          <w:szCs w:val="24"/>
          <w:lang w:val="en-US"/>
        </w:rPr>
        <w:t>托管人报告</w:t>
      </w:r>
      <w:bookmarkEnd w:id="36"/>
      <w:bookmarkEnd w:id="37"/>
    </w:p>
    <w:p w:rsidR="001548F9" w:rsidRPr="005C672D" w:rsidRDefault="001548F9" w:rsidP="00AC6DDA">
      <w:pPr>
        <w:pStyle w:val="20"/>
        <w:spacing w:before="29" w:after="0" w:line="288" w:lineRule="auto"/>
        <w:rPr>
          <w:rFonts w:ascii="Times New Roman" w:hAnsi="Times New Roman"/>
          <w:kern w:val="0"/>
          <w:szCs w:val="24"/>
        </w:rPr>
      </w:pPr>
      <w:bookmarkStart w:id="38" w:name="_Toc331410089"/>
      <w:bookmarkStart w:id="39"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8"/>
      <w:bookmarkEnd w:id="39"/>
    </w:p>
    <w:p w:rsidR="001548F9" w:rsidRPr="005C672D" w:rsidRDefault="001548F9" w:rsidP="00AC6DDA">
      <w:pPr>
        <w:spacing w:before="29" w:line="288" w:lineRule="auto"/>
        <w:ind w:firstLineChars="200" w:firstLine="480"/>
        <w:rPr>
          <w:color w:val="000000"/>
          <w:sz w:val="24"/>
        </w:rPr>
      </w:pPr>
      <w:r w:rsidRPr="005C672D">
        <w:rPr>
          <w:color w:val="000000"/>
          <w:sz w:val="24"/>
        </w:rPr>
        <w:t>自</w:t>
      </w:r>
      <w:r w:rsidRPr="005C672D">
        <w:rPr>
          <w:color w:val="000000"/>
          <w:sz w:val="24"/>
        </w:rPr>
        <w:t>2015</w:t>
      </w:r>
      <w:r w:rsidRPr="005C672D">
        <w:rPr>
          <w:color w:val="000000"/>
          <w:sz w:val="24"/>
        </w:rPr>
        <w:t>年</w:t>
      </w:r>
      <w:r w:rsidRPr="005C672D">
        <w:rPr>
          <w:color w:val="000000"/>
          <w:sz w:val="24"/>
        </w:rPr>
        <w:t>1</w:t>
      </w:r>
      <w:r w:rsidRPr="005C672D">
        <w:rPr>
          <w:color w:val="000000"/>
          <w:sz w:val="24"/>
        </w:rPr>
        <w:t>月</w:t>
      </w:r>
      <w:r w:rsidRPr="005C672D">
        <w:rPr>
          <w:color w:val="000000"/>
          <w:sz w:val="24"/>
        </w:rPr>
        <w:t>30</w:t>
      </w:r>
      <w:r w:rsidRPr="005C672D">
        <w:rPr>
          <w:color w:val="000000"/>
          <w:sz w:val="24"/>
        </w:rPr>
        <w:t>日交银施罗德丰泽收益债券型证券投资基金（以下简称</w:t>
      </w:r>
      <w:r w:rsidRPr="005C672D">
        <w:rPr>
          <w:color w:val="000000"/>
          <w:sz w:val="24"/>
        </w:rPr>
        <w:t>“</w:t>
      </w:r>
      <w:r w:rsidRPr="005C672D">
        <w:rPr>
          <w:color w:val="000000"/>
          <w:sz w:val="24"/>
        </w:rPr>
        <w:t>本基金</w:t>
      </w:r>
      <w:r w:rsidRPr="005C672D">
        <w:rPr>
          <w:color w:val="000000"/>
          <w:sz w:val="24"/>
        </w:rPr>
        <w:t>”</w:t>
      </w:r>
      <w:r w:rsidRPr="005C672D">
        <w:rPr>
          <w:color w:val="000000"/>
          <w:sz w:val="24"/>
        </w:rPr>
        <w:t>）成立以来，作为本基金的托管人，中信银行严格遵守了《证券投资基金法》及其他有关法律法规、基金合同和托管协议的规定，尽职尽责地履行了托管人应尽的义务，不存在任何损害基金份额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0" w:name="_Toc225498265"/>
      <w:bookmarkStart w:id="41"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40"/>
      <w:r w:rsidRPr="005C672D">
        <w:rPr>
          <w:rFonts w:ascii="Times New Roman" w:hAnsi="Times New Roman"/>
          <w:kern w:val="0"/>
          <w:szCs w:val="24"/>
        </w:rPr>
        <w:t>说明</w:t>
      </w:r>
      <w:bookmarkEnd w:id="41"/>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报告期内，本托管人按照国家有关法律法规、基金合同和托管协议要求，对基金管理人</w:t>
      </w:r>
      <w:r w:rsidRPr="005C672D">
        <w:rPr>
          <w:color w:val="000000"/>
          <w:sz w:val="24"/>
        </w:rPr>
        <w:t>——</w:t>
      </w:r>
      <w:r w:rsidRPr="005C672D">
        <w:rPr>
          <w:color w:val="000000"/>
          <w:sz w:val="24"/>
        </w:rPr>
        <w:t>交银施罗德基金管理有限公司在本基金投资运作方面进行了监督，对基金资产净值计算、基金份额申购赎回价格的计算、基金费用开支等方面进行了认真的复核，未发现基金管理人有损害基金份额持有人利益的行为。本报告期，本基金进行了一次利润分配，经本托管人复核，符合合同相关要求，不存在损害持有人利益的情况。</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2" w:name="_Toc331410091"/>
      <w:bookmarkStart w:id="43"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2"/>
      <w:bookmarkEnd w:id="43"/>
    </w:p>
    <w:p w:rsidR="001548F9" w:rsidRPr="005C672D" w:rsidRDefault="001548F9" w:rsidP="00AC6DDA">
      <w:pPr>
        <w:spacing w:before="29" w:line="288" w:lineRule="auto"/>
        <w:ind w:firstLineChars="200" w:firstLine="480"/>
        <w:rPr>
          <w:color w:val="000000"/>
          <w:sz w:val="24"/>
        </w:rPr>
      </w:pPr>
      <w:r w:rsidRPr="005C672D">
        <w:rPr>
          <w:color w:val="000000"/>
          <w:sz w:val="24"/>
        </w:rPr>
        <w:t>由本基金管理人</w:t>
      </w:r>
      <w:r w:rsidRPr="005C672D">
        <w:rPr>
          <w:color w:val="000000"/>
          <w:sz w:val="24"/>
        </w:rPr>
        <w:t>——</w:t>
      </w:r>
      <w:r w:rsidRPr="005C672D">
        <w:rPr>
          <w:color w:val="000000"/>
          <w:sz w:val="24"/>
        </w:rPr>
        <w:t>交银施罗德基金管理有限公司编制，并经本托管人复核审查的本半年度报告中的财务指标、净值表现、收益分配、财务会计报告、投资组合报告等内容真实、准确和完整。</w:t>
      </w:r>
    </w:p>
    <w:p w:rsidR="001127DC" w:rsidRPr="005C672D" w:rsidRDefault="001127DC" w:rsidP="00AC6DDA">
      <w:pPr>
        <w:spacing w:before="29" w:line="288" w:lineRule="auto"/>
        <w:ind w:firstLineChars="200" w:firstLine="480"/>
        <w:rPr>
          <w:color w:val="000000"/>
          <w:sz w:val="24"/>
        </w:rPr>
      </w:pPr>
    </w:p>
    <w:p w:rsidR="001548F9" w:rsidRPr="005C672D" w:rsidRDefault="001548F9" w:rsidP="000B63EC">
      <w:pPr>
        <w:pStyle w:val="1"/>
        <w:keepNext/>
        <w:keepLines/>
        <w:widowControl w:val="0"/>
        <w:spacing w:beforeLines="100" w:before="312" w:afterLines="100" w:after="312" w:line="288" w:lineRule="auto"/>
        <w:jc w:val="center"/>
        <w:rPr>
          <w:b/>
          <w:bCs/>
          <w:szCs w:val="24"/>
          <w:lang w:val="en-US"/>
        </w:rPr>
      </w:pPr>
      <w:bookmarkStart w:id="44" w:name="_Toc331410096"/>
      <w:r w:rsidRPr="005C672D">
        <w:rPr>
          <w:b/>
          <w:bCs/>
          <w:szCs w:val="24"/>
          <w:lang w:val="en-US"/>
        </w:rPr>
        <w:t>6</w:t>
      </w:r>
      <w:bookmarkEnd w:id="44"/>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5" w:name="_Toc225498268"/>
      <w:bookmarkStart w:id="46"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5"/>
      <w:bookmarkEnd w:id="46"/>
    </w:p>
    <w:p w:rsidR="006C5149" w:rsidRPr="005C672D" w:rsidRDefault="006C5149" w:rsidP="00AC6DDA">
      <w:pPr>
        <w:spacing w:before="29" w:line="288" w:lineRule="auto"/>
        <w:rPr>
          <w:color w:val="000000"/>
          <w:sz w:val="24"/>
        </w:rPr>
      </w:pPr>
      <w:r w:rsidRPr="005C672D">
        <w:rPr>
          <w:color w:val="000000"/>
          <w:sz w:val="24"/>
        </w:rPr>
        <w:t>会计主体：交银施罗德丰泽收益债券型证券投资基金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2016</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2016</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2015</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3,000,576.73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1,519,334.13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13,739,656.52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12,442,147.12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20,986.64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268.32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228,522,100.00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443,216,542.05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228,522,100.00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398,171,250.00</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45,045,292.05</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59,994,150.00</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2,934,989.69</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9,777,521.76</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1,230.00</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308,213,689.58</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466,955,813.38</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2016</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2015</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69,500,000.00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216,499,545.00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12,150.11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155,630.48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168,795.59</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29,180.75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31,649.20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6,083.86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21,429.02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48,078.71</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84,535.36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140,200.00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69,787,580.56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216,909,697.52</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p>
        </w:tc>
        <w:tc>
          <w:tcPr>
            <w:tcW w:w="2520" w:type="dxa"/>
            <w:vAlign w:val="center"/>
          </w:tcPr>
          <w:p w:rsidR="006C5149" w:rsidRPr="005C672D" w:rsidRDefault="006C5149" w:rsidP="00AC6DDA">
            <w:pPr>
              <w:spacing w:before="29" w:line="288" w:lineRule="auto"/>
              <w:jc w:val="right"/>
              <w:rPr>
                <w:b/>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226,060,553.36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226,060,553.36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12,365,555.66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23,985,562.50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238,426,109.02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250,046,115.86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308,213,689.58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466,955,813.38</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2016</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w:t>
      </w:r>
      <w:r w:rsidR="006C5149" w:rsidRPr="005C672D">
        <w:rPr>
          <w:kern w:val="0"/>
          <w:sz w:val="24"/>
        </w:rPr>
        <w:t>A</w:t>
      </w:r>
      <w:r w:rsidR="006C5149" w:rsidRPr="005C672D">
        <w:rPr>
          <w:kern w:val="0"/>
          <w:sz w:val="24"/>
        </w:rPr>
        <w:t>类基金份额净值</w:t>
      </w:r>
      <w:r w:rsidR="006C5149" w:rsidRPr="005C672D">
        <w:rPr>
          <w:kern w:val="0"/>
          <w:sz w:val="24"/>
        </w:rPr>
        <w:t>1.055</w:t>
      </w:r>
      <w:r w:rsidR="006C5149" w:rsidRPr="005C672D">
        <w:rPr>
          <w:kern w:val="0"/>
          <w:sz w:val="24"/>
        </w:rPr>
        <w:t>元，</w:t>
      </w:r>
      <w:r w:rsidR="006C5149" w:rsidRPr="005C672D">
        <w:rPr>
          <w:kern w:val="0"/>
          <w:sz w:val="24"/>
        </w:rPr>
        <w:t>A</w:t>
      </w:r>
      <w:r w:rsidR="006C5149" w:rsidRPr="005C672D">
        <w:rPr>
          <w:kern w:val="0"/>
          <w:sz w:val="24"/>
        </w:rPr>
        <w:t>类基金份额总额</w:t>
      </w:r>
      <w:r w:rsidR="006C5149" w:rsidRPr="005C672D">
        <w:rPr>
          <w:kern w:val="0"/>
          <w:sz w:val="24"/>
        </w:rPr>
        <w:t>226,060,553.36</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7" w:name="_Toc225498269"/>
      <w:bookmarkStart w:id="48"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7"/>
      <w:bookmarkEnd w:id="48"/>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交银施罗德丰泽收益债券型证券投资基金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2016</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2016</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6C5149" w:rsidRPr="005C672D" w:rsidTr="00BA0FB8">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2016</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2016</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2015</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日（基金合同生效日）至</w:t>
            </w:r>
            <w:r w:rsidRPr="005C672D">
              <w:rPr>
                <w:rFonts w:ascii="Times New Roman" w:hAnsi="Times New Roman"/>
                <w:b/>
                <w:color w:val="000000"/>
              </w:rPr>
              <w:t>2015</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BA0FB8">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6,800,016.38</w:t>
            </w: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11,655,042.53</w:t>
            </w:r>
          </w:p>
        </w:tc>
      </w:tr>
      <w:tr w:rsidR="006C5149" w:rsidRPr="005C672D" w:rsidTr="00BA0FB8">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9,279,624.55</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6,458,622.55</w:t>
            </w:r>
          </w:p>
        </w:tc>
      </w:tr>
      <w:tr w:rsidR="006C5149" w:rsidRPr="005C672D" w:rsidTr="00BA0FB8">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74,279.00</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116,700.51</w:t>
            </w:r>
          </w:p>
        </w:tc>
      </w:tr>
      <w:tr w:rsidR="006C5149" w:rsidRPr="005C672D" w:rsidTr="00BA0FB8">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8,847,926.69</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5,534,785.23</w:t>
            </w:r>
          </w:p>
        </w:tc>
      </w:tr>
      <w:tr w:rsidR="006C5149" w:rsidRPr="005C672D" w:rsidTr="00BA0FB8">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353,130.95</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640,973.14</w:t>
            </w:r>
          </w:p>
        </w:tc>
      </w:tr>
      <w:tr w:rsidR="006C5149" w:rsidRPr="005C672D" w:rsidTr="00BA0FB8">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4,287.91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166,163.67</w:t>
            </w:r>
          </w:p>
        </w:tc>
      </w:tr>
      <w:tr w:rsidR="006C5149" w:rsidRPr="005C672D" w:rsidTr="00BA0FB8">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2,788,010.76</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619,866.59</w:t>
            </w:r>
          </w:p>
        </w:tc>
      </w:tr>
      <w:tr w:rsidR="006C5149" w:rsidRPr="005C672D" w:rsidTr="00BA0FB8">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1,882,857.60</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619,866.59</w:t>
            </w:r>
          </w:p>
        </w:tc>
      </w:tr>
      <w:tr w:rsidR="006C5149" w:rsidRPr="005C672D" w:rsidTr="00BA0FB8">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905,153.16</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-5,267,618.93</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4,576,553.39</w:t>
            </w:r>
          </w:p>
        </w:tc>
      </w:tr>
      <w:tr w:rsidR="008F704B" w:rsidRPr="005C672D" w:rsidTr="00BA0FB8">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2,595,784.51</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2,048,947.01</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947,006.72</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759,113.51</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177,563.76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142,333.80</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3,206.28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5,140.57</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1,356,564.31</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1,082,787.41</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1,356,564.31</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1,082,787.41</w:t>
            </w:r>
          </w:p>
        </w:tc>
      </w:tr>
      <w:tr w:rsidR="008F704B" w:rsidRPr="005C672D" w:rsidTr="00BA0FB8">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6</w:t>
            </w:r>
            <w:r w:rsidRPr="005C672D">
              <w:rPr>
                <w:color w:val="000000"/>
                <w:sz w:val="24"/>
              </w:rPr>
              <w:t>．其他费用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6.4.7.20</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111,443.44</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59,571.72</w:t>
            </w:r>
          </w:p>
        </w:tc>
      </w:tr>
      <w:tr w:rsidR="008F704B" w:rsidRPr="005C672D" w:rsidTr="00BA0FB8">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4,204,231.87</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9,606,095.52</w:t>
            </w:r>
          </w:p>
        </w:tc>
      </w:tr>
      <w:tr w:rsidR="008F704B" w:rsidRPr="005C672D" w:rsidTr="00BA0FB8">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BA0FB8">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4,204,231.87</w:t>
            </w: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9,606,095.52</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9" w:name="_Toc331410099"/>
      <w:bookmarkStart w:id="50"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9"/>
      <w:bookmarkEnd w:id="50"/>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交银施罗德丰泽收益债券型证券投资基金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2016</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2016</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2016</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2016</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226,060,553.36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23,985,562.50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250,046,115.86</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4,204,231.87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4,204,231.87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-15,824,238.71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-15,824,238.71</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226,060,553.36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12,365,555.66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238,426,109.02</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2015</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日（基金合同生效日）至</w:t>
            </w:r>
            <w:r w:rsidRPr="005C672D">
              <w:rPr>
                <w:rFonts w:ascii="Times New Roman" w:hAnsi="Times New Roman"/>
                <w:b/>
                <w:color w:val="000000"/>
              </w:rPr>
              <w:t>2015</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226,060,553.36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226,060,553.36</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9,606,095.52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9,606,095.52</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226,060,553.36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9,606,095.52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235,666,648.88</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负责人：阮红，主管会计工作负责人：夏华龙，会计机构负责人：朱鸣</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1" w:name="_Toc331410100"/>
      <w:bookmarkStart w:id="52"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1"/>
      <w:bookmarkEnd w:id="52"/>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5A0F6D" w:rsidRDefault="00D24CEF">
      <w:pPr>
        <w:spacing w:before="29" w:line="288" w:lineRule="auto"/>
        <w:ind w:firstLineChars="200" w:firstLine="480"/>
        <w:rPr>
          <w:color w:val="000000"/>
          <w:sz w:val="24"/>
        </w:rPr>
      </w:pPr>
      <w:r>
        <w:rPr>
          <w:color w:val="000000"/>
          <w:sz w:val="24"/>
        </w:rPr>
        <w:t>交银施罗德丰泽收益债券型证券投资基金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[2014]1391</w:t>
      </w:r>
      <w:r>
        <w:rPr>
          <w:color w:val="000000"/>
          <w:sz w:val="24"/>
        </w:rPr>
        <w:t>号《关于准予交银施罗德丰泽收益债券型证券投资基金注册的批复》核准，由交银施罗德基金管理有限公司依照《中华人民共和国证券投资基金法》和《交银施罗德丰泽收益债券型证券投资基金基金合同》负责公开募集。本基金为契约型封闭式，存续期限不定，首次设立募集不包括认购资金利息共募集人民币</w:t>
      </w:r>
      <w:r>
        <w:rPr>
          <w:color w:val="000000"/>
          <w:sz w:val="24"/>
        </w:rPr>
        <w:t>225,963,426.40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106</w:t>
      </w:r>
      <w:r>
        <w:rPr>
          <w:color w:val="000000"/>
          <w:sz w:val="24"/>
        </w:rPr>
        <w:t>号验资报告予以验证。经向中国证监会备案，《交银施罗德丰泽收益债券型证券投资基金基金合同》于</w:t>
      </w:r>
      <w:r>
        <w:rPr>
          <w:color w:val="000000"/>
          <w:sz w:val="24"/>
        </w:rPr>
        <w:t>2015</w:t>
      </w:r>
      <w:r>
        <w:rPr>
          <w:color w:val="000000"/>
          <w:sz w:val="24"/>
        </w:rPr>
        <w:t>年</w:t>
      </w:r>
      <w:r>
        <w:rPr>
          <w:color w:val="000000"/>
          <w:sz w:val="24"/>
        </w:rPr>
        <w:t>1</w:t>
      </w:r>
      <w:r>
        <w:rPr>
          <w:color w:val="000000"/>
          <w:sz w:val="24"/>
        </w:rPr>
        <w:t>月</w:t>
      </w:r>
      <w:r>
        <w:rPr>
          <w:color w:val="000000"/>
          <w:sz w:val="24"/>
        </w:rPr>
        <w:t>30</w:t>
      </w:r>
      <w:r>
        <w:rPr>
          <w:color w:val="000000"/>
          <w:sz w:val="24"/>
        </w:rPr>
        <w:t>日正式生效，基金合同生效日的基金份额总额为</w:t>
      </w:r>
      <w:r>
        <w:rPr>
          <w:color w:val="000000"/>
          <w:sz w:val="24"/>
        </w:rPr>
        <w:t>226,060,553.36</w:t>
      </w:r>
      <w:r>
        <w:rPr>
          <w:color w:val="000000"/>
          <w:sz w:val="24"/>
        </w:rPr>
        <w:t>份基金份额，其中认购资金利息折合</w:t>
      </w:r>
      <w:r>
        <w:rPr>
          <w:color w:val="000000"/>
          <w:sz w:val="24"/>
        </w:rPr>
        <w:t>97,126.96</w:t>
      </w:r>
      <w:r>
        <w:rPr>
          <w:color w:val="000000"/>
          <w:sz w:val="24"/>
        </w:rPr>
        <w:t>份基金份额。本基金的基金管理人为交银施罗德基金管理有限公司，基金托管人为中信银行股份有限公司。</w:t>
      </w:r>
    </w:p>
    <w:p w:rsidR="005A0F6D" w:rsidRDefault="00D24CEF">
      <w:pPr>
        <w:spacing w:before="29" w:line="288" w:lineRule="auto"/>
        <w:ind w:firstLineChars="200" w:firstLine="480"/>
        <w:rPr>
          <w:color w:val="000000"/>
          <w:sz w:val="24"/>
        </w:rPr>
      </w:pPr>
      <w:r>
        <w:rPr>
          <w:color w:val="000000"/>
          <w:sz w:val="24"/>
        </w:rPr>
        <w:t>根据《交银施罗德丰泽收益债券型证券投资基金基金合同》和《交银施罗德丰泽收益债券型证券投资基金招募说明书》，本基金根据认购</w:t>
      </w:r>
      <w:r>
        <w:rPr>
          <w:color w:val="000000"/>
          <w:sz w:val="24"/>
        </w:rPr>
        <w:t>/</w:t>
      </w:r>
      <w:r>
        <w:rPr>
          <w:color w:val="000000"/>
          <w:sz w:val="24"/>
        </w:rPr>
        <w:t>申购费用、赎回费用、销售服务费收取方式的不同，将基金份额分为不同的类别。在投资人认购</w:t>
      </w:r>
      <w:r>
        <w:rPr>
          <w:color w:val="000000"/>
          <w:sz w:val="24"/>
        </w:rPr>
        <w:t>/</w:t>
      </w:r>
      <w:r>
        <w:rPr>
          <w:color w:val="000000"/>
          <w:sz w:val="24"/>
        </w:rPr>
        <w:t>申购时收取前端认购</w:t>
      </w:r>
      <w:r>
        <w:rPr>
          <w:color w:val="000000"/>
          <w:sz w:val="24"/>
        </w:rPr>
        <w:t>/</w:t>
      </w:r>
      <w:r>
        <w:rPr>
          <w:color w:val="000000"/>
          <w:sz w:val="24"/>
        </w:rPr>
        <w:t>申购费用、赎回时收取赎回费用的，称为</w:t>
      </w:r>
      <w:r>
        <w:rPr>
          <w:color w:val="000000"/>
          <w:sz w:val="24"/>
        </w:rPr>
        <w:t>A</w:t>
      </w:r>
      <w:r>
        <w:rPr>
          <w:color w:val="000000"/>
          <w:sz w:val="24"/>
        </w:rPr>
        <w:t>类基金份额，在投资人申购时不收取申购费用、赎回时收取后端申购费用和赎回费用的，称为</w:t>
      </w:r>
      <w:r>
        <w:rPr>
          <w:color w:val="000000"/>
          <w:sz w:val="24"/>
        </w:rPr>
        <w:t>B</w:t>
      </w:r>
      <w:r>
        <w:rPr>
          <w:color w:val="000000"/>
          <w:sz w:val="24"/>
        </w:rPr>
        <w:t>类基金份额，在投资人申购、赎回时不收取申购费用、赎回费用，而是从本类别基金资产中计提销售服务费的，称为</w:t>
      </w:r>
      <w:r>
        <w:rPr>
          <w:color w:val="000000"/>
          <w:sz w:val="24"/>
        </w:rPr>
        <w:t>C</w:t>
      </w:r>
      <w:r>
        <w:rPr>
          <w:color w:val="000000"/>
          <w:sz w:val="24"/>
        </w:rPr>
        <w:t>类基金份额；本基金募集期内仅开放</w:t>
      </w:r>
      <w:r>
        <w:rPr>
          <w:color w:val="000000"/>
          <w:sz w:val="24"/>
        </w:rPr>
        <w:t>A</w:t>
      </w:r>
      <w:r>
        <w:rPr>
          <w:color w:val="000000"/>
          <w:sz w:val="24"/>
        </w:rPr>
        <w:t>类基金份额的认购；在基金合同生效之日起两年</w:t>
      </w:r>
      <w:r>
        <w:rPr>
          <w:color w:val="000000"/>
          <w:sz w:val="24"/>
        </w:rPr>
        <w:t>(</w:t>
      </w:r>
      <w:r>
        <w:rPr>
          <w:color w:val="000000"/>
          <w:sz w:val="24"/>
        </w:rPr>
        <w:t>含两年</w:t>
      </w:r>
      <w:r>
        <w:rPr>
          <w:color w:val="000000"/>
          <w:sz w:val="24"/>
        </w:rPr>
        <w:t>)</w:t>
      </w:r>
      <w:r>
        <w:rPr>
          <w:color w:val="000000"/>
          <w:sz w:val="24"/>
        </w:rPr>
        <w:t>的期间内封闭式运作，封闭期结束后转为开放式运作，并可视业务情况择时增开</w:t>
      </w:r>
      <w:r>
        <w:rPr>
          <w:color w:val="000000"/>
          <w:sz w:val="24"/>
        </w:rPr>
        <w:t>B</w:t>
      </w:r>
      <w:r>
        <w:rPr>
          <w:color w:val="000000"/>
          <w:sz w:val="24"/>
        </w:rPr>
        <w:t>类和</w:t>
      </w:r>
      <w:r>
        <w:rPr>
          <w:color w:val="000000"/>
          <w:sz w:val="24"/>
        </w:rPr>
        <w:t>C</w:t>
      </w:r>
      <w:r>
        <w:rPr>
          <w:color w:val="000000"/>
          <w:sz w:val="24"/>
        </w:rPr>
        <w:t>类基金份额的申购。</w:t>
      </w:r>
    </w:p>
    <w:p w:rsidR="001548F9" w:rsidRPr="005C672D" w:rsidRDefault="001548F9" w:rsidP="00AC6DDA">
      <w:pPr>
        <w:spacing w:before="29" w:line="288" w:lineRule="auto"/>
        <w:ind w:firstLineChars="200" w:firstLine="480"/>
        <w:rPr>
          <w:color w:val="000000"/>
          <w:sz w:val="24"/>
        </w:rPr>
      </w:pPr>
      <w:r w:rsidRPr="005C672D">
        <w:rPr>
          <w:color w:val="000000"/>
          <w:sz w:val="24"/>
        </w:rPr>
        <w:t>根据《中华人民共和国证券投资基金法》和《交银施罗德丰泽收益债券型证券投资基金基金合同》的有关规定，本基金的投资范围为具有良好流动性的金融工具，包括国内依法发行上市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sidRPr="005C672D">
        <w:rPr>
          <w:color w:val="000000"/>
          <w:sz w:val="24"/>
        </w:rPr>
        <w:t>AA</w:t>
      </w:r>
      <w:r w:rsidRPr="005C672D">
        <w:rPr>
          <w:color w:val="000000"/>
          <w:sz w:val="24"/>
        </w:rPr>
        <w:t>级（含）以上。本基金不投资股票、权证等权益类资产。同时本基金不参与可转换债券投资（分离交易可转债的纯债部分除外）。如法律法规或监管机构以后允许基金投资其他品种，基金管理人在履行适当程序后，可以将其纳入投资范围。基金的投资组合比例为投资于债券资产的比例不低于基金资产的</w:t>
      </w:r>
      <w:r w:rsidRPr="005C672D">
        <w:rPr>
          <w:color w:val="000000"/>
          <w:sz w:val="24"/>
        </w:rPr>
        <w:t>80%</w:t>
      </w:r>
      <w:r w:rsidRPr="005C672D">
        <w:rPr>
          <w:color w:val="000000"/>
          <w:sz w:val="24"/>
        </w:rPr>
        <w:t>，但在封闭期结束前三个月和转开放后三个月内，基金投资不受上述债券资产投资比例限制。本基金在开放期内，现金或到期日在一年以内的政府债券的比例合计不低于基金资产净值的</w:t>
      </w:r>
      <w:r w:rsidRPr="005C672D">
        <w:rPr>
          <w:color w:val="000000"/>
          <w:sz w:val="24"/>
        </w:rPr>
        <w:t>5%</w:t>
      </w:r>
      <w:r w:rsidRPr="005C672D">
        <w:rPr>
          <w:color w:val="000000"/>
          <w:sz w:val="24"/>
        </w:rPr>
        <w:t>。本基金封闭期内投资的业绩比较基准为两年期银行定期存款税后收益率</w:t>
      </w:r>
      <w:r w:rsidRPr="005C672D">
        <w:rPr>
          <w:color w:val="000000"/>
          <w:sz w:val="24"/>
        </w:rPr>
        <w:t>+1.25%</w:t>
      </w:r>
      <w:r w:rsidRPr="005C672D">
        <w:rPr>
          <w:color w:val="000000"/>
          <w:sz w:val="24"/>
        </w:rPr>
        <w:t>。</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本基金的财务报表按照财政部于</w:t>
      </w:r>
      <w:r w:rsidRPr="005C672D">
        <w:rPr>
          <w:color w:val="000000"/>
          <w:sz w:val="24"/>
        </w:rPr>
        <w:t>2006</w:t>
      </w:r>
      <w:r w:rsidRPr="005C672D">
        <w:rPr>
          <w:color w:val="000000"/>
          <w:sz w:val="24"/>
        </w:rPr>
        <w:t>年</w:t>
      </w:r>
      <w:r w:rsidRPr="005C672D">
        <w:rPr>
          <w:color w:val="000000"/>
          <w:sz w:val="24"/>
        </w:rPr>
        <w:t>2</w:t>
      </w:r>
      <w:r w:rsidRPr="005C672D">
        <w:rPr>
          <w:color w:val="000000"/>
          <w:sz w:val="24"/>
        </w:rPr>
        <w:t>月</w:t>
      </w:r>
      <w:r w:rsidRPr="005C672D">
        <w:rPr>
          <w:color w:val="000000"/>
          <w:sz w:val="24"/>
        </w:rPr>
        <w:t>15</w:t>
      </w:r>
      <w:r w:rsidRPr="005C672D">
        <w:rPr>
          <w:color w:val="000000"/>
          <w:sz w:val="24"/>
        </w:rPr>
        <w:t>日及以后期间颁布的《企业会计准则－基本准则》、各项具体会计准则及相关规定</w:t>
      </w:r>
      <w:r w:rsidRPr="005C672D">
        <w:rPr>
          <w:color w:val="000000"/>
          <w:sz w:val="24"/>
        </w:rPr>
        <w:t>(</w:t>
      </w:r>
      <w:r w:rsidRPr="005C672D">
        <w:rPr>
          <w:color w:val="000000"/>
          <w:sz w:val="24"/>
        </w:rPr>
        <w:t>以下合称</w:t>
      </w:r>
      <w:r w:rsidRPr="005C672D">
        <w:rPr>
          <w:color w:val="000000"/>
          <w:sz w:val="24"/>
        </w:rPr>
        <w:t>“</w:t>
      </w:r>
      <w:r w:rsidRPr="005C672D">
        <w:rPr>
          <w:color w:val="000000"/>
          <w:sz w:val="24"/>
        </w:rPr>
        <w:t>企业会计准则</w:t>
      </w:r>
      <w:r w:rsidRPr="005C672D">
        <w:rPr>
          <w:color w:val="000000"/>
          <w:sz w:val="24"/>
        </w:rPr>
        <w:t>”)</w:t>
      </w:r>
      <w:r w:rsidRPr="005C672D">
        <w:rPr>
          <w:color w:val="000000"/>
          <w:sz w:val="24"/>
        </w:rPr>
        <w:t>、中国证监会颁布的《证券投资基金信息披露</w:t>
      </w:r>
      <w:r w:rsidRPr="005C672D">
        <w:rPr>
          <w:color w:val="000000"/>
          <w:sz w:val="24"/>
        </w:rPr>
        <w:t>XBRL</w:t>
      </w:r>
      <w:r w:rsidRPr="005C672D">
        <w:rPr>
          <w:color w:val="000000"/>
          <w:sz w:val="24"/>
        </w:rPr>
        <w:t>模板第</w:t>
      </w:r>
      <w:r w:rsidRPr="005C672D">
        <w:rPr>
          <w:color w:val="000000"/>
          <w:sz w:val="24"/>
        </w:rPr>
        <w:t>3</w:t>
      </w:r>
      <w:r w:rsidRPr="005C672D">
        <w:rPr>
          <w:color w:val="000000"/>
          <w:sz w:val="24"/>
        </w:rPr>
        <w:t>号</w:t>
      </w:r>
      <w:r w:rsidRPr="005C672D">
        <w:rPr>
          <w:color w:val="000000"/>
          <w:sz w:val="24"/>
        </w:rPr>
        <w:t>&lt;</w:t>
      </w:r>
      <w:r w:rsidRPr="005C672D">
        <w:rPr>
          <w:color w:val="000000"/>
          <w:sz w:val="24"/>
        </w:rPr>
        <w:t>年度报告和半年度报告</w:t>
      </w:r>
      <w:r w:rsidRPr="005C672D">
        <w:rPr>
          <w:color w:val="000000"/>
          <w:sz w:val="24"/>
        </w:rPr>
        <w:t>&gt;</w:t>
      </w:r>
      <w:r w:rsidRPr="005C672D">
        <w:rPr>
          <w:color w:val="000000"/>
          <w:sz w:val="24"/>
        </w:rPr>
        <w:t>》、中国证券投资基金业协会</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中国基金业协会</w:t>
      </w:r>
      <w:r w:rsidRPr="005C672D">
        <w:rPr>
          <w:color w:val="000000"/>
          <w:sz w:val="24"/>
        </w:rPr>
        <w:t>”)</w:t>
      </w:r>
      <w:r w:rsidRPr="005C672D">
        <w:rPr>
          <w:color w:val="000000"/>
          <w:sz w:val="24"/>
        </w:rPr>
        <w:t>颁布的《证券投资基金会计核算业务指引》、《交银施罗德丰泽收益债券型证券投资基金基金合同》和在财务报表附注</w:t>
      </w:r>
      <w:r w:rsidRPr="005C672D">
        <w:rPr>
          <w:color w:val="000000"/>
          <w:sz w:val="24"/>
        </w:rPr>
        <w:t>6.4.4</w:t>
      </w:r>
      <w:r w:rsidRPr="005C672D">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2016</w:t>
      </w:r>
      <w:r w:rsidRPr="005C672D">
        <w:rPr>
          <w:color w:val="000000"/>
          <w:sz w:val="24"/>
        </w:rPr>
        <w:t>年上半年度财务报表符合企业会计准则的要求，真实、完整地反映了本基金</w:t>
      </w:r>
      <w:r w:rsidRPr="005C672D">
        <w:rPr>
          <w:color w:val="000000"/>
          <w:sz w:val="24"/>
        </w:rPr>
        <w:t>2016</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2016</w:t>
      </w:r>
      <w:r w:rsidRPr="005C672D">
        <w:rPr>
          <w:color w:val="000000"/>
          <w:sz w:val="24"/>
        </w:rPr>
        <w:t>年上半年度的经营成果和基金净值变动情况等有关信息。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本基金在本报告期间无需说明的会计差错更正。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5A0F6D" w:rsidRDefault="00D24CEF">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号《关于企业所得税若干优惠政策的通知》及其他相关财税法规和实务操作，主要税项列示如下：</w:t>
      </w:r>
    </w:p>
    <w:p w:rsidR="005A0F6D" w:rsidRDefault="00D24CEF">
      <w:pPr>
        <w:spacing w:before="29" w:line="288" w:lineRule="auto"/>
        <w:ind w:firstLineChars="200" w:firstLine="480"/>
        <w:rPr>
          <w:color w:val="000000"/>
          <w:sz w:val="24"/>
        </w:rPr>
      </w:pPr>
      <w:r>
        <w:rPr>
          <w:color w:val="000000"/>
          <w:sz w:val="24"/>
        </w:rPr>
        <w:t>(1)</w:t>
      </w:r>
      <w:r>
        <w:rPr>
          <w:color w:val="000000"/>
          <w:sz w:val="24"/>
        </w:rPr>
        <w:t>以发行基金方式募集资金不属于营业税征收范围，不征收营业税。基金买卖债券的差价收入不予征收营业税。</w:t>
      </w:r>
    </w:p>
    <w:p w:rsidR="005A0F6D" w:rsidRDefault="00D24CEF">
      <w:pPr>
        <w:spacing w:before="29" w:line="288" w:lineRule="auto"/>
        <w:ind w:firstLineChars="200" w:firstLine="480"/>
        <w:rPr>
          <w:color w:val="000000"/>
          <w:sz w:val="24"/>
        </w:rPr>
      </w:pPr>
      <w:r>
        <w:rPr>
          <w:color w:val="000000"/>
          <w:sz w:val="24"/>
        </w:rPr>
        <w:t>(2)</w:t>
      </w:r>
      <w:r>
        <w:rPr>
          <w:color w:val="000000"/>
          <w:sz w:val="24"/>
        </w:rPr>
        <w:t>对基金从证券市场中取得的收入，包括买卖债券的差价收入，债券的利息收入及其他收入，暂不征收企业所得税。</w:t>
      </w:r>
    </w:p>
    <w:p w:rsidR="001548F9" w:rsidRPr="005C672D" w:rsidRDefault="001548F9" w:rsidP="00AC6DDA">
      <w:pPr>
        <w:spacing w:before="29" w:line="288" w:lineRule="auto"/>
        <w:ind w:firstLineChars="200" w:firstLine="480"/>
        <w:rPr>
          <w:color w:val="000000"/>
          <w:sz w:val="24"/>
        </w:rPr>
      </w:pPr>
      <w:r w:rsidRPr="005C672D">
        <w:rPr>
          <w:color w:val="000000"/>
          <w:sz w:val="24"/>
        </w:rPr>
        <w:t>(3)</w:t>
      </w:r>
      <w:r w:rsidRPr="005C672D">
        <w:rPr>
          <w:color w:val="000000"/>
          <w:sz w:val="24"/>
        </w:rPr>
        <w:t>对基金取得的企业债券利息收入，应由发行债券的企业在向基金支付利息时代扣代缴</w:t>
      </w:r>
      <w:r w:rsidRPr="005C672D">
        <w:rPr>
          <w:color w:val="000000"/>
          <w:sz w:val="24"/>
        </w:rPr>
        <w:t>20%</w:t>
      </w:r>
      <w:r w:rsidRPr="005C672D">
        <w:rPr>
          <w:color w:val="000000"/>
          <w:sz w:val="24"/>
        </w:rPr>
        <w:t>的个人所得税。</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5A0F6D">
        <w:tc>
          <w:tcPr>
            <w:tcW w:w="5219" w:type="dxa"/>
            <w:vAlign w:val="center"/>
          </w:tcPr>
          <w:p w:rsidR="005A0F6D" w:rsidRDefault="00D24CE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5A0F6D" w:rsidRDefault="00D24CEF">
            <w:pPr>
              <w:jc w:val="left"/>
            </w:pPr>
            <w:r>
              <w:rPr>
                <w:color w:val="000000"/>
                <w:sz w:val="24"/>
              </w:rPr>
              <w:t>基金管理人、基金销售机构</w:t>
            </w:r>
          </w:p>
        </w:tc>
      </w:tr>
      <w:tr w:rsidR="005A0F6D">
        <w:tc>
          <w:tcPr>
            <w:tcW w:w="5219" w:type="dxa"/>
            <w:vAlign w:val="center"/>
          </w:tcPr>
          <w:p w:rsidR="005A0F6D" w:rsidRDefault="00D24CEF">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5A0F6D" w:rsidRDefault="00D24CEF">
            <w:pPr>
              <w:jc w:val="left"/>
            </w:pPr>
            <w:r>
              <w:rPr>
                <w:color w:val="000000"/>
                <w:sz w:val="24"/>
              </w:rPr>
              <w:t>基金托管人、基金销售机构</w:t>
            </w:r>
          </w:p>
        </w:tc>
      </w:tr>
      <w:tr w:rsidR="005A0F6D">
        <w:tc>
          <w:tcPr>
            <w:tcW w:w="5219" w:type="dxa"/>
            <w:vAlign w:val="center"/>
          </w:tcPr>
          <w:p w:rsidR="005A0F6D" w:rsidRDefault="00D24CEF">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5A0F6D" w:rsidRDefault="00D24CEF">
            <w:pPr>
              <w:jc w:val="left"/>
            </w:pPr>
            <w:r>
              <w:rPr>
                <w:color w:val="000000"/>
                <w:sz w:val="24"/>
              </w:rPr>
              <w:t>基金管理人的股东、基金销售机构</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2016</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2016</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2015</w:t>
            </w:r>
            <w:r w:rsidRPr="005C672D">
              <w:rPr>
                <w:color w:val="000000"/>
                <w:sz w:val="24"/>
              </w:rPr>
              <w:t>年</w:t>
            </w:r>
            <w:r w:rsidRPr="005C672D">
              <w:rPr>
                <w:color w:val="000000"/>
                <w:sz w:val="24"/>
              </w:rPr>
              <w:t>1</w:t>
            </w:r>
            <w:r w:rsidRPr="005C672D">
              <w:rPr>
                <w:color w:val="000000"/>
                <w:sz w:val="24"/>
              </w:rPr>
              <w:t>月</w:t>
            </w:r>
            <w:r w:rsidRPr="005C672D">
              <w:rPr>
                <w:color w:val="000000"/>
                <w:sz w:val="24"/>
              </w:rPr>
              <w:t>30</w:t>
            </w:r>
            <w:r w:rsidRPr="005C672D">
              <w:rPr>
                <w:color w:val="000000"/>
                <w:sz w:val="24"/>
              </w:rPr>
              <w:t>日（基金合同生效日）至</w:t>
            </w:r>
            <w:r w:rsidRPr="005C672D">
              <w:rPr>
                <w:color w:val="000000"/>
                <w:sz w:val="24"/>
              </w:rPr>
              <w:t>2015</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947,006.72</w:t>
            </w:r>
          </w:p>
        </w:tc>
        <w:tc>
          <w:tcPr>
            <w:tcW w:w="2657" w:type="dxa"/>
            <w:vAlign w:val="center"/>
          </w:tcPr>
          <w:p w:rsidR="001548F9" w:rsidRPr="005C672D" w:rsidRDefault="001548F9" w:rsidP="00AC6DDA">
            <w:pPr>
              <w:spacing w:before="29" w:line="288" w:lineRule="auto"/>
              <w:jc w:val="right"/>
              <w:rPr>
                <w:sz w:val="24"/>
              </w:rPr>
            </w:pPr>
            <w:r w:rsidRPr="005C672D">
              <w:rPr>
                <w:sz w:val="24"/>
              </w:rPr>
              <w:t>759,113.51</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500,653.65</w:t>
            </w:r>
          </w:p>
        </w:tc>
        <w:tc>
          <w:tcPr>
            <w:tcW w:w="2657" w:type="dxa"/>
            <w:vAlign w:val="center"/>
          </w:tcPr>
          <w:p w:rsidR="001548F9" w:rsidRPr="005C672D" w:rsidRDefault="001548F9" w:rsidP="00AC6DDA">
            <w:pPr>
              <w:spacing w:before="29" w:line="288" w:lineRule="auto"/>
              <w:jc w:val="right"/>
              <w:rPr>
                <w:sz w:val="24"/>
              </w:rPr>
            </w:pPr>
            <w:r w:rsidRPr="005C672D">
              <w:rPr>
                <w:sz w:val="24"/>
              </w:rPr>
              <w:t>400,575.98</w:t>
            </w:r>
          </w:p>
        </w:tc>
      </w:tr>
    </w:tbl>
    <w:p w:rsidR="005A0F6D" w:rsidRDefault="00D24CEF">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0.80%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 xml:space="preserve">×0.80%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2016</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2016</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2015</w:t>
            </w:r>
            <w:r w:rsidRPr="005C672D">
              <w:rPr>
                <w:color w:val="000000"/>
                <w:sz w:val="24"/>
              </w:rPr>
              <w:t>年</w:t>
            </w:r>
            <w:r w:rsidRPr="005C672D">
              <w:rPr>
                <w:color w:val="000000"/>
                <w:sz w:val="24"/>
              </w:rPr>
              <w:t>1</w:t>
            </w:r>
            <w:r w:rsidRPr="005C672D">
              <w:rPr>
                <w:color w:val="000000"/>
                <w:sz w:val="24"/>
              </w:rPr>
              <w:t>月</w:t>
            </w:r>
            <w:r w:rsidRPr="005C672D">
              <w:rPr>
                <w:color w:val="000000"/>
                <w:sz w:val="24"/>
              </w:rPr>
              <w:t>30</w:t>
            </w:r>
            <w:r w:rsidRPr="005C672D">
              <w:rPr>
                <w:color w:val="000000"/>
                <w:sz w:val="24"/>
              </w:rPr>
              <w:t>日（基金合同生效日）至</w:t>
            </w:r>
            <w:r w:rsidRPr="005C672D">
              <w:rPr>
                <w:color w:val="000000"/>
                <w:sz w:val="24"/>
              </w:rPr>
              <w:t>2015</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177,563.76</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142,333.80</w:t>
            </w:r>
          </w:p>
        </w:tc>
      </w:tr>
    </w:tbl>
    <w:p w:rsidR="005A0F6D" w:rsidRDefault="00D24CE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0.15%</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日托管费＝前一日基金资产净值</w:t>
      </w:r>
      <w:r w:rsidRPr="005C672D">
        <w:rPr>
          <w:kern w:val="0"/>
          <w:sz w:val="24"/>
        </w:rPr>
        <w:t xml:space="preserve">×0.15%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F31BCF" w:rsidRPr="005C672D" w:rsidRDefault="00F31BCF" w:rsidP="00AC6DDA">
      <w:pPr>
        <w:tabs>
          <w:tab w:val="left" w:pos="426"/>
        </w:tabs>
        <w:spacing w:before="29" w:line="288" w:lineRule="auto"/>
        <w:jc w:val="left"/>
        <w:rPr>
          <w:kern w:val="0"/>
          <w:sz w:val="24"/>
        </w:rPr>
      </w:pPr>
      <w:r w:rsidRPr="005C672D">
        <w:rPr>
          <w:kern w:val="0"/>
          <w:sz w:val="24"/>
        </w:rPr>
        <w:t>本报告期末及上年度末除基金管理人之外的其他关联方未持有本基金。</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2016</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2016</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2015</w:t>
            </w:r>
            <w:r w:rsidRPr="005C672D">
              <w:rPr>
                <w:color w:val="000000"/>
                <w:sz w:val="24"/>
              </w:rPr>
              <w:t>年</w:t>
            </w:r>
            <w:r w:rsidRPr="005C672D">
              <w:rPr>
                <w:color w:val="000000"/>
                <w:sz w:val="24"/>
              </w:rPr>
              <w:t>1</w:t>
            </w:r>
            <w:r w:rsidRPr="005C672D">
              <w:rPr>
                <w:color w:val="000000"/>
                <w:sz w:val="24"/>
              </w:rPr>
              <w:t>月</w:t>
            </w:r>
            <w:r w:rsidRPr="005C672D">
              <w:rPr>
                <w:color w:val="000000"/>
                <w:sz w:val="24"/>
              </w:rPr>
              <w:t>30</w:t>
            </w:r>
            <w:r w:rsidRPr="005C672D">
              <w:rPr>
                <w:color w:val="000000"/>
                <w:sz w:val="24"/>
              </w:rPr>
              <w:t>日（基金合同生效日）至</w:t>
            </w:r>
            <w:r w:rsidRPr="005C672D">
              <w:rPr>
                <w:color w:val="000000"/>
                <w:sz w:val="24"/>
              </w:rPr>
              <w:t>2015</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5A0F6D">
        <w:tc>
          <w:tcPr>
            <w:tcW w:w="2171" w:type="dxa"/>
            <w:vAlign w:val="center"/>
          </w:tcPr>
          <w:p w:rsidR="005A0F6D" w:rsidRDefault="00D24CEF">
            <w:pPr>
              <w:jc w:val="left"/>
            </w:pPr>
            <w:r>
              <w:rPr>
                <w:sz w:val="24"/>
              </w:rPr>
              <w:t>中信银行股份有限公司</w:t>
            </w:r>
          </w:p>
        </w:tc>
        <w:tc>
          <w:tcPr>
            <w:tcW w:w="2023" w:type="dxa"/>
            <w:vAlign w:val="center"/>
          </w:tcPr>
          <w:p w:rsidR="005A0F6D" w:rsidRDefault="00D24CEF">
            <w:pPr>
              <w:jc w:val="right"/>
            </w:pPr>
            <w:r>
              <w:rPr>
                <w:sz w:val="24"/>
              </w:rPr>
              <w:t>3,000,576.73</w:t>
            </w:r>
          </w:p>
        </w:tc>
        <w:tc>
          <w:tcPr>
            <w:tcW w:w="1772" w:type="dxa"/>
            <w:vAlign w:val="center"/>
          </w:tcPr>
          <w:p w:rsidR="005A0F6D" w:rsidRDefault="00D24CEF">
            <w:pPr>
              <w:jc w:val="right"/>
            </w:pPr>
            <w:r>
              <w:rPr>
                <w:sz w:val="24"/>
              </w:rPr>
              <w:t>9,551.44</w:t>
            </w:r>
          </w:p>
        </w:tc>
        <w:tc>
          <w:tcPr>
            <w:tcW w:w="1412" w:type="dxa"/>
            <w:vAlign w:val="center"/>
          </w:tcPr>
          <w:p w:rsidR="005A0F6D" w:rsidRDefault="00D24CEF">
            <w:pPr>
              <w:jc w:val="right"/>
            </w:pPr>
            <w:r>
              <w:rPr>
                <w:sz w:val="24"/>
              </w:rPr>
              <w:t>4,225,800.81</w:t>
            </w:r>
          </w:p>
        </w:tc>
        <w:tc>
          <w:tcPr>
            <w:tcW w:w="1807" w:type="dxa"/>
            <w:vAlign w:val="center"/>
          </w:tcPr>
          <w:p w:rsidR="005A0F6D" w:rsidRDefault="00D24CEF">
            <w:pPr>
              <w:jc w:val="right"/>
            </w:pPr>
            <w:r>
              <w:rPr>
                <w:sz w:val="24"/>
              </w:rPr>
              <w:t>97,616.84</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1548F9" w:rsidRPr="005C672D" w:rsidRDefault="001548F9" w:rsidP="00AC6DDA">
      <w:pPr>
        <w:adjustRightInd w:val="0"/>
        <w:snapToGrid w:val="0"/>
        <w:spacing w:before="29" w:line="288" w:lineRule="auto"/>
        <w:jc w:val="left"/>
        <w:rPr>
          <w:b/>
          <w:color w:val="000000"/>
          <w:sz w:val="24"/>
        </w:rPr>
      </w:pPr>
      <w:r w:rsidRPr="005C672D">
        <w:rPr>
          <w:b/>
          <w:bCs/>
          <w:color w:val="000000"/>
          <w:kern w:val="0"/>
          <w:sz w:val="24"/>
        </w:rPr>
        <w:t xml:space="preserve">6.4.8.7 </w:t>
      </w:r>
      <w:r w:rsidRPr="005C672D">
        <w:rPr>
          <w:b/>
          <w:color w:val="000000"/>
          <w:sz w:val="24"/>
        </w:rPr>
        <w:t>其他关联交易事项的说明</w:t>
      </w:r>
    </w:p>
    <w:p w:rsidR="001548F9" w:rsidRPr="005C672D" w:rsidRDefault="001548F9" w:rsidP="00832B5D">
      <w:pPr>
        <w:spacing w:before="29" w:line="288" w:lineRule="auto"/>
        <w:rPr>
          <w:color w:val="000000"/>
          <w:sz w:val="24"/>
        </w:rPr>
      </w:pPr>
      <w:r w:rsidRPr="005C672D">
        <w:rPr>
          <w:color w:val="000000"/>
          <w:sz w:val="24"/>
        </w:rPr>
        <w:t>本基金本报告期内及上年度可比期间无其他关联交易事项。</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2016</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本基金本报告期末未持有因认购新发</w:t>
      </w:r>
      <w:r w:rsidRPr="005C672D">
        <w:rPr>
          <w:kern w:val="0"/>
          <w:sz w:val="24"/>
        </w:rPr>
        <w:t>/</w:t>
      </w:r>
      <w:r w:rsidRPr="005C672D">
        <w:rPr>
          <w:kern w:val="0"/>
          <w:sz w:val="24"/>
        </w:rPr>
        <w:t>增发证券而流通受限的证券。</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rPr>
          <w:b/>
          <w:bCs/>
          <w:color w:val="000000"/>
          <w:sz w:val="24"/>
        </w:rPr>
      </w:pPr>
      <w:r w:rsidRPr="005C672D">
        <w:rPr>
          <w:b/>
          <w:bCs/>
          <w:color w:val="000000"/>
          <w:kern w:val="0"/>
          <w:sz w:val="24"/>
        </w:rPr>
        <w:t xml:space="preserve">6.4.9.3.1 </w:t>
      </w:r>
      <w:r w:rsidRPr="005C672D">
        <w:rPr>
          <w:b/>
          <w:bCs/>
          <w:color w:val="000000"/>
          <w:sz w:val="24"/>
        </w:rPr>
        <w:t>银行间市场债券正回购</w:t>
      </w:r>
    </w:p>
    <w:p w:rsidR="001548F9" w:rsidRPr="005C672D" w:rsidRDefault="001548F9" w:rsidP="00DB2442">
      <w:pPr>
        <w:spacing w:before="29" w:line="288" w:lineRule="auto"/>
        <w:rPr>
          <w:color w:val="000000"/>
          <w:sz w:val="24"/>
        </w:rPr>
      </w:pPr>
      <w:r w:rsidRPr="005C672D">
        <w:rPr>
          <w:color w:val="000000"/>
          <w:sz w:val="24"/>
        </w:rPr>
        <w:t>本基金本报告期末无从事银行间市场债券正回购交易形成的卖出回购证券款余额。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6.4.9.3.2 </w:t>
      </w:r>
      <w:r w:rsidRPr="005C672D">
        <w:rPr>
          <w:b/>
          <w:bCs/>
          <w:color w:val="000000"/>
          <w:sz w:val="24"/>
        </w:rPr>
        <w:t>交易所市场债券正回购</w:t>
      </w:r>
    </w:p>
    <w:p w:rsidR="001548F9" w:rsidRPr="005C672D" w:rsidRDefault="001548F9" w:rsidP="00AC6DDA">
      <w:pPr>
        <w:spacing w:before="29" w:line="288" w:lineRule="auto"/>
        <w:ind w:firstLineChars="200" w:firstLine="480"/>
        <w:rPr>
          <w:color w:val="000000"/>
          <w:sz w:val="24"/>
        </w:rPr>
      </w:pPr>
      <w:r w:rsidRPr="005C672D">
        <w:rPr>
          <w:color w:val="000000"/>
          <w:sz w:val="24"/>
        </w:rPr>
        <w:t>截至本报告期末</w:t>
      </w:r>
      <w:r w:rsidRPr="005C672D">
        <w:rPr>
          <w:color w:val="000000"/>
          <w:sz w:val="24"/>
        </w:rPr>
        <w:t>2016</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日止，本基金从事证券交易所债券正回购交易形成的卖出回购证券款余额</w:t>
      </w:r>
      <w:r w:rsidRPr="005C672D">
        <w:rPr>
          <w:color w:val="000000"/>
          <w:sz w:val="24"/>
        </w:rPr>
        <w:t>69,500,000.00</w:t>
      </w:r>
      <w:r w:rsidRPr="005C672D">
        <w:rPr>
          <w:color w:val="000000"/>
          <w:sz w:val="24"/>
        </w:rPr>
        <w:t>元，于</w:t>
      </w:r>
      <w:r w:rsidRPr="005C672D">
        <w:rPr>
          <w:color w:val="000000"/>
          <w:sz w:val="24"/>
        </w:rPr>
        <w:t>2016</w:t>
      </w:r>
      <w:r w:rsidRPr="005C672D">
        <w:rPr>
          <w:color w:val="000000"/>
          <w:sz w:val="24"/>
        </w:rPr>
        <w:t>年</w:t>
      </w:r>
      <w:r w:rsidRPr="005C672D">
        <w:rPr>
          <w:color w:val="000000"/>
          <w:sz w:val="24"/>
        </w:rPr>
        <w:t>7</w:t>
      </w:r>
      <w:r w:rsidRPr="005C672D">
        <w:rPr>
          <w:color w:val="000000"/>
          <w:sz w:val="24"/>
        </w:rPr>
        <w:t>月</w:t>
      </w:r>
      <w:r w:rsidRPr="005C672D">
        <w:rPr>
          <w:color w:val="000000"/>
          <w:sz w:val="24"/>
        </w:rPr>
        <w:t>1</w:t>
      </w:r>
      <w:r w:rsidRPr="005C672D">
        <w:rPr>
          <w:color w:val="000000"/>
          <w:sz w:val="24"/>
        </w:rPr>
        <w:t>日到期。该类交易要求本基金转入质押库的债券，按证券交易所规定的比例折算为标准券后，不低于债券回购交易的余额。</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0B63EC">
      <w:pPr>
        <w:pStyle w:val="1"/>
        <w:keepNext/>
        <w:keepLines/>
        <w:widowControl w:val="0"/>
        <w:spacing w:beforeLines="100" w:before="312" w:afterLines="100" w:after="312" w:line="288" w:lineRule="auto"/>
        <w:jc w:val="center"/>
        <w:rPr>
          <w:b/>
          <w:bCs/>
          <w:szCs w:val="24"/>
          <w:lang w:val="en-US"/>
        </w:rPr>
      </w:pPr>
      <w:bookmarkStart w:id="53" w:name="_Toc331410101"/>
      <w:bookmarkStart w:id="54" w:name="_Toc225498272"/>
      <w:r w:rsidRPr="005C672D">
        <w:rPr>
          <w:b/>
          <w:bCs/>
          <w:szCs w:val="24"/>
          <w:lang w:val="en-US"/>
        </w:rPr>
        <w:t xml:space="preserve">7  </w:t>
      </w:r>
      <w:r w:rsidRPr="005C672D">
        <w:rPr>
          <w:b/>
          <w:bCs/>
          <w:szCs w:val="24"/>
          <w:lang w:val="en-US"/>
        </w:rPr>
        <w:t>投资组合报告</w:t>
      </w:r>
      <w:bookmarkEnd w:id="53"/>
      <w:bookmarkEnd w:id="54"/>
    </w:p>
    <w:p w:rsidR="001548F9" w:rsidRPr="005C672D" w:rsidRDefault="001548F9" w:rsidP="00AC6DDA">
      <w:pPr>
        <w:pStyle w:val="20"/>
        <w:spacing w:before="29" w:after="0" w:line="288" w:lineRule="auto"/>
        <w:rPr>
          <w:rFonts w:ascii="Times New Roman" w:hAnsi="Times New Roman"/>
          <w:kern w:val="0"/>
          <w:szCs w:val="24"/>
        </w:rPr>
      </w:pPr>
      <w:bookmarkStart w:id="55" w:name="_Toc331410102"/>
      <w:bookmarkStart w:id="56"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5"/>
      <w:bookmarkEnd w:id="56"/>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p>
        </w:tc>
        <w:tc>
          <w:tcPr>
            <w:tcW w:w="3420" w:type="dxa"/>
            <w:vAlign w:val="center"/>
          </w:tcPr>
          <w:p w:rsidR="00D31101" w:rsidRPr="005C672D" w:rsidRDefault="00D31101" w:rsidP="00AC6DDA">
            <w:pPr>
              <w:spacing w:before="29" w:line="288" w:lineRule="auto"/>
              <w:ind w:leftChars="50" w:left="105"/>
              <w:rPr>
                <w:color w:val="000000"/>
                <w:sz w:val="24"/>
              </w:rPr>
            </w:pPr>
            <w:r w:rsidRPr="005C672D">
              <w:rPr>
                <w:sz w:val="24"/>
              </w:rPr>
              <w:t>其中：股票</w:t>
            </w:r>
          </w:p>
        </w:tc>
        <w:tc>
          <w:tcPr>
            <w:tcW w:w="252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c>
          <w:tcPr>
            <w:tcW w:w="198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sz w:val="24"/>
              </w:rPr>
              <w:t>2</w:t>
            </w:r>
          </w:p>
        </w:tc>
        <w:tc>
          <w:tcPr>
            <w:tcW w:w="3420" w:type="dxa"/>
            <w:vAlign w:val="center"/>
          </w:tcPr>
          <w:p w:rsidR="00D31101" w:rsidRPr="005C672D" w:rsidRDefault="00D31101" w:rsidP="00AC6DDA">
            <w:pPr>
              <w:spacing w:before="29" w:line="288" w:lineRule="auto"/>
              <w:ind w:leftChars="50" w:left="105"/>
              <w:rPr>
                <w:color w:val="000000"/>
                <w:sz w:val="24"/>
              </w:rPr>
            </w:pPr>
            <w:r w:rsidRPr="005C672D">
              <w:rPr>
                <w:sz w:val="24"/>
              </w:rPr>
              <w:t>固定收益投资</w:t>
            </w:r>
          </w:p>
        </w:tc>
        <w:tc>
          <w:tcPr>
            <w:tcW w:w="252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228,522,100.00</w:t>
            </w:r>
          </w:p>
        </w:tc>
        <w:tc>
          <w:tcPr>
            <w:tcW w:w="198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74.14</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p>
        </w:tc>
        <w:tc>
          <w:tcPr>
            <w:tcW w:w="3420" w:type="dxa"/>
            <w:vAlign w:val="center"/>
          </w:tcPr>
          <w:p w:rsidR="00D31101" w:rsidRPr="005C672D" w:rsidRDefault="00D31101" w:rsidP="00AC6DDA">
            <w:pPr>
              <w:spacing w:before="29" w:line="288" w:lineRule="auto"/>
              <w:ind w:leftChars="50" w:left="105"/>
              <w:rPr>
                <w:color w:val="000000"/>
                <w:sz w:val="24"/>
              </w:rPr>
            </w:pPr>
            <w:r w:rsidRPr="005C672D">
              <w:rPr>
                <w:sz w:val="24"/>
              </w:rPr>
              <w:t>其中：债券</w:t>
            </w:r>
          </w:p>
        </w:tc>
        <w:tc>
          <w:tcPr>
            <w:tcW w:w="252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228,522,100.00</w:t>
            </w:r>
          </w:p>
        </w:tc>
        <w:tc>
          <w:tcPr>
            <w:tcW w:w="198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74.14</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p>
        </w:tc>
        <w:tc>
          <w:tcPr>
            <w:tcW w:w="3420" w:type="dxa"/>
            <w:vAlign w:val="center"/>
          </w:tcPr>
          <w:p w:rsidR="00D31101" w:rsidRPr="005C672D" w:rsidRDefault="00D31101" w:rsidP="00AC6DDA">
            <w:pPr>
              <w:spacing w:before="29" w:line="288" w:lineRule="auto"/>
              <w:ind w:leftChars="50" w:left="105"/>
              <w:rPr>
                <w:color w:val="000000"/>
                <w:sz w:val="24"/>
              </w:rPr>
            </w:pPr>
            <w:r w:rsidRPr="005C672D">
              <w:rPr>
                <w:sz w:val="24"/>
              </w:rPr>
              <w:t>资产支持证券</w:t>
            </w:r>
          </w:p>
        </w:tc>
        <w:tc>
          <w:tcPr>
            <w:tcW w:w="252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c>
          <w:tcPr>
            <w:tcW w:w="1980" w:type="dxa"/>
            <w:vAlign w:val="center"/>
          </w:tcPr>
          <w:p w:rsidR="00D31101" w:rsidRPr="005C672D" w:rsidRDefault="00D31101" w:rsidP="00AC6DDA">
            <w:pPr>
              <w:spacing w:before="29" w:line="288" w:lineRule="auto"/>
              <w:ind w:left="17"/>
              <w:jc w:val="right"/>
              <w:rPr>
                <w:color w:val="000000"/>
                <w:sz w:val="24"/>
              </w:rPr>
            </w:pPr>
            <w:r w:rsidRPr="005C672D">
              <w:rPr>
                <w:color w:val="000000"/>
                <w:sz w:val="24"/>
              </w:rPr>
              <w:t>-</w:t>
            </w:r>
          </w:p>
        </w:tc>
      </w:tr>
      <w:tr w:rsidR="00B65701" w:rsidRPr="005C672D" w:rsidTr="00DA11A4">
        <w:tc>
          <w:tcPr>
            <w:tcW w:w="1080" w:type="dxa"/>
            <w:vAlign w:val="center"/>
          </w:tcPr>
          <w:p w:rsidR="00B65701" w:rsidRPr="005C672D" w:rsidRDefault="00B65701" w:rsidP="00DA11A4">
            <w:pPr>
              <w:spacing w:before="29" w:line="288" w:lineRule="auto"/>
              <w:jc w:val="center"/>
              <w:rPr>
                <w:color w:val="000000"/>
                <w:sz w:val="24"/>
              </w:rPr>
            </w:pPr>
            <w:r w:rsidRPr="005C672D">
              <w:rPr>
                <w:color w:val="000000"/>
                <w:sz w:val="24"/>
              </w:rPr>
              <w:t>3</w:t>
            </w:r>
          </w:p>
        </w:tc>
        <w:tc>
          <w:tcPr>
            <w:tcW w:w="3420" w:type="dxa"/>
            <w:vAlign w:val="center"/>
          </w:tcPr>
          <w:p w:rsidR="00B65701" w:rsidRPr="005C672D" w:rsidRDefault="00B65701" w:rsidP="00DA11A4">
            <w:pPr>
              <w:spacing w:before="29" w:line="288" w:lineRule="auto"/>
              <w:ind w:leftChars="50" w:left="105"/>
              <w:rPr>
                <w:color w:val="000000"/>
                <w:sz w:val="24"/>
              </w:rPr>
            </w:pPr>
            <w:r w:rsidRPr="005C672D">
              <w:rPr>
                <w:color w:val="000000"/>
                <w:sz w:val="24"/>
              </w:rPr>
              <w:t>贵金属投资</w:t>
            </w:r>
          </w:p>
        </w:tc>
        <w:tc>
          <w:tcPr>
            <w:tcW w:w="2520" w:type="dxa"/>
            <w:vAlign w:val="center"/>
          </w:tcPr>
          <w:p w:rsidR="00B65701" w:rsidRPr="005C672D" w:rsidRDefault="00B65701" w:rsidP="00344669">
            <w:pPr>
              <w:spacing w:before="29" w:line="360" w:lineRule="auto"/>
              <w:ind w:left="17"/>
              <w:jc w:val="right"/>
              <w:rPr>
                <w:color w:val="000000"/>
                <w:sz w:val="24"/>
              </w:rPr>
            </w:pPr>
            <w:r w:rsidRPr="005C672D">
              <w:rPr>
                <w:color w:val="000000"/>
                <w:sz w:val="24"/>
              </w:rPr>
              <w:t>-</w:t>
            </w:r>
          </w:p>
        </w:tc>
        <w:tc>
          <w:tcPr>
            <w:tcW w:w="1980" w:type="dxa"/>
            <w:vAlign w:val="center"/>
          </w:tcPr>
          <w:p w:rsidR="00B65701" w:rsidRPr="005C672D" w:rsidRDefault="00B65701" w:rsidP="00344669">
            <w:pPr>
              <w:spacing w:before="29" w:line="360" w:lineRule="auto"/>
              <w:ind w:left="17"/>
              <w:jc w:val="right"/>
              <w:rPr>
                <w:color w:val="000000"/>
                <w:sz w:val="24"/>
              </w:rPr>
            </w:pPr>
            <w:r w:rsidRPr="005C672D">
              <w:rPr>
                <w:color w:val="000000"/>
                <w:sz w:val="24"/>
              </w:rPr>
              <w:t>-</w:t>
            </w:r>
          </w:p>
        </w:tc>
      </w:tr>
      <w:tr w:rsidR="00B65701" w:rsidRPr="005C672D" w:rsidTr="00C17210">
        <w:tc>
          <w:tcPr>
            <w:tcW w:w="1080" w:type="dxa"/>
            <w:vAlign w:val="center"/>
          </w:tcPr>
          <w:p w:rsidR="00B65701" w:rsidRPr="005C672D" w:rsidRDefault="00B65701" w:rsidP="00AC6DDA">
            <w:pPr>
              <w:spacing w:before="29" w:line="288" w:lineRule="auto"/>
              <w:jc w:val="center"/>
              <w:rPr>
                <w:color w:val="000000"/>
                <w:sz w:val="24"/>
              </w:rPr>
            </w:pPr>
            <w:r w:rsidRPr="005C672D">
              <w:rPr>
                <w:sz w:val="24"/>
              </w:rPr>
              <w:t>4</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金融衍生品投资</w:t>
            </w:r>
          </w:p>
        </w:tc>
        <w:tc>
          <w:tcPr>
            <w:tcW w:w="252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c>
          <w:tcPr>
            <w:tcW w:w="198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r>
      <w:tr w:rsidR="00B65701" w:rsidRPr="005C672D" w:rsidTr="00C17210">
        <w:tc>
          <w:tcPr>
            <w:tcW w:w="1080" w:type="dxa"/>
            <w:vAlign w:val="center"/>
          </w:tcPr>
          <w:p w:rsidR="00B65701" w:rsidRPr="005C672D" w:rsidRDefault="00B65701" w:rsidP="00AC6DDA">
            <w:pPr>
              <w:spacing w:before="29" w:line="288" w:lineRule="auto"/>
              <w:jc w:val="center"/>
              <w:rPr>
                <w:color w:val="000000"/>
                <w:sz w:val="24"/>
              </w:rPr>
            </w:pPr>
            <w:r w:rsidRPr="005C672D">
              <w:rPr>
                <w:sz w:val="24"/>
              </w:rPr>
              <w:t>5</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买入返售金融资产</w:t>
            </w:r>
          </w:p>
        </w:tc>
        <w:tc>
          <w:tcPr>
            <w:tcW w:w="252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59,994,150.00</w:t>
            </w:r>
          </w:p>
        </w:tc>
        <w:tc>
          <w:tcPr>
            <w:tcW w:w="198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19.47</w:t>
            </w:r>
          </w:p>
        </w:tc>
      </w:tr>
      <w:tr w:rsidR="00B65701" w:rsidRPr="005C672D" w:rsidTr="00C17210">
        <w:tc>
          <w:tcPr>
            <w:tcW w:w="1080" w:type="dxa"/>
            <w:vAlign w:val="center"/>
          </w:tcPr>
          <w:p w:rsidR="00B65701" w:rsidRPr="005C672D" w:rsidRDefault="00B65701" w:rsidP="00AC6DDA">
            <w:pPr>
              <w:spacing w:before="29" w:line="288" w:lineRule="auto"/>
              <w:jc w:val="center"/>
              <w:rPr>
                <w:color w:val="000000"/>
                <w:sz w:val="24"/>
              </w:rPr>
            </w:pP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其中：买断式回购的买入返售金融资产</w:t>
            </w:r>
          </w:p>
        </w:tc>
        <w:tc>
          <w:tcPr>
            <w:tcW w:w="252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c>
          <w:tcPr>
            <w:tcW w:w="198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w:t>
            </w:r>
          </w:p>
        </w:tc>
      </w:tr>
      <w:tr w:rsidR="00B65701" w:rsidRPr="005C672D" w:rsidTr="00C17210">
        <w:tc>
          <w:tcPr>
            <w:tcW w:w="1080" w:type="dxa"/>
            <w:vAlign w:val="center"/>
          </w:tcPr>
          <w:p w:rsidR="00B65701" w:rsidRPr="005C672D" w:rsidRDefault="00B65701" w:rsidP="00AC6DDA">
            <w:pPr>
              <w:spacing w:before="29" w:line="288" w:lineRule="auto"/>
              <w:jc w:val="center"/>
              <w:rPr>
                <w:color w:val="000000"/>
                <w:sz w:val="24"/>
              </w:rPr>
            </w:pPr>
            <w:r w:rsidRPr="005C672D">
              <w:rPr>
                <w:sz w:val="24"/>
              </w:rPr>
              <w:t>6</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银行存款和结算备付金合计</w:t>
            </w:r>
          </w:p>
        </w:tc>
        <w:tc>
          <w:tcPr>
            <w:tcW w:w="252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16,740,233.25</w:t>
            </w:r>
          </w:p>
        </w:tc>
        <w:tc>
          <w:tcPr>
            <w:tcW w:w="1980" w:type="dxa"/>
            <w:vAlign w:val="center"/>
          </w:tcPr>
          <w:p w:rsidR="00B65701" w:rsidRPr="005C672D" w:rsidRDefault="00B65701" w:rsidP="00AC6DDA">
            <w:pPr>
              <w:spacing w:before="29" w:line="288" w:lineRule="auto"/>
              <w:ind w:left="17"/>
              <w:jc w:val="right"/>
              <w:rPr>
                <w:color w:val="000000"/>
                <w:sz w:val="24"/>
              </w:rPr>
            </w:pPr>
            <w:r w:rsidRPr="005C672D">
              <w:rPr>
                <w:color w:val="000000"/>
                <w:sz w:val="24"/>
              </w:rPr>
              <w:t>5.43</w:t>
            </w:r>
          </w:p>
        </w:tc>
      </w:tr>
      <w:tr w:rsidR="00B65701" w:rsidRPr="005C672D" w:rsidTr="00C17210">
        <w:tc>
          <w:tcPr>
            <w:tcW w:w="1080" w:type="dxa"/>
            <w:vAlign w:val="center"/>
          </w:tcPr>
          <w:p w:rsidR="00B65701" w:rsidRPr="005C672D" w:rsidRDefault="00B65701" w:rsidP="00B65701">
            <w:pPr>
              <w:spacing w:before="29" w:line="288" w:lineRule="auto"/>
              <w:ind w:left="17"/>
              <w:jc w:val="center"/>
              <w:rPr>
                <w:color w:val="000000"/>
                <w:sz w:val="24"/>
              </w:rPr>
            </w:pPr>
            <w:r w:rsidRPr="005C672D">
              <w:rPr>
                <w:color w:val="000000"/>
                <w:sz w:val="24"/>
              </w:rPr>
              <w:t>7</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其他各项资产</w:t>
            </w:r>
          </w:p>
        </w:tc>
        <w:tc>
          <w:tcPr>
            <w:tcW w:w="2520" w:type="dxa"/>
            <w:vAlign w:val="center"/>
          </w:tcPr>
          <w:p w:rsidR="00B65701" w:rsidRPr="005C672D" w:rsidRDefault="00B65701" w:rsidP="00AC6DDA">
            <w:pPr>
              <w:spacing w:before="29" w:line="288" w:lineRule="auto"/>
              <w:jc w:val="right"/>
              <w:rPr>
                <w:color w:val="000000"/>
                <w:sz w:val="24"/>
              </w:rPr>
            </w:pPr>
            <w:r w:rsidRPr="005C672D">
              <w:rPr>
                <w:color w:val="000000"/>
                <w:sz w:val="24"/>
              </w:rPr>
              <w:t>2,957,206.33</w:t>
            </w:r>
          </w:p>
        </w:tc>
        <w:tc>
          <w:tcPr>
            <w:tcW w:w="1980" w:type="dxa"/>
            <w:vAlign w:val="center"/>
          </w:tcPr>
          <w:p w:rsidR="00B65701" w:rsidRPr="005C672D" w:rsidRDefault="00B65701" w:rsidP="00AC6DDA">
            <w:pPr>
              <w:spacing w:before="29" w:line="288" w:lineRule="auto"/>
              <w:jc w:val="right"/>
              <w:rPr>
                <w:color w:val="000000"/>
                <w:sz w:val="24"/>
              </w:rPr>
            </w:pPr>
            <w:r w:rsidRPr="005C672D">
              <w:rPr>
                <w:color w:val="000000"/>
                <w:sz w:val="24"/>
              </w:rPr>
              <w:t>0.96</w:t>
            </w:r>
          </w:p>
        </w:tc>
      </w:tr>
      <w:tr w:rsidR="00B65701" w:rsidRPr="005C672D" w:rsidTr="00C17210">
        <w:tc>
          <w:tcPr>
            <w:tcW w:w="1080" w:type="dxa"/>
            <w:vAlign w:val="center"/>
          </w:tcPr>
          <w:p w:rsidR="00B65701" w:rsidRPr="005C672D" w:rsidRDefault="00B65701" w:rsidP="00B65701">
            <w:pPr>
              <w:spacing w:before="29" w:line="288" w:lineRule="auto"/>
              <w:ind w:left="17"/>
              <w:jc w:val="center"/>
              <w:rPr>
                <w:color w:val="000000"/>
                <w:sz w:val="24"/>
              </w:rPr>
            </w:pPr>
            <w:r w:rsidRPr="005C672D">
              <w:rPr>
                <w:color w:val="000000"/>
                <w:sz w:val="24"/>
              </w:rPr>
              <w:t>8</w:t>
            </w:r>
          </w:p>
        </w:tc>
        <w:tc>
          <w:tcPr>
            <w:tcW w:w="3420" w:type="dxa"/>
            <w:vAlign w:val="center"/>
          </w:tcPr>
          <w:p w:rsidR="00B65701" w:rsidRPr="005C672D" w:rsidRDefault="00B65701" w:rsidP="00AC6DDA">
            <w:pPr>
              <w:spacing w:before="29" w:line="288" w:lineRule="auto"/>
              <w:ind w:leftChars="50" w:left="105"/>
              <w:rPr>
                <w:color w:val="000000"/>
                <w:sz w:val="24"/>
              </w:rPr>
            </w:pPr>
            <w:r w:rsidRPr="005C672D">
              <w:rPr>
                <w:sz w:val="24"/>
              </w:rPr>
              <w:t>合计</w:t>
            </w:r>
          </w:p>
        </w:tc>
        <w:tc>
          <w:tcPr>
            <w:tcW w:w="2520" w:type="dxa"/>
            <w:vAlign w:val="center"/>
          </w:tcPr>
          <w:p w:rsidR="00B65701" w:rsidRPr="005C672D" w:rsidRDefault="00B65701" w:rsidP="00AC6DDA">
            <w:pPr>
              <w:spacing w:before="29" w:line="288" w:lineRule="auto"/>
              <w:jc w:val="right"/>
              <w:rPr>
                <w:color w:val="000000"/>
                <w:sz w:val="24"/>
              </w:rPr>
            </w:pPr>
            <w:r w:rsidRPr="005C672D">
              <w:rPr>
                <w:color w:val="000000"/>
                <w:sz w:val="24"/>
              </w:rPr>
              <w:t>308,213,689.58</w:t>
            </w:r>
          </w:p>
        </w:tc>
        <w:tc>
          <w:tcPr>
            <w:tcW w:w="1980" w:type="dxa"/>
            <w:vAlign w:val="center"/>
          </w:tcPr>
          <w:p w:rsidR="00B65701" w:rsidRPr="005C672D" w:rsidRDefault="00B65701" w:rsidP="00AC6DDA">
            <w:pPr>
              <w:spacing w:before="29" w:line="288" w:lineRule="auto"/>
              <w:jc w:val="right"/>
              <w:rPr>
                <w:color w:val="000000"/>
                <w:sz w:val="24"/>
              </w:rPr>
            </w:pPr>
            <w:r w:rsidRPr="005C672D">
              <w:rPr>
                <w:color w:val="000000"/>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7" w:name="_Toc331410103"/>
      <w:bookmarkStart w:id="58"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57"/>
      <w:bookmarkEnd w:id="58"/>
    </w:p>
    <w:p w:rsidR="001C16A1" w:rsidRPr="001C16A1" w:rsidRDefault="001C16A1" w:rsidP="001C16A1">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Default="001548F9" w:rsidP="00AC6DDA">
      <w:pPr>
        <w:tabs>
          <w:tab w:val="left" w:pos="426"/>
        </w:tabs>
        <w:spacing w:before="29" w:line="288" w:lineRule="auto"/>
        <w:jc w:val="left"/>
        <w:rPr>
          <w:kern w:val="0"/>
          <w:sz w:val="24"/>
        </w:rPr>
      </w:pPr>
      <w:r w:rsidRPr="005C672D">
        <w:rPr>
          <w:kern w:val="0"/>
          <w:sz w:val="24"/>
        </w:rPr>
        <w:t>本基金本报告期末未持有股票。</w:t>
      </w:r>
    </w:p>
    <w:p w:rsidR="00084EB5" w:rsidRPr="00084EB5" w:rsidRDefault="00084EB5" w:rsidP="00AC6DDA">
      <w:pPr>
        <w:tabs>
          <w:tab w:val="left" w:pos="426"/>
        </w:tabs>
        <w:spacing w:before="29" w:line="288" w:lineRule="auto"/>
        <w:jc w:val="left"/>
        <w:rPr>
          <w:kern w:val="0"/>
          <w:sz w:val="24"/>
        </w:rPr>
      </w:pP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报告期末按行业分类的沪港通投资股票投资组合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本基金本报告期末未持有通过沪港通投资的股票。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9"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59"/>
    </w:p>
    <w:p w:rsidR="001548F9" w:rsidRPr="005C672D" w:rsidRDefault="00DD0E90" w:rsidP="00AC6DDA">
      <w:pPr>
        <w:tabs>
          <w:tab w:val="left" w:pos="426"/>
        </w:tabs>
        <w:spacing w:before="29" w:line="288" w:lineRule="auto"/>
        <w:jc w:val="left"/>
        <w:rPr>
          <w:kern w:val="0"/>
          <w:sz w:val="24"/>
        </w:rPr>
      </w:pPr>
      <w:r w:rsidRPr="005C672D">
        <w:rPr>
          <w:kern w:val="0"/>
          <w:sz w:val="24"/>
        </w:rPr>
        <w:t>本基金本报告期末未持有股票。</w:t>
      </w:r>
    </w:p>
    <w:p w:rsidR="001548F9" w:rsidRPr="005C672D" w:rsidRDefault="001548F9" w:rsidP="00AC6DDA">
      <w:pPr>
        <w:pStyle w:val="20"/>
        <w:spacing w:before="29" w:after="0" w:line="288" w:lineRule="auto"/>
        <w:rPr>
          <w:rFonts w:ascii="Times New Roman" w:hAnsi="Times New Roman"/>
          <w:kern w:val="0"/>
          <w:szCs w:val="24"/>
        </w:rPr>
      </w:pPr>
      <w:bookmarkStart w:id="60" w:name="_Toc331410105"/>
      <w:r w:rsidRPr="005C672D">
        <w:rPr>
          <w:rFonts w:ascii="Times New Roman" w:hAnsi="Times New Roman"/>
          <w:kern w:val="0"/>
          <w:szCs w:val="24"/>
        </w:rPr>
        <w:t>7.4</w:t>
      </w:r>
      <w:bookmarkStart w:id="61" w:name="_Toc234814103"/>
      <w:r w:rsidRPr="005C672D">
        <w:rPr>
          <w:rFonts w:ascii="Times New Roman" w:hAnsi="Times New Roman"/>
          <w:kern w:val="0"/>
          <w:szCs w:val="24"/>
        </w:rPr>
        <w:t>报告期内股票投资组合的重大变动</w:t>
      </w:r>
      <w:bookmarkEnd w:id="60"/>
      <w:bookmarkEnd w:id="61"/>
    </w:p>
    <w:p w:rsidR="001548F9" w:rsidRDefault="001548F9" w:rsidP="00AC6DDA">
      <w:pPr>
        <w:tabs>
          <w:tab w:val="left" w:pos="426"/>
        </w:tabs>
        <w:spacing w:before="29" w:line="288" w:lineRule="auto"/>
        <w:jc w:val="left"/>
        <w:rPr>
          <w:kern w:val="0"/>
          <w:sz w:val="24"/>
        </w:rPr>
      </w:pPr>
      <w:r w:rsidRPr="005C672D">
        <w:rPr>
          <w:kern w:val="0"/>
          <w:sz w:val="24"/>
        </w:rPr>
        <w:t>本基金本报告期内未持有股票。</w:t>
      </w:r>
    </w:p>
    <w:p w:rsidR="0038061C" w:rsidRPr="0038061C" w:rsidRDefault="0038061C"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2" w:name="_Toc331410106"/>
      <w:bookmarkStart w:id="63"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2"/>
      <w:bookmarkEnd w:id="63"/>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3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债券品种</w:t>
            </w:r>
          </w:p>
        </w:tc>
        <w:tc>
          <w:tcPr>
            <w:tcW w:w="254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21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2056A6" w:rsidRPr="005C672D">
              <w:rPr>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国家债券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2</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央行票据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3</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金融债券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其中：政策性金融债</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4</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148,884,100.00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62.44</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5</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企业短期融资</w:t>
            </w:r>
            <w:r w:rsidR="004D62FA" w:rsidRPr="005C672D">
              <w:rPr>
                <w:color w:val="000000"/>
                <w:sz w:val="24"/>
              </w:rPr>
              <w:t>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60,082,000.00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25.20</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6</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中期票据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19,556,000.00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8.20</w:t>
            </w:r>
          </w:p>
        </w:tc>
      </w:tr>
      <w:tr w:rsidR="001C16A1" w:rsidRPr="005C672D" w:rsidTr="00986F4D">
        <w:tc>
          <w:tcPr>
            <w:tcW w:w="862" w:type="dxa"/>
            <w:vAlign w:val="center"/>
          </w:tcPr>
          <w:p w:rsidR="001C16A1" w:rsidRPr="005C672D" w:rsidRDefault="001C16A1" w:rsidP="00986F4D">
            <w:pPr>
              <w:spacing w:before="29" w:line="288" w:lineRule="auto"/>
              <w:ind w:left="17"/>
              <w:jc w:val="center"/>
              <w:rPr>
                <w:color w:val="000000"/>
                <w:sz w:val="24"/>
              </w:rPr>
            </w:pPr>
            <w:r w:rsidRPr="005C672D">
              <w:rPr>
                <w:color w:val="000000"/>
                <w:sz w:val="24"/>
              </w:rPr>
              <w:t>7</w:t>
            </w:r>
          </w:p>
        </w:tc>
        <w:tc>
          <w:tcPr>
            <w:tcW w:w="3440" w:type="dxa"/>
            <w:vAlign w:val="center"/>
          </w:tcPr>
          <w:p w:rsidR="001C16A1" w:rsidRPr="005C672D" w:rsidRDefault="001C16A1" w:rsidP="00986F4D">
            <w:pPr>
              <w:spacing w:before="29" w:line="288" w:lineRule="auto"/>
              <w:ind w:left="17"/>
              <w:jc w:val="left"/>
              <w:rPr>
                <w:color w:val="000000"/>
                <w:sz w:val="24"/>
              </w:rPr>
            </w:pPr>
            <w:r w:rsidRPr="005C672D">
              <w:rPr>
                <w:color w:val="000000"/>
                <w:sz w:val="24"/>
              </w:rPr>
              <w:t>可转债</w:t>
            </w:r>
            <w:r>
              <w:rPr>
                <w:rFonts w:hint="eastAsia"/>
                <w:color w:val="000000"/>
                <w:sz w:val="24"/>
              </w:rPr>
              <w:t>（可交换债</w:t>
            </w:r>
            <w:r>
              <w:rPr>
                <w:color w:val="000000"/>
                <w:sz w:val="24"/>
              </w:rPr>
              <w:t>）</w:t>
            </w:r>
          </w:p>
        </w:tc>
        <w:tc>
          <w:tcPr>
            <w:tcW w:w="2543" w:type="dxa"/>
            <w:vAlign w:val="center"/>
          </w:tcPr>
          <w:p w:rsidR="001C16A1" w:rsidRPr="005C672D" w:rsidRDefault="001C16A1" w:rsidP="00986F4D">
            <w:pPr>
              <w:spacing w:before="29" w:line="288" w:lineRule="auto"/>
              <w:ind w:left="17"/>
              <w:jc w:val="right"/>
              <w:rPr>
                <w:sz w:val="24"/>
              </w:rPr>
            </w:pPr>
            <w:r w:rsidRPr="005C672D">
              <w:rPr>
                <w:sz w:val="24"/>
              </w:rPr>
              <w:t>-</w:t>
            </w:r>
          </w:p>
        </w:tc>
        <w:tc>
          <w:tcPr>
            <w:tcW w:w="2153" w:type="dxa"/>
            <w:vAlign w:val="center"/>
          </w:tcPr>
          <w:p w:rsidR="001C16A1" w:rsidRPr="005C672D" w:rsidRDefault="001C16A1" w:rsidP="00986F4D">
            <w:pPr>
              <w:spacing w:before="29" w:line="288" w:lineRule="auto"/>
              <w:ind w:left="17"/>
              <w:jc w:val="right"/>
              <w:rPr>
                <w:sz w:val="24"/>
              </w:rPr>
            </w:pPr>
            <w:r w:rsidRPr="005C672D">
              <w:rPr>
                <w:sz w:val="24"/>
              </w:rPr>
              <w:t>-</w:t>
            </w:r>
          </w:p>
        </w:tc>
      </w:tr>
      <w:tr w:rsidR="001C16A1" w:rsidRPr="005C672D" w:rsidTr="00DF4815">
        <w:tc>
          <w:tcPr>
            <w:tcW w:w="862"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1C16A1" w:rsidRPr="004B6D45" w:rsidRDefault="001C16A1" w:rsidP="001C16A1">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9</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其他</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10</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合计</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228,522,100.00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95.85</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4" w:name="_Toc331410107"/>
      <w:r w:rsidRPr="005C672D">
        <w:rPr>
          <w:rFonts w:ascii="Times New Roman" w:hAnsi="Times New Roman"/>
          <w:kern w:val="0"/>
          <w:szCs w:val="24"/>
        </w:rPr>
        <w:t>7.6</w:t>
      </w:r>
      <w:bookmarkStart w:id="65"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4"/>
      <w:bookmarkEnd w:id="6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5C672D" w:rsidTr="007A6E46">
        <w:tc>
          <w:tcPr>
            <w:tcW w:w="132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38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债券代码</w:t>
            </w:r>
          </w:p>
        </w:tc>
        <w:tc>
          <w:tcPr>
            <w:tcW w:w="13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债券名称</w:t>
            </w:r>
          </w:p>
        </w:tc>
        <w:tc>
          <w:tcPr>
            <w:tcW w:w="150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AA4BCE" w:rsidRPr="005C672D">
              <w:rPr>
                <w:color w:val="000000"/>
                <w:sz w:val="24"/>
              </w:rPr>
              <w:t>（张）</w:t>
            </w:r>
          </w:p>
        </w:tc>
        <w:tc>
          <w:tcPr>
            <w:tcW w:w="173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1D2D5F" w:rsidRPr="005C672D">
              <w:rPr>
                <w:sz w:val="24"/>
              </w:rPr>
              <w:t>（％）</w:t>
            </w:r>
          </w:p>
        </w:tc>
      </w:tr>
      <w:tr w:rsidR="005A0F6D">
        <w:tc>
          <w:tcPr>
            <w:tcW w:w="1320" w:type="dxa"/>
            <w:vAlign w:val="center"/>
          </w:tcPr>
          <w:p w:rsidR="005A0F6D" w:rsidRDefault="00D24CEF">
            <w:pPr>
              <w:jc w:val="center"/>
            </w:pPr>
            <w:r>
              <w:rPr>
                <w:color w:val="000000"/>
                <w:sz w:val="24"/>
              </w:rPr>
              <w:t>1</w:t>
            </w:r>
          </w:p>
        </w:tc>
        <w:tc>
          <w:tcPr>
            <w:tcW w:w="1382" w:type="dxa"/>
            <w:vAlign w:val="center"/>
          </w:tcPr>
          <w:p w:rsidR="005A0F6D" w:rsidRDefault="00D24CEF">
            <w:pPr>
              <w:jc w:val="center"/>
            </w:pPr>
            <w:r>
              <w:rPr>
                <w:color w:val="000000"/>
                <w:sz w:val="24"/>
              </w:rPr>
              <w:t>122367</w:t>
            </w:r>
          </w:p>
        </w:tc>
        <w:tc>
          <w:tcPr>
            <w:tcW w:w="1353" w:type="dxa"/>
            <w:vAlign w:val="center"/>
          </w:tcPr>
          <w:p w:rsidR="005A0F6D" w:rsidRDefault="00D24CEF">
            <w:pPr>
              <w:jc w:val="center"/>
            </w:pPr>
            <w:r>
              <w:rPr>
                <w:color w:val="000000"/>
                <w:sz w:val="24"/>
              </w:rPr>
              <w:t>14</w:t>
            </w:r>
            <w:r>
              <w:rPr>
                <w:color w:val="000000"/>
                <w:sz w:val="24"/>
              </w:rPr>
              <w:t>财富债</w:t>
            </w:r>
          </w:p>
        </w:tc>
        <w:tc>
          <w:tcPr>
            <w:tcW w:w="1505" w:type="dxa"/>
            <w:vAlign w:val="center"/>
          </w:tcPr>
          <w:p w:rsidR="005A0F6D" w:rsidRDefault="00D24CEF">
            <w:pPr>
              <w:jc w:val="right"/>
            </w:pPr>
            <w:r>
              <w:rPr>
                <w:color w:val="000000"/>
                <w:sz w:val="24"/>
              </w:rPr>
              <w:t>200,000</w:t>
            </w:r>
          </w:p>
        </w:tc>
        <w:tc>
          <w:tcPr>
            <w:tcW w:w="1737" w:type="dxa"/>
            <w:vAlign w:val="center"/>
          </w:tcPr>
          <w:p w:rsidR="005A0F6D" w:rsidRDefault="00D24CEF">
            <w:pPr>
              <w:jc w:val="right"/>
            </w:pPr>
            <w:r>
              <w:rPr>
                <w:color w:val="000000"/>
                <w:sz w:val="24"/>
              </w:rPr>
              <w:t>21,114,000.00</w:t>
            </w:r>
          </w:p>
        </w:tc>
        <w:tc>
          <w:tcPr>
            <w:tcW w:w="1701" w:type="dxa"/>
            <w:vAlign w:val="center"/>
          </w:tcPr>
          <w:p w:rsidR="005A0F6D" w:rsidRDefault="00D24CEF">
            <w:pPr>
              <w:jc w:val="right"/>
            </w:pPr>
            <w:r>
              <w:rPr>
                <w:color w:val="000000"/>
                <w:sz w:val="24"/>
              </w:rPr>
              <w:t>8.86</w:t>
            </w:r>
          </w:p>
        </w:tc>
      </w:tr>
      <w:tr w:rsidR="005A0F6D">
        <w:tc>
          <w:tcPr>
            <w:tcW w:w="1320" w:type="dxa"/>
            <w:vAlign w:val="center"/>
          </w:tcPr>
          <w:p w:rsidR="005A0F6D" w:rsidRDefault="00D24CEF">
            <w:pPr>
              <w:jc w:val="center"/>
            </w:pPr>
            <w:r>
              <w:rPr>
                <w:color w:val="000000"/>
                <w:sz w:val="24"/>
              </w:rPr>
              <w:t>2</w:t>
            </w:r>
          </w:p>
        </w:tc>
        <w:tc>
          <w:tcPr>
            <w:tcW w:w="1382" w:type="dxa"/>
            <w:vAlign w:val="center"/>
          </w:tcPr>
          <w:p w:rsidR="005A0F6D" w:rsidRDefault="00D24CEF">
            <w:pPr>
              <w:jc w:val="center"/>
            </w:pPr>
            <w:r>
              <w:rPr>
                <w:color w:val="000000"/>
                <w:sz w:val="24"/>
              </w:rPr>
              <w:t>122357</w:t>
            </w:r>
          </w:p>
        </w:tc>
        <w:tc>
          <w:tcPr>
            <w:tcW w:w="1353" w:type="dxa"/>
            <w:vAlign w:val="center"/>
          </w:tcPr>
          <w:p w:rsidR="005A0F6D" w:rsidRDefault="00D24CEF">
            <w:pPr>
              <w:jc w:val="center"/>
            </w:pPr>
            <w:r>
              <w:rPr>
                <w:color w:val="000000"/>
                <w:sz w:val="24"/>
              </w:rPr>
              <w:t>14</w:t>
            </w:r>
            <w:r>
              <w:rPr>
                <w:color w:val="000000"/>
                <w:sz w:val="24"/>
              </w:rPr>
              <w:t>浙证债</w:t>
            </w:r>
          </w:p>
        </w:tc>
        <w:tc>
          <w:tcPr>
            <w:tcW w:w="1505" w:type="dxa"/>
            <w:vAlign w:val="center"/>
          </w:tcPr>
          <w:p w:rsidR="005A0F6D" w:rsidRDefault="00D24CEF">
            <w:pPr>
              <w:jc w:val="right"/>
            </w:pPr>
            <w:r>
              <w:rPr>
                <w:color w:val="000000"/>
                <w:sz w:val="24"/>
              </w:rPr>
              <w:t>200,000</w:t>
            </w:r>
          </w:p>
        </w:tc>
        <w:tc>
          <w:tcPr>
            <w:tcW w:w="1737" w:type="dxa"/>
            <w:vAlign w:val="center"/>
          </w:tcPr>
          <w:p w:rsidR="005A0F6D" w:rsidRDefault="00D24CEF">
            <w:pPr>
              <w:jc w:val="right"/>
            </w:pPr>
            <w:r>
              <w:rPr>
                <w:color w:val="000000"/>
                <w:sz w:val="24"/>
              </w:rPr>
              <w:t>20,928,000.00</w:t>
            </w:r>
          </w:p>
        </w:tc>
        <w:tc>
          <w:tcPr>
            <w:tcW w:w="1701" w:type="dxa"/>
            <w:vAlign w:val="center"/>
          </w:tcPr>
          <w:p w:rsidR="005A0F6D" w:rsidRDefault="00D24CEF">
            <w:pPr>
              <w:jc w:val="right"/>
            </w:pPr>
            <w:r>
              <w:rPr>
                <w:color w:val="000000"/>
                <w:sz w:val="24"/>
              </w:rPr>
              <w:t>8.78</w:t>
            </w:r>
          </w:p>
        </w:tc>
      </w:tr>
      <w:tr w:rsidR="005A0F6D">
        <w:tc>
          <w:tcPr>
            <w:tcW w:w="1320" w:type="dxa"/>
            <w:vAlign w:val="center"/>
          </w:tcPr>
          <w:p w:rsidR="005A0F6D" w:rsidRDefault="00D24CEF">
            <w:pPr>
              <w:jc w:val="center"/>
            </w:pPr>
            <w:r>
              <w:rPr>
                <w:color w:val="000000"/>
                <w:sz w:val="24"/>
              </w:rPr>
              <w:t>3</w:t>
            </w:r>
          </w:p>
        </w:tc>
        <w:tc>
          <w:tcPr>
            <w:tcW w:w="1382" w:type="dxa"/>
            <w:vAlign w:val="center"/>
          </w:tcPr>
          <w:p w:rsidR="005A0F6D" w:rsidRDefault="00D24CEF">
            <w:pPr>
              <w:jc w:val="center"/>
            </w:pPr>
            <w:r>
              <w:rPr>
                <w:color w:val="000000"/>
                <w:sz w:val="24"/>
              </w:rPr>
              <w:t>122362</w:t>
            </w:r>
          </w:p>
        </w:tc>
        <w:tc>
          <w:tcPr>
            <w:tcW w:w="1353" w:type="dxa"/>
            <w:vAlign w:val="center"/>
          </w:tcPr>
          <w:p w:rsidR="005A0F6D" w:rsidRDefault="00D24CEF">
            <w:pPr>
              <w:jc w:val="center"/>
            </w:pPr>
            <w:r>
              <w:rPr>
                <w:color w:val="000000"/>
                <w:sz w:val="24"/>
              </w:rPr>
              <w:t>14</w:t>
            </w:r>
            <w:r>
              <w:rPr>
                <w:color w:val="000000"/>
                <w:sz w:val="24"/>
              </w:rPr>
              <w:t>上实</w:t>
            </w:r>
            <w:r>
              <w:rPr>
                <w:color w:val="000000"/>
                <w:sz w:val="24"/>
              </w:rPr>
              <w:t>01</w:t>
            </w:r>
          </w:p>
        </w:tc>
        <w:tc>
          <w:tcPr>
            <w:tcW w:w="1505" w:type="dxa"/>
            <w:vAlign w:val="center"/>
          </w:tcPr>
          <w:p w:rsidR="005A0F6D" w:rsidRDefault="00D24CEF">
            <w:pPr>
              <w:jc w:val="right"/>
            </w:pPr>
            <w:r>
              <w:rPr>
                <w:color w:val="000000"/>
                <w:sz w:val="24"/>
              </w:rPr>
              <w:t>200,000</w:t>
            </w:r>
          </w:p>
        </w:tc>
        <w:tc>
          <w:tcPr>
            <w:tcW w:w="1737" w:type="dxa"/>
            <w:vAlign w:val="center"/>
          </w:tcPr>
          <w:p w:rsidR="005A0F6D" w:rsidRDefault="00D24CEF">
            <w:pPr>
              <w:jc w:val="right"/>
            </w:pPr>
            <w:r>
              <w:rPr>
                <w:color w:val="000000"/>
                <w:sz w:val="24"/>
              </w:rPr>
              <w:t>20,726,000.00</w:t>
            </w:r>
          </w:p>
        </w:tc>
        <w:tc>
          <w:tcPr>
            <w:tcW w:w="1701" w:type="dxa"/>
            <w:vAlign w:val="center"/>
          </w:tcPr>
          <w:p w:rsidR="005A0F6D" w:rsidRDefault="00D24CEF">
            <w:pPr>
              <w:jc w:val="right"/>
            </w:pPr>
            <w:r>
              <w:rPr>
                <w:color w:val="000000"/>
                <w:sz w:val="24"/>
              </w:rPr>
              <w:t>8.69</w:t>
            </w:r>
          </w:p>
        </w:tc>
      </w:tr>
      <w:tr w:rsidR="005A0F6D">
        <w:tc>
          <w:tcPr>
            <w:tcW w:w="1320" w:type="dxa"/>
            <w:vAlign w:val="center"/>
          </w:tcPr>
          <w:p w:rsidR="005A0F6D" w:rsidRDefault="00D24CEF">
            <w:pPr>
              <w:jc w:val="center"/>
            </w:pPr>
            <w:r>
              <w:rPr>
                <w:color w:val="000000"/>
                <w:sz w:val="24"/>
              </w:rPr>
              <w:t>4</w:t>
            </w:r>
          </w:p>
        </w:tc>
        <w:tc>
          <w:tcPr>
            <w:tcW w:w="1382" w:type="dxa"/>
            <w:vAlign w:val="center"/>
          </w:tcPr>
          <w:p w:rsidR="005A0F6D" w:rsidRDefault="00D24CEF">
            <w:pPr>
              <w:jc w:val="center"/>
            </w:pPr>
            <w:r>
              <w:rPr>
                <w:color w:val="000000"/>
                <w:sz w:val="24"/>
              </w:rPr>
              <w:t>122341</w:t>
            </w:r>
          </w:p>
        </w:tc>
        <w:tc>
          <w:tcPr>
            <w:tcW w:w="1353" w:type="dxa"/>
            <w:vAlign w:val="center"/>
          </w:tcPr>
          <w:p w:rsidR="005A0F6D" w:rsidRDefault="00D24CEF">
            <w:pPr>
              <w:jc w:val="center"/>
            </w:pPr>
            <w:r>
              <w:rPr>
                <w:color w:val="000000"/>
                <w:sz w:val="24"/>
              </w:rPr>
              <w:t>14</w:t>
            </w:r>
            <w:r>
              <w:rPr>
                <w:color w:val="000000"/>
                <w:sz w:val="24"/>
              </w:rPr>
              <w:t>连云港</w:t>
            </w:r>
          </w:p>
        </w:tc>
        <w:tc>
          <w:tcPr>
            <w:tcW w:w="1505" w:type="dxa"/>
            <w:vAlign w:val="center"/>
          </w:tcPr>
          <w:p w:rsidR="005A0F6D" w:rsidRDefault="00D24CEF">
            <w:pPr>
              <w:jc w:val="right"/>
            </w:pPr>
            <w:r>
              <w:rPr>
                <w:color w:val="000000"/>
                <w:sz w:val="24"/>
              </w:rPr>
              <w:t>200,000</w:t>
            </w:r>
          </w:p>
        </w:tc>
        <w:tc>
          <w:tcPr>
            <w:tcW w:w="1737" w:type="dxa"/>
            <w:vAlign w:val="center"/>
          </w:tcPr>
          <w:p w:rsidR="005A0F6D" w:rsidRDefault="00D24CEF">
            <w:pPr>
              <w:jc w:val="right"/>
            </w:pPr>
            <w:r>
              <w:rPr>
                <w:color w:val="000000"/>
                <w:sz w:val="24"/>
              </w:rPr>
              <w:t>20,412,000.00</w:t>
            </w:r>
          </w:p>
        </w:tc>
        <w:tc>
          <w:tcPr>
            <w:tcW w:w="1701" w:type="dxa"/>
            <w:vAlign w:val="center"/>
          </w:tcPr>
          <w:p w:rsidR="005A0F6D" w:rsidRDefault="00D24CEF">
            <w:pPr>
              <w:jc w:val="right"/>
            </w:pPr>
            <w:r>
              <w:rPr>
                <w:color w:val="000000"/>
                <w:sz w:val="24"/>
              </w:rPr>
              <w:t>8.56</w:t>
            </w:r>
          </w:p>
        </w:tc>
      </w:tr>
      <w:tr w:rsidR="005A0F6D">
        <w:tc>
          <w:tcPr>
            <w:tcW w:w="1320" w:type="dxa"/>
            <w:vAlign w:val="center"/>
          </w:tcPr>
          <w:p w:rsidR="005A0F6D" w:rsidRDefault="00D24CEF">
            <w:pPr>
              <w:jc w:val="center"/>
            </w:pPr>
            <w:r>
              <w:rPr>
                <w:color w:val="000000"/>
                <w:sz w:val="24"/>
              </w:rPr>
              <w:t>5</w:t>
            </w:r>
          </w:p>
        </w:tc>
        <w:tc>
          <w:tcPr>
            <w:tcW w:w="1382" w:type="dxa"/>
            <w:vAlign w:val="center"/>
          </w:tcPr>
          <w:p w:rsidR="005A0F6D" w:rsidRDefault="00D24CEF">
            <w:pPr>
              <w:jc w:val="center"/>
            </w:pPr>
            <w:r>
              <w:rPr>
                <w:color w:val="000000"/>
                <w:sz w:val="24"/>
              </w:rPr>
              <w:t>122227</w:t>
            </w:r>
          </w:p>
        </w:tc>
        <w:tc>
          <w:tcPr>
            <w:tcW w:w="1353" w:type="dxa"/>
            <w:vAlign w:val="center"/>
          </w:tcPr>
          <w:p w:rsidR="005A0F6D" w:rsidRDefault="00D24CEF">
            <w:pPr>
              <w:jc w:val="center"/>
            </w:pPr>
            <w:r>
              <w:rPr>
                <w:color w:val="000000"/>
                <w:sz w:val="24"/>
              </w:rPr>
              <w:t>13</w:t>
            </w:r>
            <w:r>
              <w:rPr>
                <w:color w:val="000000"/>
                <w:sz w:val="24"/>
              </w:rPr>
              <w:t>尖峰</w:t>
            </w:r>
            <w:r>
              <w:rPr>
                <w:color w:val="000000"/>
                <w:sz w:val="24"/>
              </w:rPr>
              <w:t>01</w:t>
            </w:r>
          </w:p>
        </w:tc>
        <w:tc>
          <w:tcPr>
            <w:tcW w:w="1505" w:type="dxa"/>
            <w:vAlign w:val="center"/>
          </w:tcPr>
          <w:p w:rsidR="005A0F6D" w:rsidRDefault="00D24CEF">
            <w:pPr>
              <w:jc w:val="right"/>
            </w:pPr>
            <w:r>
              <w:rPr>
                <w:color w:val="000000"/>
                <w:sz w:val="24"/>
              </w:rPr>
              <w:t>200,000</w:t>
            </w:r>
          </w:p>
        </w:tc>
        <w:tc>
          <w:tcPr>
            <w:tcW w:w="1737" w:type="dxa"/>
            <w:vAlign w:val="center"/>
          </w:tcPr>
          <w:p w:rsidR="005A0F6D" w:rsidRDefault="00D24CEF">
            <w:pPr>
              <w:jc w:val="right"/>
            </w:pPr>
            <w:r>
              <w:rPr>
                <w:color w:val="000000"/>
                <w:sz w:val="24"/>
              </w:rPr>
              <w:t>20,284,000.00</w:t>
            </w:r>
          </w:p>
        </w:tc>
        <w:tc>
          <w:tcPr>
            <w:tcW w:w="1701" w:type="dxa"/>
            <w:vAlign w:val="center"/>
          </w:tcPr>
          <w:p w:rsidR="005A0F6D" w:rsidRDefault="00D24CEF">
            <w:pPr>
              <w:jc w:val="right"/>
            </w:pPr>
            <w:r>
              <w:rPr>
                <w:color w:val="000000"/>
                <w:sz w:val="24"/>
              </w:rPr>
              <w:t>8.51</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6"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6"/>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67"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67"/>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8"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68"/>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9"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69"/>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20,986.64</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2,934,989.69</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1,230.00</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2,957,206.33</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本基金本报告期末未持有股票。</w:t>
      </w:r>
    </w:p>
    <w:p w:rsidR="00374080" w:rsidRPr="005C672D" w:rsidRDefault="00374080" w:rsidP="00AC6DDA">
      <w:pPr>
        <w:tabs>
          <w:tab w:val="left" w:pos="426"/>
        </w:tabs>
        <w:spacing w:before="29" w:line="288" w:lineRule="auto"/>
        <w:jc w:val="left"/>
        <w:rPr>
          <w:kern w:val="0"/>
          <w:sz w:val="24"/>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771596">
      <w:pPr>
        <w:spacing w:before="29" w:line="288" w:lineRule="auto"/>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0B63EC">
      <w:pPr>
        <w:pStyle w:val="1"/>
        <w:keepNext/>
        <w:keepLines/>
        <w:widowControl w:val="0"/>
        <w:spacing w:beforeLines="100" w:before="312" w:afterLines="100" w:after="312" w:line="288" w:lineRule="auto"/>
        <w:jc w:val="center"/>
        <w:rPr>
          <w:b/>
          <w:bCs/>
          <w:szCs w:val="24"/>
          <w:lang w:val="en-US"/>
        </w:rPr>
      </w:pPr>
      <w:bookmarkStart w:id="70" w:name="_Toc331410111"/>
      <w:bookmarkStart w:id="71" w:name="_Toc225500050"/>
      <w:r w:rsidRPr="005C672D">
        <w:rPr>
          <w:b/>
          <w:bCs/>
          <w:szCs w:val="24"/>
          <w:lang w:val="en-US"/>
        </w:rPr>
        <w:t xml:space="preserve">8  </w:t>
      </w:r>
      <w:r w:rsidR="001548F9" w:rsidRPr="005C672D">
        <w:rPr>
          <w:b/>
          <w:bCs/>
          <w:szCs w:val="24"/>
          <w:lang w:val="en-US"/>
        </w:rPr>
        <w:t>基金份额持有人信息</w:t>
      </w:r>
      <w:bookmarkEnd w:id="70"/>
      <w:bookmarkEnd w:id="71"/>
    </w:p>
    <w:p w:rsidR="001548F9" w:rsidRPr="005C672D" w:rsidRDefault="001548F9" w:rsidP="00AC6DDA">
      <w:pPr>
        <w:pStyle w:val="20"/>
        <w:spacing w:before="29" w:after="0" w:line="288" w:lineRule="auto"/>
        <w:rPr>
          <w:rFonts w:ascii="Times New Roman" w:hAnsi="Times New Roman"/>
          <w:kern w:val="0"/>
          <w:szCs w:val="24"/>
        </w:rPr>
      </w:pPr>
      <w:bookmarkStart w:id="72" w:name="_Toc331410112"/>
      <w:bookmarkStart w:id="73"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2"/>
      <w:bookmarkEnd w:id="73"/>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4989" w:type="pct"/>
        <w:jc w:val="center"/>
        <w:tblLook w:val="00A0" w:firstRow="1" w:lastRow="0" w:firstColumn="1" w:lastColumn="0" w:noHBand="0" w:noVBand="0"/>
      </w:tblPr>
      <w:tblGrid>
        <w:gridCol w:w="1722"/>
        <w:gridCol w:w="1437"/>
        <w:gridCol w:w="1203"/>
        <w:gridCol w:w="1585"/>
        <w:gridCol w:w="1716"/>
        <w:gridCol w:w="1603"/>
      </w:tblGrid>
      <w:tr w:rsidR="00832B5D" w:rsidRPr="005C672D" w:rsidTr="00832B5D">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5A0F6D" w:rsidRDefault="00D24CEF">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832B5D" w:rsidRPr="005C672D" w:rsidTr="00832B5D">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5A0F6D" w:rsidRDefault="005A0F6D">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r>
      <w:tr w:rsidR="00832B5D" w:rsidRPr="005C672D" w:rsidTr="00832B5D">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5A0F6D" w:rsidRDefault="005A0F6D">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832B5D" w:rsidRPr="005C672D" w:rsidTr="00832B5D">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5A0F6D" w:rsidRDefault="00D24CEF">
            <w:pPr>
              <w:jc w:val="center"/>
            </w:pPr>
            <w:r>
              <w:rPr>
                <w:bCs/>
                <w:color w:val="000000"/>
                <w:sz w:val="24"/>
              </w:rPr>
              <w:t>1,705</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132,586.83</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226,060,553.36</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100.00%</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74"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7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F04EC1" w:rsidP="00AC6DDA">
            <w:pPr>
              <w:widowControl/>
              <w:spacing w:before="29" w:line="288" w:lineRule="auto"/>
              <w:jc w:val="right"/>
              <w:rPr>
                <w:color w:val="000000"/>
                <w:kern w:val="0"/>
                <w:sz w:val="24"/>
              </w:rPr>
            </w:pPr>
            <w:r w:rsidRPr="005C672D">
              <w:rPr>
                <w:bCs/>
                <w:color w:val="000000"/>
                <w:sz w:val="24"/>
              </w:rPr>
              <w:t>-</w:t>
            </w:r>
          </w:p>
        </w:tc>
        <w:tc>
          <w:tcPr>
            <w:tcW w:w="2160" w:type="dxa"/>
            <w:vAlign w:val="center"/>
          </w:tcPr>
          <w:p w:rsidR="00DF5C7F" w:rsidRPr="005C672D" w:rsidRDefault="00F04EC1" w:rsidP="00AC6DDA">
            <w:pPr>
              <w:widowControl/>
              <w:spacing w:before="29" w:line="288" w:lineRule="auto"/>
              <w:jc w:val="right"/>
              <w:rPr>
                <w:color w:val="000000"/>
                <w:kern w:val="0"/>
                <w:sz w:val="24"/>
              </w:rPr>
            </w:pPr>
            <w:r w:rsidRPr="005C672D">
              <w:rPr>
                <w:bCs/>
                <w:color w:val="000000"/>
                <w:sz w:val="24"/>
              </w:rPr>
              <w:t>-</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1548F9" w:rsidRPr="005C672D" w:rsidRDefault="001548F9" w:rsidP="000B63EC">
      <w:pPr>
        <w:pStyle w:val="1"/>
        <w:keepNext/>
        <w:keepLines/>
        <w:widowControl w:val="0"/>
        <w:spacing w:beforeLines="100" w:before="312" w:afterLines="100" w:after="312" w:line="288" w:lineRule="auto"/>
        <w:jc w:val="center"/>
        <w:rPr>
          <w:b/>
          <w:bCs/>
          <w:szCs w:val="24"/>
          <w:lang w:val="en-US"/>
        </w:rPr>
      </w:pPr>
      <w:bookmarkStart w:id="75" w:name="_Toc331410116"/>
      <w:bookmarkStart w:id="76" w:name="_Toc225500054"/>
      <w:r w:rsidRPr="005C672D">
        <w:rPr>
          <w:b/>
          <w:bCs/>
          <w:szCs w:val="24"/>
          <w:lang w:val="en-US"/>
        </w:rPr>
        <w:t xml:space="preserve">9  </w:t>
      </w:r>
      <w:r w:rsidRPr="005C672D">
        <w:rPr>
          <w:b/>
          <w:bCs/>
          <w:szCs w:val="24"/>
          <w:lang w:val="en-US"/>
        </w:rPr>
        <w:t>重大事件揭示</w:t>
      </w:r>
      <w:bookmarkEnd w:id="75"/>
      <w:bookmarkEnd w:id="76"/>
    </w:p>
    <w:p w:rsidR="001548F9" w:rsidRPr="005C672D" w:rsidRDefault="001548F9" w:rsidP="00AC6DDA">
      <w:pPr>
        <w:pStyle w:val="20"/>
        <w:spacing w:before="29" w:after="0" w:line="288" w:lineRule="auto"/>
        <w:rPr>
          <w:rFonts w:ascii="Times New Roman" w:hAnsi="Times New Roman"/>
          <w:kern w:val="0"/>
          <w:szCs w:val="24"/>
        </w:rPr>
      </w:pPr>
      <w:bookmarkStart w:id="77" w:name="_Toc331410117"/>
      <w:r w:rsidRPr="005C672D">
        <w:rPr>
          <w:rFonts w:ascii="Times New Roman" w:hAnsi="Times New Roman"/>
          <w:kern w:val="0"/>
          <w:szCs w:val="24"/>
        </w:rPr>
        <w:t xml:space="preserve">9.1 </w:t>
      </w:r>
      <w:r w:rsidRPr="005C672D">
        <w:rPr>
          <w:rFonts w:ascii="Times New Roman" w:hAnsi="Times New Roman"/>
          <w:kern w:val="0"/>
          <w:szCs w:val="24"/>
        </w:rPr>
        <w:t>基金份额持有人大会决议</w:t>
      </w:r>
      <w:bookmarkEnd w:id="77"/>
    </w:p>
    <w:p w:rsidR="001548F9" w:rsidRPr="005C672D" w:rsidRDefault="001548F9" w:rsidP="00AC6DDA">
      <w:pPr>
        <w:spacing w:before="29" w:line="288" w:lineRule="auto"/>
        <w:ind w:firstLineChars="200" w:firstLine="480"/>
        <w:rPr>
          <w:color w:val="000000"/>
          <w:sz w:val="24"/>
        </w:rPr>
      </w:pPr>
      <w:bookmarkStart w:id="78" w:name="_Toc331410118"/>
      <w:r w:rsidRPr="005C672D">
        <w:rPr>
          <w:color w:val="000000"/>
          <w:sz w:val="24"/>
        </w:rPr>
        <w:t>本基金本报告期内未召开基金份额持有人大会。</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9.2 </w:t>
      </w:r>
      <w:r w:rsidRPr="005C672D">
        <w:rPr>
          <w:rFonts w:ascii="Times New Roman" w:hAnsi="Times New Roman"/>
          <w:kern w:val="0"/>
          <w:szCs w:val="24"/>
        </w:rPr>
        <w:t>基金管理人、基金托管人的专门基金托管部门的重大人事变动</w:t>
      </w:r>
      <w:bookmarkEnd w:id="78"/>
    </w:p>
    <w:p w:rsidR="005A0F6D" w:rsidRDefault="00D24CEF">
      <w:pPr>
        <w:spacing w:before="29" w:line="288" w:lineRule="auto"/>
        <w:ind w:firstLineChars="200" w:firstLine="480"/>
        <w:rPr>
          <w:color w:val="000000"/>
          <w:sz w:val="24"/>
        </w:rPr>
      </w:pPr>
      <w:r>
        <w:rPr>
          <w:color w:val="000000"/>
          <w:sz w:val="24"/>
        </w:rPr>
        <w:t>1</w:t>
      </w:r>
      <w:r>
        <w:rPr>
          <w:color w:val="000000"/>
          <w:sz w:val="24"/>
        </w:rPr>
        <w:t>、基金管理人的重大人事变动：本报告期内，经公司第四届董事会第九次会议审议通过，乔宏军先生不再担任公司副总经理职务。基金管理人就上述重大人事变动已按照相关规定向监管部门报告并履行了必要的信息披露程序。</w:t>
      </w:r>
      <w:r>
        <w:rPr>
          <w:color w:val="000000"/>
          <w:sz w:val="24"/>
        </w:rPr>
        <w:t xml:space="preserve"> </w:t>
      </w:r>
    </w:p>
    <w:p w:rsidR="001548F9" w:rsidRPr="005C672D" w:rsidRDefault="001548F9" w:rsidP="00AC6DDA">
      <w:pPr>
        <w:spacing w:before="29" w:line="288" w:lineRule="auto"/>
        <w:ind w:firstLineChars="200" w:firstLine="480"/>
        <w:rPr>
          <w:color w:val="000000"/>
          <w:sz w:val="24"/>
        </w:rPr>
      </w:pPr>
      <w:bookmarkStart w:id="79" w:name="_Toc331410119"/>
      <w:r w:rsidRPr="005C672D">
        <w:rPr>
          <w:color w:val="000000"/>
          <w:sz w:val="24"/>
        </w:rPr>
        <w:t>2</w:t>
      </w:r>
      <w:r w:rsidRPr="005C672D">
        <w:rPr>
          <w:color w:val="000000"/>
          <w:sz w:val="24"/>
        </w:rPr>
        <w:t>、基金托管人的基金托管部门的重大人事变动：本基金托管人的专门基金托管部门本报告期内未发生重大人事变动。</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9.3 </w:t>
      </w:r>
      <w:r w:rsidRPr="005C672D">
        <w:rPr>
          <w:rFonts w:ascii="Times New Roman" w:hAnsi="Times New Roman"/>
          <w:kern w:val="0"/>
          <w:szCs w:val="24"/>
        </w:rPr>
        <w:t>涉及基金管理人、基金财产、基金托管业务的诉讼</w:t>
      </w:r>
      <w:bookmarkEnd w:id="79"/>
    </w:p>
    <w:p w:rsidR="001548F9" w:rsidRPr="005C672D" w:rsidRDefault="001548F9" w:rsidP="00AC6DDA">
      <w:pPr>
        <w:spacing w:before="29" w:line="288" w:lineRule="auto"/>
        <w:ind w:firstLineChars="200" w:firstLine="480"/>
        <w:rPr>
          <w:color w:val="000000"/>
          <w:sz w:val="24"/>
        </w:rPr>
      </w:pPr>
      <w:bookmarkStart w:id="80" w:name="_Toc331410120"/>
      <w:r w:rsidRPr="005C672D">
        <w:rPr>
          <w:color w:val="000000"/>
          <w:sz w:val="24"/>
        </w:rPr>
        <w:t>本报告期内未发生涉及本基金管理人、基金财产、基金托管业务的诉讼事项。</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9.4 </w:t>
      </w:r>
      <w:r w:rsidRPr="005C672D">
        <w:rPr>
          <w:rFonts w:ascii="Times New Roman" w:hAnsi="Times New Roman"/>
          <w:kern w:val="0"/>
          <w:szCs w:val="24"/>
        </w:rPr>
        <w:t>基金投资策略的改变</w:t>
      </w:r>
      <w:bookmarkEnd w:id="80"/>
    </w:p>
    <w:p w:rsidR="001548F9" w:rsidRPr="005C672D" w:rsidRDefault="001548F9" w:rsidP="00AC6DDA">
      <w:pPr>
        <w:spacing w:before="29" w:line="288" w:lineRule="auto"/>
        <w:ind w:firstLineChars="200" w:firstLine="480"/>
        <w:rPr>
          <w:color w:val="000000"/>
          <w:sz w:val="24"/>
        </w:rPr>
      </w:pPr>
      <w:bookmarkStart w:id="81" w:name="_Toc331410121"/>
      <w:r w:rsidRPr="005C672D">
        <w:rPr>
          <w:color w:val="000000"/>
          <w:sz w:val="24"/>
        </w:rPr>
        <w:t>本基金本报告期内投资策略未发生改变。</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9.5</w:t>
      </w:r>
      <w:bookmarkEnd w:id="81"/>
      <w:r w:rsidR="001B69DE" w:rsidRPr="005C672D">
        <w:rPr>
          <w:rFonts w:ascii="Times New Roman" w:hAnsi="Times New Roman"/>
          <w:szCs w:val="24"/>
        </w:rPr>
        <w:t>报告期内改聘会计师事务所情况</w:t>
      </w:r>
    </w:p>
    <w:p w:rsidR="001548F9" w:rsidRPr="005C672D" w:rsidRDefault="001548F9" w:rsidP="00AC6DDA">
      <w:pPr>
        <w:spacing w:before="29" w:line="288" w:lineRule="auto"/>
        <w:ind w:firstLineChars="200" w:firstLine="480"/>
        <w:rPr>
          <w:color w:val="000000"/>
          <w:sz w:val="24"/>
        </w:rPr>
      </w:pPr>
      <w:bookmarkStart w:id="82" w:name="OLE_LINK3"/>
      <w:bookmarkStart w:id="83" w:name="_Toc331410122"/>
      <w:r w:rsidRPr="005C672D">
        <w:rPr>
          <w:color w:val="000000"/>
          <w:sz w:val="24"/>
        </w:rPr>
        <w:t>本基金自基金合同生效日起聘请普华永道中天会计师事务所</w:t>
      </w:r>
      <w:r w:rsidRPr="005C672D">
        <w:rPr>
          <w:color w:val="000000"/>
          <w:sz w:val="24"/>
        </w:rPr>
        <w:t xml:space="preserve"> (</w:t>
      </w:r>
      <w:r w:rsidRPr="005C672D">
        <w:rPr>
          <w:color w:val="000000"/>
          <w:sz w:val="24"/>
        </w:rPr>
        <w:t>特殊普通合伙</w:t>
      </w:r>
      <w:r w:rsidRPr="005C672D">
        <w:rPr>
          <w:color w:val="000000"/>
          <w:sz w:val="24"/>
        </w:rPr>
        <w:t>)</w:t>
      </w:r>
      <w:r w:rsidRPr="005C672D">
        <w:rPr>
          <w:color w:val="000000"/>
          <w:sz w:val="24"/>
        </w:rPr>
        <w:t>为本基金提供审计服务。</w:t>
      </w:r>
    </w:p>
    <w:p w:rsidR="00A95CCE" w:rsidRPr="005C672D" w:rsidRDefault="00A95CCE" w:rsidP="00AC6DDA">
      <w:pPr>
        <w:spacing w:before="29" w:line="288" w:lineRule="auto"/>
        <w:ind w:firstLineChars="200" w:firstLine="480"/>
        <w:rPr>
          <w:color w:val="000000"/>
          <w:sz w:val="24"/>
        </w:rPr>
      </w:pPr>
    </w:p>
    <w:bookmarkEnd w:id="82"/>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9.6</w:t>
      </w:r>
      <w:bookmarkEnd w:id="83"/>
      <w:r w:rsidR="00062814" w:rsidRPr="005C672D">
        <w:rPr>
          <w:rFonts w:ascii="Times New Roman" w:hAnsi="Times New Roman"/>
          <w:szCs w:val="24"/>
        </w:rPr>
        <w:t>管理人、托管人及其高级管理人员受稽查或处罚等情况</w:t>
      </w:r>
    </w:p>
    <w:p w:rsidR="005A0F6D" w:rsidRDefault="00D24CEF">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5A0F6D" w:rsidRDefault="00D24CEF">
      <w:pPr>
        <w:spacing w:before="29" w:line="288" w:lineRule="auto"/>
        <w:ind w:firstLineChars="200" w:firstLine="480"/>
        <w:rPr>
          <w:color w:val="000000"/>
          <w:sz w:val="24"/>
        </w:rPr>
      </w:pPr>
      <w:r>
        <w:rPr>
          <w:color w:val="000000"/>
          <w:sz w:val="24"/>
        </w:rPr>
        <w:t>针对中国证监会在</w:t>
      </w:r>
      <w:r>
        <w:rPr>
          <w:color w:val="000000"/>
          <w:sz w:val="24"/>
        </w:rPr>
        <w:t>2015</w:t>
      </w:r>
      <w:r>
        <w:rPr>
          <w:color w:val="000000"/>
          <w:sz w:val="24"/>
        </w:rPr>
        <w:t>年</w:t>
      </w:r>
      <w:r>
        <w:rPr>
          <w:color w:val="000000"/>
          <w:sz w:val="24"/>
        </w:rPr>
        <w:t>“</w:t>
      </w:r>
      <w:r>
        <w:rPr>
          <w:color w:val="000000"/>
          <w:sz w:val="24"/>
        </w:rPr>
        <w:t>两加强两遏制</w:t>
      </w:r>
      <w:r>
        <w:rPr>
          <w:color w:val="000000"/>
          <w:sz w:val="24"/>
        </w:rPr>
        <w:t>”</w:t>
      </w:r>
      <w:r>
        <w:rPr>
          <w:color w:val="000000"/>
          <w:sz w:val="24"/>
        </w:rPr>
        <w:t>检查后就公司内部控制提出的改进意见及采取责令改正的行政监管措施，以及上海证监局于本报告期内对公司相关负责人的警示，公司认真落实整改要求，完成相关问题的整改并向监管部门上报专项报告。整改工作中，公司进一步加强制度建设和风控措施，提升公司内部控制和风险管理水平。除上述情况外</w:t>
      </w:r>
      <w:r>
        <w:rPr>
          <w:color w:val="000000"/>
          <w:sz w:val="24"/>
        </w:rPr>
        <w:t>,</w:t>
      </w:r>
      <w:r>
        <w:rPr>
          <w:color w:val="000000"/>
          <w:sz w:val="24"/>
        </w:rPr>
        <w:t>报告期内管理人及其高级管理人员无受稽查或处罚等情况。</w:t>
      </w:r>
    </w:p>
    <w:p w:rsidR="005A0F6D" w:rsidRDefault="00D24CEF">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548F9" w:rsidRPr="005C672D" w:rsidRDefault="001548F9" w:rsidP="00AC6DDA">
      <w:pPr>
        <w:spacing w:before="29" w:line="288" w:lineRule="auto"/>
        <w:ind w:firstLineChars="200" w:firstLine="480"/>
        <w:rPr>
          <w:color w:val="000000"/>
          <w:sz w:val="24"/>
        </w:rPr>
      </w:pPr>
      <w:bookmarkStart w:id="84" w:name="_Toc331410123"/>
      <w:r w:rsidRPr="005C672D">
        <w:rPr>
          <w:color w:val="000000"/>
          <w:sz w:val="24"/>
        </w:rPr>
        <w:t>基金托管人及其高级管理人员本报告期内未受监管部门稽查或处罚。</w:t>
      </w:r>
    </w:p>
    <w:p w:rsidR="00A95CCE" w:rsidRPr="005C672D" w:rsidRDefault="00A95CCE"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9.7 </w:t>
      </w:r>
      <w:r w:rsidRPr="005C672D">
        <w:rPr>
          <w:rFonts w:ascii="Times New Roman" w:hAnsi="Times New Roman"/>
          <w:kern w:val="0"/>
          <w:szCs w:val="24"/>
        </w:rPr>
        <w:t>基金租用证券公司交易单元的有关情况</w:t>
      </w:r>
      <w:bookmarkEnd w:id="84"/>
    </w:p>
    <w:p w:rsidR="001548F9" w:rsidRPr="005C672D" w:rsidRDefault="001548F9" w:rsidP="00AC6DDA">
      <w:pPr>
        <w:spacing w:before="29" w:line="288" w:lineRule="auto"/>
        <w:rPr>
          <w:b/>
          <w:sz w:val="24"/>
        </w:rPr>
      </w:pPr>
      <w:bookmarkStart w:id="85" w:name="_Toc249760070"/>
      <w:r w:rsidRPr="005C672D">
        <w:rPr>
          <w:b/>
          <w:sz w:val="24"/>
        </w:rPr>
        <w:t xml:space="preserve">9.7.1 </w:t>
      </w:r>
      <w:r w:rsidRPr="005C672D">
        <w:rPr>
          <w:b/>
          <w:sz w:val="24"/>
        </w:rPr>
        <w:t>基金租用证券公司交易单元进行股票投资及佣金支付情况</w:t>
      </w:r>
      <w:bookmarkEnd w:id="85"/>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86"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5A0F6D">
        <w:tc>
          <w:tcPr>
            <w:tcW w:w="1559" w:type="dxa"/>
            <w:vAlign w:val="center"/>
          </w:tcPr>
          <w:p w:rsidR="005A0F6D" w:rsidRDefault="00D24CEF">
            <w:pPr>
              <w:jc w:val="center"/>
            </w:pPr>
            <w:r>
              <w:rPr>
                <w:color w:val="000000"/>
                <w:sz w:val="24"/>
              </w:rPr>
              <w:t>安信证券股份有限公司</w:t>
            </w:r>
          </w:p>
        </w:tc>
        <w:tc>
          <w:tcPr>
            <w:tcW w:w="779" w:type="dxa"/>
            <w:vAlign w:val="center"/>
          </w:tcPr>
          <w:p w:rsidR="005A0F6D" w:rsidRDefault="00D24CEF">
            <w:pPr>
              <w:jc w:val="center"/>
            </w:pPr>
            <w:r>
              <w:rPr>
                <w:color w:val="000000"/>
                <w:sz w:val="24"/>
              </w:rPr>
              <w:t>2</w:t>
            </w:r>
          </w:p>
        </w:tc>
        <w:tc>
          <w:tcPr>
            <w:tcW w:w="1800" w:type="dxa"/>
            <w:vAlign w:val="center"/>
          </w:tcPr>
          <w:p w:rsidR="005A0F6D" w:rsidRDefault="00D24CEF">
            <w:pPr>
              <w:jc w:val="right"/>
            </w:pPr>
            <w:r>
              <w:rPr>
                <w:color w:val="000000"/>
                <w:sz w:val="24"/>
              </w:rPr>
              <w:t>-</w:t>
            </w:r>
          </w:p>
        </w:tc>
        <w:tc>
          <w:tcPr>
            <w:tcW w:w="1080" w:type="dxa"/>
            <w:vAlign w:val="center"/>
          </w:tcPr>
          <w:p w:rsidR="005A0F6D" w:rsidRDefault="00D24CEF">
            <w:pPr>
              <w:jc w:val="right"/>
            </w:pPr>
            <w:r>
              <w:rPr>
                <w:color w:val="000000"/>
                <w:sz w:val="24"/>
              </w:rPr>
              <w:t>-</w:t>
            </w:r>
          </w:p>
        </w:tc>
        <w:tc>
          <w:tcPr>
            <w:tcW w:w="1620" w:type="dxa"/>
            <w:vAlign w:val="center"/>
          </w:tcPr>
          <w:p w:rsidR="005A0F6D" w:rsidRDefault="00D24CEF">
            <w:pPr>
              <w:jc w:val="right"/>
            </w:pPr>
            <w:r>
              <w:rPr>
                <w:color w:val="000000"/>
                <w:sz w:val="24"/>
              </w:rPr>
              <w:t>-</w:t>
            </w:r>
          </w:p>
        </w:tc>
        <w:tc>
          <w:tcPr>
            <w:tcW w:w="1080" w:type="dxa"/>
            <w:vAlign w:val="center"/>
          </w:tcPr>
          <w:p w:rsidR="005A0F6D" w:rsidRDefault="00D24CEF">
            <w:pPr>
              <w:jc w:val="right"/>
            </w:pPr>
            <w:r>
              <w:rPr>
                <w:color w:val="000000"/>
                <w:sz w:val="24"/>
              </w:rPr>
              <w:t>-</w:t>
            </w:r>
          </w:p>
        </w:tc>
        <w:tc>
          <w:tcPr>
            <w:tcW w:w="1080" w:type="dxa"/>
            <w:vAlign w:val="center"/>
          </w:tcPr>
          <w:p w:rsidR="005A0F6D" w:rsidRDefault="00D24CEF">
            <w:pPr>
              <w:jc w:val="left"/>
            </w:pPr>
            <w:r>
              <w:rPr>
                <w:color w:val="000000"/>
                <w:sz w:val="24"/>
              </w:rPr>
              <w:t>-</w:t>
            </w:r>
          </w:p>
        </w:tc>
      </w:tr>
    </w:tbl>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sz w:val="24"/>
        </w:rPr>
      </w:pPr>
      <w:r w:rsidRPr="005C672D">
        <w:rPr>
          <w:b/>
          <w:sz w:val="24"/>
        </w:rPr>
        <w:t xml:space="preserve">9.7.2 </w:t>
      </w:r>
      <w:r w:rsidRPr="005C672D">
        <w:rPr>
          <w:b/>
          <w:sz w:val="24"/>
        </w:rPr>
        <w:t>基金租用证券公司交易单元进行其他证券投资的情况</w:t>
      </w:r>
      <w:bookmarkEnd w:id="86"/>
    </w:p>
    <w:p w:rsidR="001548F9" w:rsidRPr="005C672D" w:rsidRDefault="001548F9" w:rsidP="00AC6DDA">
      <w:pPr>
        <w:spacing w:before="29" w:line="288" w:lineRule="auto"/>
        <w:ind w:firstLine="420"/>
        <w:jc w:val="right"/>
        <w:rPr>
          <w:color w:val="000000"/>
          <w:sz w:val="24"/>
        </w:rPr>
      </w:pPr>
      <w:bookmarkStart w:id="87" w:name="_Toc249707408"/>
      <w:r w:rsidRPr="005C672D">
        <w:rPr>
          <w:sz w:val="24"/>
        </w:rPr>
        <w:t>金额单位</w:t>
      </w:r>
      <w:r w:rsidRPr="005C672D">
        <w:rPr>
          <w:color w:val="000000"/>
          <w:kern w:val="0"/>
          <w:sz w:val="24"/>
        </w:rPr>
        <w:t>：</w:t>
      </w:r>
      <w:r w:rsidRPr="005C672D">
        <w:rPr>
          <w:color w:val="000000"/>
          <w:kern w:val="0"/>
          <w:sz w:val="24"/>
          <w:lang w:val="zh-CN"/>
        </w:rPr>
        <w:t>人民币元</w:t>
      </w:r>
      <w:bookmarkEnd w:id="8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FD7A40" w:rsidRPr="005C672D" w:rsidTr="00494D2F">
        <w:tc>
          <w:tcPr>
            <w:tcW w:w="1560" w:type="dxa"/>
            <w:vMerge w:val="restart"/>
            <w:vAlign w:val="center"/>
          </w:tcPr>
          <w:p w:rsidR="00FD7A40" w:rsidRPr="005C672D" w:rsidRDefault="00FD7A40" w:rsidP="00AC6DDA">
            <w:pPr>
              <w:spacing w:before="29" w:line="288" w:lineRule="auto"/>
              <w:jc w:val="center"/>
              <w:rPr>
                <w:color w:val="000000"/>
                <w:kern w:val="0"/>
                <w:sz w:val="24"/>
              </w:rPr>
            </w:pPr>
            <w:r w:rsidRPr="005C672D">
              <w:rPr>
                <w:color w:val="000000"/>
                <w:sz w:val="24"/>
              </w:rPr>
              <w:t>券商名称</w:t>
            </w:r>
          </w:p>
        </w:tc>
        <w:tc>
          <w:tcPr>
            <w:tcW w:w="24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债券交易</w:t>
            </w:r>
          </w:p>
        </w:tc>
        <w:tc>
          <w:tcPr>
            <w:tcW w:w="234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回购交易</w:t>
            </w:r>
          </w:p>
        </w:tc>
        <w:tc>
          <w:tcPr>
            <w:tcW w:w="27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权证交易</w:t>
            </w:r>
          </w:p>
        </w:tc>
      </w:tr>
      <w:tr w:rsidR="00FD7A40" w:rsidRPr="005C672D" w:rsidTr="00494D2F">
        <w:tc>
          <w:tcPr>
            <w:tcW w:w="1560" w:type="dxa"/>
            <w:vMerge/>
            <w:vAlign w:val="center"/>
          </w:tcPr>
          <w:p w:rsidR="00FD7A40" w:rsidRPr="005C672D" w:rsidRDefault="00FD7A40" w:rsidP="00AC6DDA">
            <w:pPr>
              <w:widowControl/>
              <w:spacing w:before="29" w:line="288" w:lineRule="auto"/>
              <w:jc w:val="left"/>
              <w:rPr>
                <w:color w:val="000000"/>
                <w:kern w:val="0"/>
                <w:sz w:val="24"/>
              </w:rPr>
            </w:pPr>
          </w:p>
        </w:tc>
        <w:tc>
          <w:tcPr>
            <w:tcW w:w="1320"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080"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占当期债券成交总额的比例</w:t>
            </w:r>
          </w:p>
        </w:tc>
        <w:tc>
          <w:tcPr>
            <w:tcW w:w="1143"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197"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占当期回购成交总额的比例</w:t>
            </w:r>
          </w:p>
        </w:tc>
        <w:tc>
          <w:tcPr>
            <w:tcW w:w="1497"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203"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占当期权证成交总额的比例</w:t>
            </w:r>
          </w:p>
        </w:tc>
      </w:tr>
      <w:tr w:rsidR="005A0F6D">
        <w:tc>
          <w:tcPr>
            <w:tcW w:w="1559" w:type="dxa"/>
            <w:vAlign w:val="center"/>
          </w:tcPr>
          <w:p w:rsidR="005A0F6D" w:rsidRDefault="00D24CEF">
            <w:pPr>
              <w:jc w:val="left"/>
            </w:pPr>
            <w:r>
              <w:rPr>
                <w:color w:val="000000"/>
                <w:sz w:val="24"/>
              </w:rPr>
              <w:t>安信证券股份有限公司</w:t>
            </w:r>
          </w:p>
        </w:tc>
        <w:tc>
          <w:tcPr>
            <w:tcW w:w="1319" w:type="dxa"/>
            <w:vAlign w:val="center"/>
          </w:tcPr>
          <w:p w:rsidR="005A0F6D" w:rsidRDefault="00D24CEF">
            <w:pPr>
              <w:jc w:val="right"/>
            </w:pPr>
            <w:r>
              <w:rPr>
                <w:color w:val="000000"/>
                <w:sz w:val="24"/>
              </w:rPr>
              <w:t>144,453,217.11</w:t>
            </w:r>
          </w:p>
        </w:tc>
        <w:tc>
          <w:tcPr>
            <w:tcW w:w="1080" w:type="dxa"/>
            <w:vAlign w:val="center"/>
          </w:tcPr>
          <w:p w:rsidR="005A0F6D" w:rsidRDefault="00D24CEF">
            <w:pPr>
              <w:jc w:val="right"/>
            </w:pPr>
            <w:r>
              <w:rPr>
                <w:color w:val="000000"/>
                <w:sz w:val="24"/>
              </w:rPr>
              <w:t>100.00%</w:t>
            </w:r>
          </w:p>
        </w:tc>
        <w:tc>
          <w:tcPr>
            <w:tcW w:w="1143" w:type="dxa"/>
            <w:vAlign w:val="center"/>
          </w:tcPr>
          <w:p w:rsidR="005A0F6D" w:rsidRDefault="00D24CEF">
            <w:pPr>
              <w:jc w:val="right"/>
            </w:pPr>
            <w:r>
              <w:rPr>
                <w:color w:val="000000"/>
                <w:sz w:val="24"/>
              </w:rPr>
              <w:t>7,779,900,000.00</w:t>
            </w:r>
          </w:p>
        </w:tc>
        <w:tc>
          <w:tcPr>
            <w:tcW w:w="1197" w:type="dxa"/>
            <w:vAlign w:val="center"/>
          </w:tcPr>
          <w:p w:rsidR="005A0F6D" w:rsidRDefault="00D24CEF">
            <w:pPr>
              <w:jc w:val="right"/>
            </w:pPr>
            <w:r>
              <w:rPr>
                <w:color w:val="000000"/>
                <w:sz w:val="24"/>
              </w:rPr>
              <w:t>100.00%</w:t>
            </w:r>
          </w:p>
        </w:tc>
        <w:tc>
          <w:tcPr>
            <w:tcW w:w="1497" w:type="dxa"/>
            <w:vAlign w:val="center"/>
          </w:tcPr>
          <w:p w:rsidR="005A0F6D" w:rsidRDefault="00D24CEF">
            <w:pPr>
              <w:jc w:val="right"/>
            </w:pPr>
            <w:r>
              <w:rPr>
                <w:color w:val="000000"/>
                <w:sz w:val="24"/>
              </w:rPr>
              <w:t>-</w:t>
            </w:r>
          </w:p>
        </w:tc>
        <w:tc>
          <w:tcPr>
            <w:tcW w:w="1203" w:type="dxa"/>
            <w:vAlign w:val="center"/>
          </w:tcPr>
          <w:p w:rsidR="005A0F6D" w:rsidRDefault="00D24CEF">
            <w:pPr>
              <w:jc w:val="right"/>
            </w:pPr>
            <w:r>
              <w:rPr>
                <w:color w:val="000000"/>
                <w:sz w:val="24"/>
              </w:rPr>
              <w:t>-</w:t>
            </w:r>
          </w:p>
        </w:tc>
      </w:tr>
    </w:tbl>
    <w:p w:rsidR="00FD7A40" w:rsidRPr="005C672D" w:rsidRDefault="00FD7A40" w:rsidP="00AC6DDA">
      <w:pPr>
        <w:autoSpaceDE w:val="0"/>
        <w:autoSpaceDN w:val="0"/>
        <w:adjustRightInd w:val="0"/>
        <w:spacing w:before="29" w:line="288" w:lineRule="auto"/>
        <w:jc w:val="left"/>
        <w:rPr>
          <w:color w:val="000000"/>
          <w:sz w:val="24"/>
        </w:rPr>
      </w:pPr>
    </w:p>
    <w:p w:rsidR="005A0F6D" w:rsidRDefault="00D24CEF">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、报告期内，本基金交易单元未发生变化；</w:t>
      </w:r>
    </w:p>
    <w:p w:rsidR="005A0F6D" w:rsidRDefault="00D24CEF">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B75C2"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 xml:space="preserve">    3</w:t>
      </w:r>
      <w:r w:rsidRPr="005C672D">
        <w:rPr>
          <w:color w:val="000000"/>
          <w:sz w:val="24"/>
        </w:rPr>
        <w:t>、租用证券公司交易单元的程序：首先根据租用证券公司交易单元的选择标准进行综合评价，然后根据评价选择基金交易单元。研究部提交方案，并上报公司批准。</w:t>
      </w:r>
    </w:p>
    <w:sectPr w:rsidR="00CB75C2" w:rsidRPr="005C67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03" w:rsidRDefault="00551F03">
      <w:r>
        <w:separator/>
      </w:r>
    </w:p>
  </w:endnote>
  <w:endnote w:type="continuationSeparator" w:id="0">
    <w:p w:rsidR="00551F03" w:rsidRDefault="0055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362DDA"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362DDA">
      <w:rPr>
        <w:kern w:val="0"/>
        <w:szCs w:val="21"/>
      </w:rPr>
      <w:fldChar w:fldCharType="begin"/>
    </w:r>
    <w:r>
      <w:rPr>
        <w:kern w:val="0"/>
        <w:szCs w:val="21"/>
      </w:rPr>
      <w:instrText xml:space="preserve"> PAGE </w:instrText>
    </w:r>
    <w:r w:rsidR="00362DDA">
      <w:rPr>
        <w:kern w:val="0"/>
        <w:szCs w:val="21"/>
      </w:rPr>
      <w:fldChar w:fldCharType="separate"/>
    </w:r>
    <w:r w:rsidR="006E4454">
      <w:rPr>
        <w:noProof/>
        <w:kern w:val="0"/>
        <w:szCs w:val="21"/>
      </w:rPr>
      <w:t>2</w:t>
    </w:r>
    <w:r w:rsidR="00362DDA">
      <w:rPr>
        <w:kern w:val="0"/>
        <w:szCs w:val="21"/>
      </w:rPr>
      <w:fldChar w:fldCharType="end"/>
    </w:r>
    <w:r>
      <w:rPr>
        <w:rFonts w:hint="eastAsia"/>
        <w:kern w:val="0"/>
        <w:szCs w:val="21"/>
      </w:rPr>
      <w:t>页共</w:t>
    </w:r>
    <w:r w:rsidR="00362DDA">
      <w:rPr>
        <w:kern w:val="0"/>
        <w:szCs w:val="21"/>
      </w:rPr>
      <w:fldChar w:fldCharType="begin"/>
    </w:r>
    <w:r>
      <w:rPr>
        <w:kern w:val="0"/>
        <w:szCs w:val="21"/>
      </w:rPr>
      <w:instrText xml:space="preserve"> NUMPAGES </w:instrText>
    </w:r>
    <w:r w:rsidR="00362DDA">
      <w:rPr>
        <w:kern w:val="0"/>
        <w:szCs w:val="21"/>
      </w:rPr>
      <w:fldChar w:fldCharType="separate"/>
    </w:r>
    <w:r w:rsidR="006E4454">
      <w:rPr>
        <w:noProof/>
        <w:kern w:val="0"/>
        <w:szCs w:val="21"/>
      </w:rPr>
      <w:t>24</w:t>
    </w:r>
    <w:r w:rsidR="00362DDA">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03" w:rsidRDefault="00551F03">
      <w:r>
        <w:separator/>
      </w:r>
    </w:p>
  </w:footnote>
  <w:footnote w:type="continuationSeparator" w:id="0">
    <w:p w:rsidR="00551F03" w:rsidRDefault="0055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Pr="00A27DD3" w:rsidRDefault="0091268E" w:rsidP="002243A3">
    <w:pPr>
      <w:pStyle w:val="a9"/>
      <w:pBdr>
        <w:bottom w:val="single" w:sz="6" w:space="0" w:color="auto"/>
      </w:pBdr>
      <w:jc w:val="right"/>
    </w:pPr>
    <w:r w:rsidRPr="00A27DD3">
      <w:rPr>
        <w:rFonts w:hint="eastAsia"/>
        <w:noProof/>
      </w:rPr>
      <w:drawing>
        <wp:anchor distT="0" distB="0" distL="114300" distR="114300" simplePos="0" relativeHeight="251659264" behindDoc="0" locked="0" layoutInCell="1" allowOverlap="1" wp14:anchorId="1B976F3B" wp14:editId="1B92EF98">
          <wp:simplePos x="0" y="0"/>
          <wp:positionH relativeFrom="column">
            <wp:posOffset>-19685</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r w:rsidRPr="00A27DD3">
      <w:t>交银施罗德丰泽收益债券型证券投资基金</w:t>
    </w:r>
    <w:r w:rsidRPr="00A27DD3">
      <w:t>2016</w:t>
    </w:r>
    <w:r w:rsidRPr="00A27DD3">
      <w:t>年半年度报告</w:t>
    </w:r>
    <w:r w:rsidRPr="00A27DD3">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2D29"/>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4EB5"/>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D93"/>
    <w:rsid w:val="00262029"/>
    <w:rsid w:val="002626EB"/>
    <w:rsid w:val="00263BBD"/>
    <w:rsid w:val="002648D8"/>
    <w:rsid w:val="00264CEC"/>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61C"/>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25EF"/>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0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3A6"/>
    <w:rsid w:val="00597657"/>
    <w:rsid w:val="00597AAB"/>
    <w:rsid w:val="00597D8B"/>
    <w:rsid w:val="005A0742"/>
    <w:rsid w:val="005A09F2"/>
    <w:rsid w:val="005A0F6D"/>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445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5D1"/>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96"/>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2B5D"/>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1A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4DC"/>
    <w:rsid w:val="00C858E0"/>
    <w:rsid w:val="00C85C32"/>
    <w:rsid w:val="00C85F45"/>
    <w:rsid w:val="00C86C8C"/>
    <w:rsid w:val="00C87568"/>
    <w:rsid w:val="00C87FD0"/>
    <w:rsid w:val="00C90857"/>
    <w:rsid w:val="00C90DB6"/>
    <w:rsid w:val="00C9106A"/>
    <w:rsid w:val="00C92603"/>
    <w:rsid w:val="00C92652"/>
    <w:rsid w:val="00C92713"/>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4CEF"/>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F4F"/>
    <w:rsid w:val="00DB2442"/>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AA6"/>
    <w:rsid w:val="00F03DB2"/>
    <w:rsid w:val="00F03DD3"/>
    <w:rsid w:val="00F044C6"/>
    <w:rsid w:val="00F04BBE"/>
    <w:rsid w:val="00F04EC1"/>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92D7C1D-6039-48AC-91BF-DA550A9F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7B9F-829E-4AFE-BB45-F578FCBF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24</Pages>
  <Words>2497</Words>
  <Characters>14238</Characters>
  <Application>Microsoft Office Word</Application>
  <DocSecurity>0</DocSecurity>
  <Lines>118</Lines>
  <Paragraphs>33</Paragraphs>
  <ScaleCrop>false</ScaleCrop>
  <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1263</cp:revision>
  <cp:lastPrinted>2007-07-19T00:46:00Z</cp:lastPrinted>
  <dcterms:created xsi:type="dcterms:W3CDTF">2013-08-19T07:44:00Z</dcterms:created>
  <dcterms:modified xsi:type="dcterms:W3CDTF">2016-08-25T09:59:00Z</dcterms:modified>
</cp:coreProperties>
</file>