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交银施罗德丰享收益债券型证券投资基金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交银丰享收益债券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519748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519748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契约型，本基金在基金合同生效之日起两年（含两年）的期间内封闭式运作（按照基金合同的约定提前转换基金运作方式的除外），封闭期结束后转为开放式运作</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1</w:t>
            </w:r>
            <w:r w:rsidRPr="005C672D">
              <w:rPr>
                <w:sz w:val="24"/>
              </w:rPr>
              <w:t>月</w:t>
            </w:r>
            <w:r w:rsidRPr="005C672D">
              <w:rPr>
                <w:sz w:val="24"/>
              </w:rPr>
              <w:t>19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259,386,490.95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注：本基金在基金合同生效之日起两年（含两年）的期间内封闭式运作（按照基金合同的约定提前转换基金运作方式的除外）。封闭期内，基金投资者不能申购、赎回本基金基金份额，即</w:t>
      </w:r>
      <w:r w:rsidRPr="005C672D">
        <w:rPr>
          <w:kern w:val="0"/>
          <w:sz w:val="24"/>
        </w:rPr>
        <w:t>C</w:t>
      </w:r>
      <w:r w:rsidRPr="005C672D">
        <w:rPr>
          <w:kern w:val="0"/>
          <w:sz w:val="24"/>
        </w:rPr>
        <w:t>类基金份额。</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在严格控制风险和追求资产稳健增值的基础上</w:t>
            </w:r>
            <w:r w:rsidRPr="005C672D">
              <w:rPr>
                <w:sz w:val="24"/>
              </w:rPr>
              <w:t>,</w:t>
            </w:r>
            <w:r w:rsidRPr="005C672D">
              <w:rPr>
                <w:sz w:val="24"/>
              </w:rPr>
              <w:t>力求获得高于业绩基准的投资收益。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两年期银行定期存款税后收益率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本基金是一只债券型基金，其风险与预期收益高于货币市场基金，低于混合型基金和股票型基金，属于证券投资基金中中等风险的品种。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010-89936330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11,635,106.87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4,703,936.25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0.0181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1.70%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273,241,988.06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1.053</w:t>
            </w:r>
          </w:p>
        </w:tc>
      </w:tr>
    </w:tbl>
    <w:bookmarkEnd w:id="14"/>
    <w:bookmarkEnd w:id="15"/>
    <w:p w:rsidR="003F2AC3" w:rsidRDefault="00C663F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3F2AC3">
        <w:tc>
          <w:tcPr>
            <w:tcW w:w="1497" w:type="dxa"/>
            <w:vAlign w:val="center"/>
          </w:tcPr>
          <w:p w:rsidR="003F2AC3" w:rsidRDefault="00C663F3">
            <w:pPr>
              <w:jc w:val="left"/>
            </w:pPr>
            <w:r>
              <w:rPr>
                <w:color w:val="000000"/>
                <w:sz w:val="24"/>
              </w:rPr>
              <w:t>过去一个月</w:t>
            </w:r>
          </w:p>
        </w:tc>
        <w:tc>
          <w:tcPr>
            <w:tcW w:w="1251" w:type="dxa"/>
            <w:vAlign w:val="center"/>
          </w:tcPr>
          <w:p w:rsidR="003F2AC3" w:rsidRDefault="00C663F3">
            <w:pPr>
              <w:jc w:val="center"/>
            </w:pPr>
            <w:r>
              <w:rPr>
                <w:color w:val="000000"/>
                <w:sz w:val="24"/>
              </w:rPr>
              <w:t>0.57%</w:t>
            </w:r>
          </w:p>
        </w:tc>
        <w:tc>
          <w:tcPr>
            <w:tcW w:w="1250" w:type="dxa"/>
            <w:vAlign w:val="center"/>
          </w:tcPr>
          <w:p w:rsidR="003F2AC3" w:rsidRDefault="00C663F3">
            <w:pPr>
              <w:jc w:val="center"/>
            </w:pPr>
            <w:r>
              <w:rPr>
                <w:color w:val="000000"/>
                <w:sz w:val="24"/>
              </w:rPr>
              <w:t>0.07%</w:t>
            </w:r>
          </w:p>
        </w:tc>
        <w:tc>
          <w:tcPr>
            <w:tcW w:w="1250" w:type="dxa"/>
            <w:vAlign w:val="center"/>
          </w:tcPr>
          <w:p w:rsidR="003F2AC3" w:rsidRDefault="00C663F3">
            <w:pPr>
              <w:jc w:val="center"/>
            </w:pPr>
            <w:r>
              <w:rPr>
                <w:color w:val="000000"/>
                <w:sz w:val="24"/>
              </w:rPr>
              <w:t>0.17%</w:t>
            </w:r>
          </w:p>
        </w:tc>
        <w:tc>
          <w:tcPr>
            <w:tcW w:w="1250" w:type="dxa"/>
            <w:vAlign w:val="center"/>
          </w:tcPr>
          <w:p w:rsidR="003F2AC3" w:rsidRDefault="00C663F3">
            <w:pPr>
              <w:jc w:val="center"/>
            </w:pPr>
            <w:r>
              <w:rPr>
                <w:color w:val="000000"/>
                <w:sz w:val="24"/>
              </w:rPr>
              <w:t>0.01%</w:t>
            </w:r>
          </w:p>
        </w:tc>
        <w:tc>
          <w:tcPr>
            <w:tcW w:w="1250" w:type="dxa"/>
            <w:vAlign w:val="center"/>
          </w:tcPr>
          <w:p w:rsidR="003F2AC3" w:rsidRDefault="00C663F3">
            <w:pPr>
              <w:jc w:val="center"/>
            </w:pPr>
            <w:r>
              <w:rPr>
                <w:color w:val="000000"/>
                <w:sz w:val="24"/>
              </w:rPr>
              <w:t>0.40%</w:t>
            </w:r>
          </w:p>
        </w:tc>
        <w:tc>
          <w:tcPr>
            <w:tcW w:w="1250" w:type="dxa"/>
            <w:vAlign w:val="center"/>
          </w:tcPr>
          <w:p w:rsidR="003F2AC3" w:rsidRDefault="00C663F3">
            <w:pPr>
              <w:jc w:val="center"/>
            </w:pPr>
            <w:r>
              <w:rPr>
                <w:color w:val="000000"/>
                <w:sz w:val="24"/>
              </w:rPr>
              <w:t>0.06%</w:t>
            </w:r>
          </w:p>
        </w:tc>
      </w:tr>
      <w:tr w:rsidR="003F2AC3">
        <w:tc>
          <w:tcPr>
            <w:tcW w:w="1497" w:type="dxa"/>
            <w:vAlign w:val="center"/>
          </w:tcPr>
          <w:p w:rsidR="003F2AC3" w:rsidRDefault="00C663F3">
            <w:pPr>
              <w:jc w:val="left"/>
            </w:pPr>
            <w:r>
              <w:rPr>
                <w:color w:val="000000"/>
                <w:sz w:val="24"/>
              </w:rPr>
              <w:t>过去三个月</w:t>
            </w:r>
          </w:p>
        </w:tc>
        <w:tc>
          <w:tcPr>
            <w:tcW w:w="1251" w:type="dxa"/>
            <w:vAlign w:val="center"/>
          </w:tcPr>
          <w:p w:rsidR="003F2AC3" w:rsidRDefault="00C663F3">
            <w:pPr>
              <w:jc w:val="center"/>
            </w:pPr>
            <w:r>
              <w:rPr>
                <w:color w:val="000000"/>
                <w:sz w:val="24"/>
              </w:rPr>
              <w:t>0.00%</w:t>
            </w:r>
          </w:p>
        </w:tc>
        <w:tc>
          <w:tcPr>
            <w:tcW w:w="1250" w:type="dxa"/>
            <w:vAlign w:val="center"/>
          </w:tcPr>
          <w:p w:rsidR="003F2AC3" w:rsidRDefault="00C663F3">
            <w:pPr>
              <w:jc w:val="center"/>
            </w:pPr>
            <w:r>
              <w:rPr>
                <w:color w:val="000000"/>
                <w:sz w:val="24"/>
              </w:rPr>
              <w:t>0.09%</w:t>
            </w:r>
          </w:p>
        </w:tc>
        <w:tc>
          <w:tcPr>
            <w:tcW w:w="1250" w:type="dxa"/>
            <w:vAlign w:val="center"/>
          </w:tcPr>
          <w:p w:rsidR="003F2AC3" w:rsidRDefault="00C663F3">
            <w:pPr>
              <w:jc w:val="center"/>
            </w:pPr>
            <w:r>
              <w:rPr>
                <w:color w:val="000000"/>
                <w:sz w:val="24"/>
              </w:rPr>
              <w:t>0.53%</w:t>
            </w:r>
          </w:p>
        </w:tc>
        <w:tc>
          <w:tcPr>
            <w:tcW w:w="1250" w:type="dxa"/>
            <w:vAlign w:val="center"/>
          </w:tcPr>
          <w:p w:rsidR="003F2AC3" w:rsidRDefault="00C663F3">
            <w:pPr>
              <w:jc w:val="center"/>
            </w:pPr>
            <w:r>
              <w:rPr>
                <w:color w:val="000000"/>
                <w:sz w:val="24"/>
              </w:rPr>
              <w:t>0.01%</w:t>
            </w:r>
          </w:p>
        </w:tc>
        <w:tc>
          <w:tcPr>
            <w:tcW w:w="1250" w:type="dxa"/>
            <w:vAlign w:val="center"/>
          </w:tcPr>
          <w:p w:rsidR="003F2AC3" w:rsidRDefault="00C663F3">
            <w:pPr>
              <w:jc w:val="center"/>
            </w:pPr>
            <w:r>
              <w:rPr>
                <w:color w:val="000000"/>
                <w:sz w:val="24"/>
              </w:rPr>
              <w:t>-0.53%</w:t>
            </w:r>
          </w:p>
        </w:tc>
        <w:tc>
          <w:tcPr>
            <w:tcW w:w="1250" w:type="dxa"/>
            <w:vAlign w:val="center"/>
          </w:tcPr>
          <w:p w:rsidR="003F2AC3" w:rsidRDefault="00C663F3">
            <w:pPr>
              <w:jc w:val="center"/>
            </w:pPr>
            <w:r>
              <w:rPr>
                <w:color w:val="000000"/>
                <w:sz w:val="24"/>
              </w:rPr>
              <w:t>0.08%</w:t>
            </w:r>
          </w:p>
        </w:tc>
      </w:tr>
      <w:tr w:rsidR="003F2AC3">
        <w:tc>
          <w:tcPr>
            <w:tcW w:w="1497" w:type="dxa"/>
            <w:vAlign w:val="center"/>
          </w:tcPr>
          <w:p w:rsidR="003F2AC3" w:rsidRDefault="00C663F3">
            <w:pPr>
              <w:jc w:val="left"/>
            </w:pPr>
            <w:r>
              <w:rPr>
                <w:color w:val="000000"/>
                <w:sz w:val="24"/>
              </w:rPr>
              <w:t>过去六个月</w:t>
            </w:r>
          </w:p>
        </w:tc>
        <w:tc>
          <w:tcPr>
            <w:tcW w:w="1251" w:type="dxa"/>
            <w:vAlign w:val="center"/>
          </w:tcPr>
          <w:p w:rsidR="003F2AC3" w:rsidRDefault="00C663F3">
            <w:pPr>
              <w:jc w:val="center"/>
            </w:pPr>
            <w:r>
              <w:rPr>
                <w:color w:val="000000"/>
                <w:sz w:val="24"/>
              </w:rPr>
              <w:t>1.70%</w:t>
            </w:r>
          </w:p>
        </w:tc>
        <w:tc>
          <w:tcPr>
            <w:tcW w:w="1250" w:type="dxa"/>
            <w:vAlign w:val="center"/>
          </w:tcPr>
          <w:p w:rsidR="003F2AC3" w:rsidRDefault="00C663F3">
            <w:pPr>
              <w:jc w:val="center"/>
            </w:pPr>
            <w:r>
              <w:rPr>
                <w:color w:val="000000"/>
                <w:sz w:val="24"/>
              </w:rPr>
              <w:t>0.09%</w:t>
            </w:r>
          </w:p>
        </w:tc>
        <w:tc>
          <w:tcPr>
            <w:tcW w:w="1250" w:type="dxa"/>
            <w:vAlign w:val="center"/>
          </w:tcPr>
          <w:p w:rsidR="003F2AC3" w:rsidRDefault="00C663F3">
            <w:pPr>
              <w:jc w:val="center"/>
            </w:pPr>
            <w:r>
              <w:rPr>
                <w:color w:val="000000"/>
                <w:sz w:val="24"/>
              </w:rPr>
              <w:t>1.06%</w:t>
            </w:r>
          </w:p>
        </w:tc>
        <w:tc>
          <w:tcPr>
            <w:tcW w:w="1250" w:type="dxa"/>
            <w:vAlign w:val="center"/>
          </w:tcPr>
          <w:p w:rsidR="003F2AC3" w:rsidRDefault="00C663F3">
            <w:pPr>
              <w:jc w:val="center"/>
            </w:pPr>
            <w:r>
              <w:rPr>
                <w:color w:val="000000"/>
                <w:sz w:val="24"/>
              </w:rPr>
              <w:t>0.01%</w:t>
            </w:r>
          </w:p>
        </w:tc>
        <w:tc>
          <w:tcPr>
            <w:tcW w:w="1250" w:type="dxa"/>
            <w:vAlign w:val="center"/>
          </w:tcPr>
          <w:p w:rsidR="003F2AC3" w:rsidRDefault="00C663F3">
            <w:pPr>
              <w:jc w:val="center"/>
            </w:pPr>
            <w:r>
              <w:rPr>
                <w:color w:val="000000"/>
                <w:sz w:val="24"/>
              </w:rPr>
              <w:t>0.64%</w:t>
            </w:r>
          </w:p>
        </w:tc>
        <w:tc>
          <w:tcPr>
            <w:tcW w:w="1250" w:type="dxa"/>
            <w:vAlign w:val="center"/>
          </w:tcPr>
          <w:p w:rsidR="003F2AC3" w:rsidRDefault="00C663F3">
            <w:pPr>
              <w:jc w:val="center"/>
            </w:pPr>
            <w:r>
              <w:rPr>
                <w:color w:val="000000"/>
                <w:sz w:val="24"/>
              </w:rPr>
              <w:t>0.08%</w:t>
            </w:r>
          </w:p>
        </w:tc>
      </w:tr>
      <w:tr w:rsidR="003F2AC3">
        <w:tc>
          <w:tcPr>
            <w:tcW w:w="1497" w:type="dxa"/>
            <w:vAlign w:val="center"/>
          </w:tcPr>
          <w:p w:rsidR="003F2AC3" w:rsidRDefault="00C663F3">
            <w:pPr>
              <w:jc w:val="left"/>
            </w:pPr>
            <w:r>
              <w:rPr>
                <w:color w:val="000000"/>
                <w:sz w:val="24"/>
              </w:rPr>
              <w:t>过去一年</w:t>
            </w:r>
          </w:p>
        </w:tc>
        <w:tc>
          <w:tcPr>
            <w:tcW w:w="1251" w:type="dxa"/>
            <w:vAlign w:val="center"/>
          </w:tcPr>
          <w:p w:rsidR="003F2AC3" w:rsidRDefault="00C663F3">
            <w:pPr>
              <w:jc w:val="center"/>
            </w:pPr>
            <w:r>
              <w:rPr>
                <w:color w:val="000000"/>
                <w:sz w:val="24"/>
              </w:rPr>
              <w:t>7.84%</w:t>
            </w:r>
          </w:p>
        </w:tc>
        <w:tc>
          <w:tcPr>
            <w:tcW w:w="1250" w:type="dxa"/>
            <w:vAlign w:val="center"/>
          </w:tcPr>
          <w:p w:rsidR="003F2AC3" w:rsidRDefault="00C663F3">
            <w:pPr>
              <w:jc w:val="center"/>
            </w:pPr>
            <w:r>
              <w:rPr>
                <w:color w:val="000000"/>
                <w:sz w:val="24"/>
              </w:rPr>
              <w:t>0.09%</w:t>
            </w:r>
          </w:p>
        </w:tc>
        <w:tc>
          <w:tcPr>
            <w:tcW w:w="1250" w:type="dxa"/>
            <w:vAlign w:val="center"/>
          </w:tcPr>
          <w:p w:rsidR="003F2AC3" w:rsidRDefault="00C663F3">
            <w:pPr>
              <w:jc w:val="center"/>
            </w:pPr>
            <w:r>
              <w:rPr>
                <w:color w:val="000000"/>
                <w:sz w:val="24"/>
              </w:rPr>
              <w:t>2.25%</w:t>
            </w:r>
          </w:p>
        </w:tc>
        <w:tc>
          <w:tcPr>
            <w:tcW w:w="1250" w:type="dxa"/>
            <w:vAlign w:val="center"/>
          </w:tcPr>
          <w:p w:rsidR="003F2AC3" w:rsidRDefault="00C663F3">
            <w:pPr>
              <w:jc w:val="center"/>
            </w:pPr>
            <w:r>
              <w:rPr>
                <w:color w:val="000000"/>
                <w:sz w:val="24"/>
              </w:rPr>
              <w:t>0.01%</w:t>
            </w:r>
          </w:p>
        </w:tc>
        <w:tc>
          <w:tcPr>
            <w:tcW w:w="1250" w:type="dxa"/>
            <w:vAlign w:val="center"/>
          </w:tcPr>
          <w:p w:rsidR="003F2AC3" w:rsidRDefault="00C663F3">
            <w:pPr>
              <w:jc w:val="center"/>
            </w:pPr>
            <w:r>
              <w:rPr>
                <w:color w:val="000000"/>
                <w:sz w:val="24"/>
              </w:rPr>
              <w:t>5.59%</w:t>
            </w:r>
          </w:p>
        </w:tc>
        <w:tc>
          <w:tcPr>
            <w:tcW w:w="1250" w:type="dxa"/>
            <w:vAlign w:val="center"/>
          </w:tcPr>
          <w:p w:rsidR="003F2AC3" w:rsidRDefault="00C663F3">
            <w:pPr>
              <w:jc w:val="center"/>
            </w:pPr>
            <w:r>
              <w:rPr>
                <w:color w:val="000000"/>
                <w:sz w:val="24"/>
              </w:rPr>
              <w:t>0.08%</w:t>
            </w:r>
          </w:p>
        </w:tc>
      </w:tr>
      <w:tr w:rsidR="003F2AC3">
        <w:tc>
          <w:tcPr>
            <w:tcW w:w="1497" w:type="dxa"/>
            <w:vAlign w:val="center"/>
          </w:tcPr>
          <w:p w:rsidR="003F2AC3" w:rsidRDefault="00C663F3">
            <w:pPr>
              <w:jc w:val="left"/>
            </w:pPr>
            <w:r>
              <w:rPr>
                <w:color w:val="000000"/>
                <w:sz w:val="24"/>
              </w:rPr>
              <w:t>自基金合同生效起至今</w:t>
            </w:r>
          </w:p>
        </w:tc>
        <w:tc>
          <w:tcPr>
            <w:tcW w:w="1251" w:type="dxa"/>
            <w:vAlign w:val="center"/>
          </w:tcPr>
          <w:p w:rsidR="003F2AC3" w:rsidRDefault="00C663F3">
            <w:pPr>
              <w:jc w:val="center"/>
            </w:pPr>
            <w:r>
              <w:rPr>
                <w:color w:val="000000"/>
                <w:sz w:val="24"/>
              </w:rPr>
              <w:t>12.37%</w:t>
            </w:r>
          </w:p>
        </w:tc>
        <w:tc>
          <w:tcPr>
            <w:tcW w:w="1250" w:type="dxa"/>
            <w:vAlign w:val="center"/>
          </w:tcPr>
          <w:p w:rsidR="003F2AC3" w:rsidRDefault="00C663F3">
            <w:pPr>
              <w:jc w:val="center"/>
            </w:pPr>
            <w:r>
              <w:rPr>
                <w:color w:val="000000"/>
                <w:sz w:val="24"/>
              </w:rPr>
              <w:t>0.09%</w:t>
            </w:r>
          </w:p>
        </w:tc>
        <w:tc>
          <w:tcPr>
            <w:tcW w:w="1250" w:type="dxa"/>
            <w:vAlign w:val="center"/>
          </w:tcPr>
          <w:p w:rsidR="003F2AC3" w:rsidRDefault="00C663F3">
            <w:pPr>
              <w:jc w:val="center"/>
            </w:pPr>
            <w:r>
              <w:rPr>
                <w:color w:val="000000"/>
                <w:sz w:val="24"/>
              </w:rPr>
              <w:t>3.65%</w:t>
            </w:r>
          </w:p>
        </w:tc>
        <w:tc>
          <w:tcPr>
            <w:tcW w:w="1250" w:type="dxa"/>
            <w:vAlign w:val="center"/>
          </w:tcPr>
          <w:p w:rsidR="003F2AC3" w:rsidRDefault="00C663F3">
            <w:pPr>
              <w:jc w:val="center"/>
            </w:pPr>
            <w:r>
              <w:rPr>
                <w:color w:val="000000"/>
                <w:sz w:val="24"/>
              </w:rPr>
              <w:t>0.01%</w:t>
            </w:r>
          </w:p>
        </w:tc>
        <w:tc>
          <w:tcPr>
            <w:tcW w:w="1250" w:type="dxa"/>
            <w:vAlign w:val="center"/>
          </w:tcPr>
          <w:p w:rsidR="003F2AC3" w:rsidRDefault="00C663F3">
            <w:pPr>
              <w:jc w:val="center"/>
            </w:pPr>
            <w:r>
              <w:rPr>
                <w:color w:val="000000"/>
                <w:sz w:val="24"/>
              </w:rPr>
              <w:t>8.72%</w:t>
            </w:r>
          </w:p>
        </w:tc>
        <w:tc>
          <w:tcPr>
            <w:tcW w:w="1250" w:type="dxa"/>
            <w:vAlign w:val="center"/>
          </w:tcPr>
          <w:p w:rsidR="003F2AC3" w:rsidRDefault="00C663F3">
            <w:pPr>
              <w:jc w:val="center"/>
            </w:pPr>
            <w:r>
              <w:rPr>
                <w:color w:val="000000"/>
                <w:sz w:val="24"/>
              </w:rPr>
              <w:t>0.08%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注：本基金业绩比较基准为两年期银行定期存款税后收益率。</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交银施罗德丰享收益债券型证券投资基金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1</w:t>
      </w:r>
      <w:r w:rsidR="001548F9" w:rsidRPr="005C672D">
        <w:rPr>
          <w:rFonts w:ascii="Times New Roman" w:hAnsi="Times New Roman"/>
          <w:sz w:val="24"/>
          <w:szCs w:val="24"/>
        </w:rPr>
        <w:t>月</w:t>
      </w:r>
      <w:r w:rsidR="001548F9" w:rsidRPr="005C672D">
        <w:rPr>
          <w:rFonts w:ascii="Times New Roman" w:hAnsi="Times New Roman"/>
          <w:sz w:val="24"/>
          <w:szCs w:val="24"/>
        </w:rPr>
        <w:t>19</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2015</w:t>
      </w:r>
      <w:r w:rsidRPr="005C672D">
        <w:rPr>
          <w:kern w:val="0"/>
          <w:sz w:val="24"/>
        </w:rPr>
        <w:t>年</w:t>
      </w:r>
      <w:r w:rsidRPr="005C672D">
        <w:rPr>
          <w:kern w:val="0"/>
          <w:sz w:val="24"/>
        </w:rPr>
        <w:t>1</w:t>
      </w:r>
      <w:r w:rsidRPr="005C672D">
        <w:rPr>
          <w:kern w:val="0"/>
          <w:sz w:val="24"/>
        </w:rPr>
        <w:t>月</w:t>
      </w:r>
      <w:r w:rsidRPr="005C672D">
        <w:rPr>
          <w:kern w:val="0"/>
          <w:sz w:val="24"/>
        </w:rPr>
        <w:t>19</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3F2AC3" w:rsidRDefault="00C663F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3F2AC3">
        <w:tc>
          <w:tcPr>
            <w:tcW w:w="1033" w:type="dxa"/>
            <w:vAlign w:val="center"/>
          </w:tcPr>
          <w:p w:rsidR="003F2AC3" w:rsidRDefault="00C663F3">
            <w:pPr>
              <w:jc w:val="center"/>
            </w:pPr>
            <w:r>
              <w:rPr>
                <w:color w:val="000000"/>
                <w:sz w:val="24"/>
              </w:rPr>
              <w:t>孙超</w:t>
            </w:r>
          </w:p>
        </w:tc>
        <w:tc>
          <w:tcPr>
            <w:tcW w:w="1416" w:type="dxa"/>
            <w:vAlign w:val="center"/>
          </w:tcPr>
          <w:p w:rsidR="003F2AC3" w:rsidRDefault="00C663F3">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3F2AC3" w:rsidRDefault="00C663F3">
            <w:pPr>
              <w:jc w:val="center"/>
            </w:pPr>
            <w:r>
              <w:rPr>
                <w:color w:val="000000"/>
                <w:sz w:val="24"/>
              </w:rPr>
              <w:t>2015-01-19</w:t>
            </w:r>
          </w:p>
        </w:tc>
        <w:tc>
          <w:tcPr>
            <w:tcW w:w="1192" w:type="dxa"/>
            <w:vAlign w:val="center"/>
          </w:tcPr>
          <w:p w:rsidR="003F2AC3" w:rsidRDefault="00C663F3">
            <w:pPr>
              <w:jc w:val="center"/>
            </w:pPr>
            <w:r>
              <w:rPr>
                <w:color w:val="000000"/>
                <w:sz w:val="24"/>
              </w:rPr>
              <w:t>-</w:t>
            </w:r>
          </w:p>
        </w:tc>
        <w:tc>
          <w:tcPr>
            <w:tcW w:w="1169" w:type="dxa"/>
            <w:vAlign w:val="center"/>
          </w:tcPr>
          <w:p w:rsidR="003F2AC3" w:rsidRDefault="00C663F3">
            <w:pPr>
              <w:jc w:val="center"/>
            </w:pPr>
            <w:r>
              <w:rPr>
                <w:color w:val="000000"/>
                <w:sz w:val="24"/>
              </w:rPr>
              <w:t>5</w:t>
            </w:r>
            <w:r>
              <w:rPr>
                <w:color w:val="000000"/>
                <w:sz w:val="24"/>
              </w:rPr>
              <w:t>年</w:t>
            </w:r>
          </w:p>
        </w:tc>
        <w:tc>
          <w:tcPr>
            <w:tcW w:w="3062" w:type="dxa"/>
            <w:vAlign w:val="center"/>
          </w:tcPr>
          <w:p w:rsidR="003F2AC3" w:rsidRDefault="00C663F3">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r w:rsidR="003F2AC3">
        <w:tc>
          <w:tcPr>
            <w:tcW w:w="1033" w:type="dxa"/>
            <w:vAlign w:val="center"/>
          </w:tcPr>
          <w:p w:rsidR="003F2AC3" w:rsidRDefault="00C663F3">
            <w:pPr>
              <w:jc w:val="center"/>
            </w:pPr>
            <w:r>
              <w:rPr>
                <w:color w:val="000000"/>
                <w:sz w:val="24"/>
              </w:rPr>
              <w:t>黄莹洁</w:t>
            </w:r>
          </w:p>
        </w:tc>
        <w:tc>
          <w:tcPr>
            <w:tcW w:w="1416" w:type="dxa"/>
            <w:vAlign w:val="center"/>
          </w:tcPr>
          <w:p w:rsidR="003F2AC3" w:rsidRDefault="00C663F3">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126" w:type="dxa"/>
            <w:vAlign w:val="center"/>
          </w:tcPr>
          <w:p w:rsidR="003F2AC3" w:rsidRDefault="00C663F3">
            <w:pPr>
              <w:jc w:val="center"/>
            </w:pPr>
            <w:r>
              <w:rPr>
                <w:color w:val="000000"/>
                <w:sz w:val="24"/>
              </w:rPr>
              <w:t>2015-07-25</w:t>
            </w:r>
          </w:p>
        </w:tc>
        <w:tc>
          <w:tcPr>
            <w:tcW w:w="1192" w:type="dxa"/>
            <w:vAlign w:val="center"/>
          </w:tcPr>
          <w:p w:rsidR="003F2AC3" w:rsidRDefault="00C663F3">
            <w:pPr>
              <w:jc w:val="center"/>
            </w:pPr>
            <w:r>
              <w:rPr>
                <w:color w:val="000000"/>
                <w:sz w:val="24"/>
              </w:rPr>
              <w:t>-</w:t>
            </w:r>
          </w:p>
        </w:tc>
        <w:tc>
          <w:tcPr>
            <w:tcW w:w="1169" w:type="dxa"/>
            <w:vAlign w:val="center"/>
          </w:tcPr>
          <w:p w:rsidR="003F2AC3" w:rsidRDefault="00C663F3">
            <w:pPr>
              <w:jc w:val="center"/>
            </w:pPr>
            <w:r>
              <w:rPr>
                <w:color w:val="000000"/>
                <w:sz w:val="24"/>
              </w:rPr>
              <w:t>8</w:t>
            </w:r>
            <w:r>
              <w:rPr>
                <w:color w:val="000000"/>
                <w:sz w:val="24"/>
              </w:rPr>
              <w:t>年</w:t>
            </w:r>
          </w:p>
        </w:tc>
        <w:tc>
          <w:tcPr>
            <w:tcW w:w="3062" w:type="dxa"/>
            <w:vAlign w:val="center"/>
          </w:tcPr>
          <w:p w:rsidR="003F2AC3" w:rsidRDefault="00C663F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3F2AC3" w:rsidRDefault="00C663F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F2AC3" w:rsidRDefault="00C663F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3F2AC3" w:rsidRDefault="00C663F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3F2AC3" w:rsidRDefault="00C663F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F2AC3" w:rsidRDefault="00C663F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F2AC3" w:rsidRDefault="00C663F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3F2AC3" w:rsidRDefault="00C663F3">
      <w:pPr>
        <w:spacing w:before="29" w:line="288" w:lineRule="auto"/>
        <w:ind w:firstLineChars="200" w:firstLine="480"/>
        <w:rPr>
          <w:color w:val="000000"/>
          <w:sz w:val="24"/>
        </w:rPr>
      </w:pPr>
      <w:r>
        <w:rPr>
          <w:color w:val="000000"/>
          <w:sz w:val="24"/>
        </w:rPr>
        <w:t>本报告期内，国内宏观经济整体上依然面临下行压力，央行加强短端利率波动管控，着重维持资金面平稳格局，虽然资金面整体偏宽松，但外汇占款持续流出、信贷扩张、银行</w:t>
      </w:r>
      <w:r>
        <w:rPr>
          <w:color w:val="000000"/>
          <w:sz w:val="24"/>
        </w:rPr>
        <w:t>MPA</w:t>
      </w:r>
      <w:r>
        <w:rPr>
          <w:color w:val="000000"/>
          <w:sz w:val="24"/>
        </w:rPr>
        <w:t>考核等因素使得流动性在边际上趋紧。利率债短端上行，长端小幅下行，收益率曲线平坦化，受信用事件频发的影响，信用债收益则以上行为主，低评级上行幅度更大，信用利差走阔。</w:t>
      </w:r>
    </w:p>
    <w:p w:rsidR="00C02A8F" w:rsidRPr="005C672D" w:rsidRDefault="00C02A8F" w:rsidP="00AC6DDA">
      <w:pPr>
        <w:spacing w:before="29" w:line="288" w:lineRule="auto"/>
        <w:ind w:firstLineChars="200" w:firstLine="480"/>
        <w:rPr>
          <w:color w:val="000000"/>
          <w:sz w:val="24"/>
        </w:rPr>
      </w:pPr>
      <w:r w:rsidRPr="005C672D">
        <w:rPr>
          <w:color w:val="000000"/>
          <w:sz w:val="24"/>
        </w:rPr>
        <w:t>基金操作方面，本基金以与封闭期适度匹配的债券配置进行杠杆操作，报告期内运作稳健。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1.053</w:t>
      </w:r>
      <w:r w:rsidRPr="005C672D">
        <w:rPr>
          <w:color w:val="000000"/>
          <w:sz w:val="24"/>
        </w:rPr>
        <w:t>元，本报告期份额净值增长率为</w:t>
      </w:r>
      <w:r w:rsidRPr="005C672D">
        <w:rPr>
          <w:color w:val="000000"/>
          <w:sz w:val="24"/>
        </w:rPr>
        <w:t>1.70%</w:t>
      </w:r>
      <w:r w:rsidRPr="005C672D">
        <w:rPr>
          <w:color w:val="000000"/>
          <w:sz w:val="24"/>
        </w:rPr>
        <w:t>，同期业绩比较基准增长率为</w:t>
      </w:r>
      <w:r w:rsidRPr="005C672D">
        <w:rPr>
          <w:color w:val="000000"/>
          <w:sz w:val="24"/>
        </w:rPr>
        <w:t>1.06%</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判断中国内在的经济增长动能仍处于下降通道，未来可能低位波动。考虑到货币政策对经济拉动的边际效用在递减，货币政策大幅宽松的可能性较小，央行可能仍将继续维持资金面平稳格局。考虑到经济基本面偏弱，资金面平稳，下半年债券到期量较大，机构面临配置压力，债券收益率或有一定的下行空间。组合管理方面，本基金计划将维持现有仓位配置，努力为投资者创造稳健的收益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3F2AC3" w:rsidRDefault="00C663F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F2AC3" w:rsidRDefault="00C663F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3F2AC3" w:rsidRDefault="00C663F3">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19</w:t>
      </w:r>
      <w:r w:rsidRPr="005C672D">
        <w:rPr>
          <w:color w:val="000000"/>
          <w:sz w:val="24"/>
        </w:rPr>
        <w:t>日交银施罗德丰享收益债券型证券投资基金（以下称</w:t>
      </w:r>
      <w:r w:rsidRPr="005C672D">
        <w:rPr>
          <w:color w:val="000000"/>
          <w:sz w:val="24"/>
        </w:rPr>
        <w:t>“</w:t>
      </w:r>
      <w:r w:rsidRPr="005C672D">
        <w:rPr>
          <w:color w:val="000000"/>
          <w:sz w:val="24"/>
        </w:rPr>
        <w:t>交银丰享收益债券</w:t>
      </w:r>
      <w:r w:rsidRPr="005C672D">
        <w:rPr>
          <w:color w:val="000000"/>
          <w:sz w:val="24"/>
        </w:rPr>
        <w:t>”</w:t>
      </w:r>
      <w:r w:rsidRPr="005C672D">
        <w:rPr>
          <w:color w:val="000000"/>
          <w:sz w:val="24"/>
        </w:rPr>
        <w:t>或</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由交银丰享收益债券基金管理人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会计主体：交银施罗德丰享收益债券型证券投资基金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2,043,552.90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1,134,451.70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33,758,986.21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14,476,075.22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18,414.93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2,685.35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274,112,787.50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505,817,462.00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274,112,787.50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455,791,862.00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50,025,600.00</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50,000,145.00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5,558,135.97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10,344,735.30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1,260.50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365,493,283.01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531,775,409.57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89,800,000.00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244,499,545.00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2,015,639.79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178,342.28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193,918.65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33,439.18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36,359.76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133,756.68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145,439.01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5,581.66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14,504.12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50,335.50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84,535.36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140,200.00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92,251,294.95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245,080,302.04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259,386,490.95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259,386,490.95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13,855,497.11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27,308,616.58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273,241,988.06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286,695,107.53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365,493,283.01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531,775,409.57</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1.053</w:t>
      </w:r>
      <w:r w:rsidR="006C5149" w:rsidRPr="005C672D">
        <w:rPr>
          <w:kern w:val="0"/>
          <w:sz w:val="24"/>
        </w:rPr>
        <w:t>元，基金份额总额</w:t>
      </w:r>
      <w:r w:rsidR="006C5149" w:rsidRPr="005C672D">
        <w:rPr>
          <w:kern w:val="0"/>
          <w:sz w:val="24"/>
        </w:rPr>
        <w:t>259,386,490.95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交银施罗德丰享收益债券型证券投资基金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19</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8,583,729.86</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14,397,292.17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10,767,658.89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9,200,744.55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89,694.78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455,116.51</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10,143,210.48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7,767,177.05</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531,200.00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972,006.57</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3,553.63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6,444.42</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4,747,241.59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38,651.41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3,767,213.64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38,651.41</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980,027.95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-6,931,170.62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5,157,896.21</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3,879,793.61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3,621,129.90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1,085,830.66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933,684.48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203,593.31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175,065.82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814,372.92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700,263.36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3,127.38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5,621.76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1,661,906.99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1,741,114.65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1,661,906.99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1,741,114.65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110,962.35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65,379.83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4,703,936.25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10,776,162.27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4,703,936.25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10,776,162.27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交银施罗德丰享收益债券型证券投资基金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259,386,490.95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27,308,616.58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286,695,107.53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4,703,936.25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4,703,936.25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-18,157,055.72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-18,157,055.72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259,386,490.95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13,855,497.11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273,241,988.06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19</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259,386,490.95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259,386,490.95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10,776,162.27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10,776,162.27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259,386,490.95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10,776,162.27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270,162,653.22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3F2AC3" w:rsidRDefault="00C663F3">
      <w:pPr>
        <w:spacing w:before="29" w:line="288" w:lineRule="auto"/>
        <w:ind w:firstLineChars="200" w:firstLine="480"/>
        <w:rPr>
          <w:color w:val="000000"/>
          <w:sz w:val="24"/>
        </w:rPr>
      </w:pPr>
      <w:r>
        <w:rPr>
          <w:color w:val="000000"/>
          <w:sz w:val="24"/>
        </w:rPr>
        <w:t>交银施罗德丰享收益债券型证券投资基金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[2014]1019</w:t>
      </w:r>
      <w:r>
        <w:rPr>
          <w:color w:val="00000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封闭式，存续期限不定，首次设立募集不包括认购资金利息共募集人民币</w:t>
      </w:r>
      <w:r>
        <w:rPr>
          <w:color w:val="000000"/>
          <w:sz w:val="24"/>
        </w:rPr>
        <w:t>259,262,547.02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42</w:t>
      </w:r>
      <w:r>
        <w:rPr>
          <w:color w:val="000000"/>
          <w:sz w:val="24"/>
        </w:rPr>
        <w:t>号验资报告予以验证。经向中国证监会备案，《交银施罗德丰享收益债券型证券投资基金基金合同》于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日正式生效，基金合同生效日的基金份额总额为</w:t>
      </w:r>
      <w:r>
        <w:rPr>
          <w:color w:val="000000"/>
          <w:sz w:val="24"/>
        </w:rPr>
        <w:t>259,386,490.95</w:t>
      </w:r>
      <w:r>
        <w:rPr>
          <w:color w:val="000000"/>
          <w:sz w:val="24"/>
        </w:rPr>
        <w:t>份基金份额，其中认购资金利息折合</w:t>
      </w:r>
      <w:r>
        <w:rPr>
          <w:color w:val="000000"/>
          <w:sz w:val="24"/>
        </w:rPr>
        <w:t>123,943.93</w:t>
      </w:r>
      <w:r>
        <w:rPr>
          <w:color w:val="000000"/>
          <w:sz w:val="24"/>
        </w:rPr>
        <w:t>份基金份额。本基金的基金管理人为交银施罗德基金管理有限公司，基金托管人为中信银行股份有限公司。</w:t>
      </w:r>
    </w:p>
    <w:p w:rsidR="003F2AC3" w:rsidRDefault="00C663F3">
      <w:pPr>
        <w:spacing w:before="29" w:line="288" w:lineRule="auto"/>
        <w:ind w:firstLineChars="200" w:firstLine="480"/>
        <w:rPr>
          <w:color w:val="000000"/>
          <w:sz w:val="24"/>
        </w:rPr>
      </w:pPr>
      <w:r>
        <w:rPr>
          <w:color w:val="000000"/>
          <w:sz w:val="24"/>
        </w:rPr>
        <w:t>根据《交银施罗德丰享收益债券型证券投资基金基金合同》和《交银施罗德丰享收益债券型证券投资基金招募说明书》，本基金根据认购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申购费用、赎回费用、销售服务费收取方式的不同，将基金份额分为不同的类别。在投资人申购时收取前端申购费用、赎回时收取赎回费用的，称为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类和</w:t>
      </w:r>
      <w:r>
        <w:rPr>
          <w:color w:val="000000"/>
          <w:sz w:val="24"/>
        </w:rPr>
        <w:t>B</w:t>
      </w:r>
      <w:r>
        <w:rPr>
          <w:color w:val="000000"/>
          <w:sz w:val="24"/>
        </w:rPr>
        <w:t>类基金份额的申购。</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5C672D">
        <w:rPr>
          <w:color w:val="000000"/>
          <w:sz w:val="24"/>
        </w:rPr>
        <w:t>AA</w:t>
      </w:r>
      <w:r w:rsidRPr="005C672D">
        <w:rPr>
          <w:color w:val="00000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5C672D">
        <w:rPr>
          <w:color w:val="000000"/>
          <w:sz w:val="24"/>
        </w:rPr>
        <w:t>80%</w:t>
      </w:r>
      <w:r w:rsidRPr="005C672D">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5C672D">
        <w:rPr>
          <w:color w:val="000000"/>
          <w:sz w:val="24"/>
        </w:rPr>
        <w:t>5%</w:t>
      </w:r>
      <w:r w:rsidRPr="005C672D">
        <w:rPr>
          <w:color w:val="000000"/>
          <w:sz w:val="24"/>
        </w:rPr>
        <w:t>。本基金封闭期内投资的业绩比较基准为两年期银行定期存款税后收益率。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颁布的《证券投资基金会计核算业务指引》、《交银施罗德丰享收益债券型证券投资基金基金合同》和在财务报表附注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3F2AC3" w:rsidRDefault="00C663F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3F2AC3" w:rsidRDefault="00C663F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3F2AC3" w:rsidRDefault="00C663F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(3)</w:t>
      </w:r>
      <w:r w:rsidRPr="005C672D">
        <w:rPr>
          <w:color w:val="000000"/>
          <w:sz w:val="24"/>
        </w:rPr>
        <w:t>对基金取得的企业债券利息收入，应由发行债券的企业在向基金支付利息时代扣代缴</w:t>
      </w:r>
      <w:r w:rsidRPr="005C672D">
        <w:rPr>
          <w:color w:val="000000"/>
          <w:sz w:val="24"/>
        </w:rPr>
        <w:t>20%</w:t>
      </w:r>
      <w:r w:rsidRPr="005C672D">
        <w:rPr>
          <w:color w:val="000000"/>
          <w:sz w:val="24"/>
        </w:rPr>
        <w:t>的个人所得税。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3F2AC3">
        <w:tc>
          <w:tcPr>
            <w:tcW w:w="5219" w:type="dxa"/>
            <w:vAlign w:val="center"/>
          </w:tcPr>
          <w:p w:rsidR="003F2AC3" w:rsidRDefault="00C663F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F2AC3" w:rsidRDefault="00C663F3">
            <w:pPr>
              <w:jc w:val="left"/>
            </w:pPr>
            <w:r>
              <w:rPr>
                <w:color w:val="000000"/>
                <w:sz w:val="24"/>
              </w:rPr>
              <w:t>基金管理人、基金销售机构</w:t>
            </w:r>
          </w:p>
        </w:tc>
      </w:tr>
      <w:tr w:rsidR="003F2AC3">
        <w:tc>
          <w:tcPr>
            <w:tcW w:w="5219" w:type="dxa"/>
            <w:vAlign w:val="center"/>
          </w:tcPr>
          <w:p w:rsidR="003F2AC3" w:rsidRDefault="00C663F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3F2AC3" w:rsidRDefault="00C663F3">
            <w:pPr>
              <w:jc w:val="left"/>
            </w:pPr>
            <w:r>
              <w:rPr>
                <w:color w:val="000000"/>
                <w:sz w:val="24"/>
              </w:rPr>
              <w:t>基金托管人、基金销售机构</w:t>
            </w:r>
          </w:p>
        </w:tc>
      </w:tr>
      <w:tr w:rsidR="003F2AC3">
        <w:tc>
          <w:tcPr>
            <w:tcW w:w="5219" w:type="dxa"/>
            <w:vAlign w:val="center"/>
          </w:tcPr>
          <w:p w:rsidR="003F2AC3" w:rsidRDefault="00C663F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F2AC3" w:rsidRDefault="00C663F3">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19</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1,085,830.66</w:t>
            </w:r>
          </w:p>
        </w:tc>
        <w:tc>
          <w:tcPr>
            <w:tcW w:w="2657" w:type="dxa"/>
            <w:vAlign w:val="center"/>
          </w:tcPr>
          <w:p w:rsidR="001548F9" w:rsidRPr="005C672D" w:rsidRDefault="001548F9" w:rsidP="00AC6DDA">
            <w:pPr>
              <w:spacing w:before="29" w:line="288" w:lineRule="auto"/>
              <w:jc w:val="right"/>
              <w:rPr>
                <w:sz w:val="24"/>
              </w:rPr>
            </w:pPr>
            <w:r w:rsidRPr="005C672D">
              <w:rPr>
                <w:sz w:val="24"/>
              </w:rPr>
              <w:t>933,684.48</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564,847.58</w:t>
            </w:r>
          </w:p>
        </w:tc>
        <w:tc>
          <w:tcPr>
            <w:tcW w:w="2657" w:type="dxa"/>
            <w:vAlign w:val="center"/>
          </w:tcPr>
          <w:p w:rsidR="001548F9" w:rsidRPr="005C672D" w:rsidRDefault="001548F9" w:rsidP="00AC6DDA">
            <w:pPr>
              <w:spacing w:before="29" w:line="288" w:lineRule="auto"/>
              <w:jc w:val="right"/>
              <w:rPr>
                <w:sz w:val="24"/>
              </w:rPr>
            </w:pPr>
            <w:r w:rsidRPr="005C672D">
              <w:rPr>
                <w:sz w:val="24"/>
              </w:rPr>
              <w:t>484,915.26</w:t>
            </w:r>
          </w:p>
        </w:tc>
      </w:tr>
    </w:tbl>
    <w:p w:rsidR="003F2AC3" w:rsidRDefault="00C663F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×0.8%÷</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19</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203,593.31</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175,065.82</w:t>
            </w:r>
          </w:p>
        </w:tc>
      </w:tr>
    </w:tbl>
    <w:p w:rsidR="003F2AC3" w:rsidRDefault="00C663F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×0.15%÷</w:t>
      </w:r>
      <w:r w:rsidRPr="005C672D">
        <w:rPr>
          <w:kern w:val="0"/>
          <w:sz w:val="24"/>
        </w:rPr>
        <w:t>当年天数。</w:t>
      </w:r>
    </w:p>
    <w:p w:rsidR="001548F9" w:rsidRPr="005C672D" w:rsidRDefault="001548F9" w:rsidP="00AC6DDA">
      <w:pPr>
        <w:spacing w:before="29" w:line="288" w:lineRule="auto"/>
        <w:rPr>
          <w:color w:val="000000"/>
          <w:sz w:val="24"/>
        </w:rPr>
      </w:pPr>
    </w:p>
    <w:p w:rsidR="001548F9"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63554E" w:rsidRPr="005C672D" w:rsidRDefault="0063554E" w:rsidP="0063554E">
      <w:pPr>
        <w:autoSpaceDE w:val="0"/>
        <w:autoSpaceDN w:val="0"/>
        <w:adjustRightInd w:val="0"/>
        <w:spacing w:before="29" w:line="288" w:lineRule="auto"/>
        <w:jc w:val="right"/>
        <w:rPr>
          <w:b/>
          <w:color w:val="000000"/>
          <w:kern w:val="0"/>
          <w:sz w:val="24"/>
        </w:rPr>
      </w:pPr>
      <w:r w:rsidRPr="00E20D8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6"/>
        <w:gridCol w:w="6172"/>
      </w:tblGrid>
      <w:tr w:rsidR="009F03BC" w:rsidRPr="005C672D" w:rsidTr="00756C2F">
        <w:tc>
          <w:tcPr>
            <w:tcW w:w="2826" w:type="dxa"/>
            <w:vMerge w:val="restart"/>
            <w:tcBorders>
              <w:top w:val="single" w:sz="4" w:space="0" w:color="000000"/>
              <w:left w:val="single" w:sz="4" w:space="0" w:color="000000"/>
              <w:right w:val="single" w:sz="4" w:space="0" w:color="000000"/>
            </w:tcBorders>
            <w:vAlign w:val="center"/>
          </w:tcPr>
          <w:p w:rsidR="009F03BC" w:rsidRPr="005C672D" w:rsidRDefault="009F03BC" w:rsidP="00756C2F">
            <w:pPr>
              <w:spacing w:before="29" w:line="288" w:lineRule="auto"/>
              <w:rPr>
                <w:color w:val="000000"/>
                <w:sz w:val="24"/>
              </w:rPr>
            </w:pPr>
            <w:r w:rsidRPr="005C672D">
              <w:rPr>
                <w:color w:val="000000"/>
                <w:sz w:val="24"/>
              </w:rPr>
              <w:t>获得销售服务费的各关联方名称</w:t>
            </w:r>
          </w:p>
        </w:tc>
        <w:tc>
          <w:tcPr>
            <w:tcW w:w="6172" w:type="dxa"/>
            <w:tcBorders>
              <w:top w:val="single" w:sz="4" w:space="0" w:color="000000"/>
              <w:left w:val="single" w:sz="4" w:space="0" w:color="000000"/>
              <w:bottom w:val="single" w:sz="4" w:space="0" w:color="000000"/>
              <w:right w:val="single" w:sz="4" w:space="0" w:color="000000"/>
            </w:tcBorders>
            <w:vAlign w:val="center"/>
          </w:tcPr>
          <w:p w:rsidR="009F03BC" w:rsidRPr="005C672D" w:rsidRDefault="009F03BC" w:rsidP="00756C2F">
            <w:pPr>
              <w:spacing w:before="29" w:line="288" w:lineRule="auto"/>
              <w:jc w:val="center"/>
              <w:rPr>
                <w:color w:val="000000"/>
                <w:sz w:val="24"/>
              </w:rPr>
            </w:pPr>
            <w:r w:rsidRPr="005C672D">
              <w:rPr>
                <w:color w:val="000000"/>
                <w:sz w:val="24"/>
              </w:rPr>
              <w:t>本期</w:t>
            </w:r>
          </w:p>
          <w:p w:rsidR="009F03BC" w:rsidRPr="005C672D" w:rsidRDefault="009F03BC" w:rsidP="00756C2F">
            <w:pPr>
              <w:spacing w:before="29" w:line="288" w:lineRule="auto"/>
              <w:jc w:val="center"/>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9F03BC" w:rsidRPr="005C672D" w:rsidTr="00756C2F">
        <w:tc>
          <w:tcPr>
            <w:tcW w:w="2826" w:type="dxa"/>
            <w:vMerge/>
            <w:tcBorders>
              <w:left w:val="single" w:sz="4" w:space="0" w:color="000000"/>
              <w:bottom w:val="single" w:sz="4" w:space="0" w:color="000000"/>
              <w:right w:val="single" w:sz="4" w:space="0" w:color="000000"/>
            </w:tcBorders>
            <w:vAlign w:val="center"/>
          </w:tcPr>
          <w:p w:rsidR="009F03BC" w:rsidRPr="005C672D" w:rsidRDefault="009F03BC" w:rsidP="00756C2F">
            <w:pPr>
              <w:spacing w:before="29" w:line="288" w:lineRule="auto"/>
              <w:rPr>
                <w:color w:val="000000"/>
                <w:sz w:val="24"/>
              </w:rPr>
            </w:pPr>
          </w:p>
        </w:tc>
        <w:tc>
          <w:tcPr>
            <w:tcW w:w="6172" w:type="dxa"/>
            <w:tcBorders>
              <w:top w:val="single" w:sz="4" w:space="0" w:color="000000"/>
              <w:left w:val="single" w:sz="4" w:space="0" w:color="000000"/>
              <w:bottom w:val="single" w:sz="4" w:space="0" w:color="000000"/>
              <w:right w:val="single" w:sz="4" w:space="0" w:color="000000"/>
            </w:tcBorders>
            <w:vAlign w:val="center"/>
          </w:tcPr>
          <w:p w:rsidR="009F03BC" w:rsidRPr="005C672D" w:rsidRDefault="009F03BC" w:rsidP="00756C2F">
            <w:pPr>
              <w:spacing w:before="29" w:line="288" w:lineRule="auto"/>
              <w:jc w:val="center"/>
              <w:rPr>
                <w:color w:val="000000"/>
                <w:sz w:val="24"/>
              </w:rPr>
            </w:pPr>
            <w:r w:rsidRPr="005C672D">
              <w:rPr>
                <w:color w:val="000000"/>
                <w:sz w:val="24"/>
              </w:rPr>
              <w:t>当期发生的基金应支付的销售服务费</w:t>
            </w:r>
          </w:p>
        </w:tc>
      </w:tr>
      <w:tr w:rsidR="003F2AC3">
        <w:tc>
          <w:tcPr>
            <w:tcW w:w="2826" w:type="dxa"/>
            <w:vAlign w:val="center"/>
          </w:tcPr>
          <w:p w:rsidR="003F2AC3" w:rsidRDefault="00C663F3">
            <w:pPr>
              <w:jc w:val="left"/>
            </w:pPr>
            <w:r>
              <w:rPr>
                <w:color w:val="000000"/>
                <w:sz w:val="24"/>
              </w:rPr>
              <w:t>中信银行</w:t>
            </w:r>
          </w:p>
        </w:tc>
        <w:tc>
          <w:tcPr>
            <w:tcW w:w="6172" w:type="dxa"/>
            <w:vAlign w:val="center"/>
          </w:tcPr>
          <w:p w:rsidR="003F2AC3" w:rsidRDefault="00C663F3">
            <w:pPr>
              <w:jc w:val="right"/>
            </w:pPr>
            <w:r>
              <w:rPr>
                <w:color w:val="000000"/>
                <w:sz w:val="24"/>
              </w:rPr>
              <w:t>68,228.71</w:t>
            </w:r>
          </w:p>
        </w:tc>
      </w:tr>
      <w:tr w:rsidR="003F2AC3">
        <w:tc>
          <w:tcPr>
            <w:tcW w:w="2826" w:type="dxa"/>
            <w:vAlign w:val="center"/>
          </w:tcPr>
          <w:p w:rsidR="003F2AC3" w:rsidRDefault="00C663F3">
            <w:pPr>
              <w:jc w:val="left"/>
            </w:pPr>
            <w:r>
              <w:rPr>
                <w:color w:val="000000"/>
                <w:sz w:val="24"/>
              </w:rPr>
              <w:t>交通银行</w:t>
            </w:r>
          </w:p>
        </w:tc>
        <w:tc>
          <w:tcPr>
            <w:tcW w:w="6172" w:type="dxa"/>
            <w:vAlign w:val="center"/>
          </w:tcPr>
          <w:p w:rsidR="003F2AC3" w:rsidRDefault="00C663F3">
            <w:pPr>
              <w:jc w:val="right"/>
            </w:pPr>
            <w:r>
              <w:rPr>
                <w:color w:val="000000"/>
                <w:sz w:val="24"/>
              </w:rPr>
              <w:t>6,465.09</w:t>
            </w:r>
          </w:p>
        </w:tc>
      </w:tr>
      <w:tr w:rsidR="003F2AC3">
        <w:tc>
          <w:tcPr>
            <w:tcW w:w="2826" w:type="dxa"/>
            <w:vAlign w:val="center"/>
          </w:tcPr>
          <w:p w:rsidR="003F2AC3" w:rsidRDefault="00C663F3">
            <w:pPr>
              <w:jc w:val="left"/>
            </w:pPr>
            <w:r>
              <w:rPr>
                <w:color w:val="000000"/>
                <w:sz w:val="24"/>
              </w:rPr>
              <w:t>交银施罗德基金公司</w:t>
            </w:r>
          </w:p>
        </w:tc>
        <w:tc>
          <w:tcPr>
            <w:tcW w:w="6172" w:type="dxa"/>
            <w:vAlign w:val="center"/>
          </w:tcPr>
          <w:p w:rsidR="003F2AC3" w:rsidRDefault="00C663F3">
            <w:pPr>
              <w:jc w:val="right"/>
            </w:pPr>
            <w:r>
              <w:rPr>
                <w:color w:val="000000"/>
                <w:sz w:val="24"/>
              </w:rPr>
              <w:t>1,447.54</w:t>
            </w:r>
          </w:p>
        </w:tc>
      </w:tr>
      <w:tr w:rsidR="009F03BC" w:rsidRPr="005C672D" w:rsidTr="00756C2F">
        <w:tc>
          <w:tcPr>
            <w:tcW w:w="2826" w:type="dxa"/>
            <w:vAlign w:val="center"/>
          </w:tcPr>
          <w:p w:rsidR="009F03BC" w:rsidRPr="005C672D" w:rsidRDefault="009F03BC" w:rsidP="00756C2F">
            <w:pPr>
              <w:spacing w:before="29" w:line="288" w:lineRule="auto"/>
              <w:rPr>
                <w:color w:val="000000"/>
                <w:sz w:val="24"/>
              </w:rPr>
            </w:pPr>
            <w:r w:rsidRPr="005C672D">
              <w:rPr>
                <w:color w:val="000000"/>
                <w:sz w:val="24"/>
              </w:rPr>
              <w:t>合计</w:t>
            </w:r>
          </w:p>
        </w:tc>
        <w:tc>
          <w:tcPr>
            <w:tcW w:w="6172" w:type="dxa"/>
            <w:vAlign w:val="center"/>
          </w:tcPr>
          <w:p w:rsidR="009F03BC" w:rsidRPr="005C672D" w:rsidRDefault="009F03BC" w:rsidP="00756C2F">
            <w:pPr>
              <w:spacing w:before="29" w:line="288" w:lineRule="auto"/>
              <w:jc w:val="right"/>
              <w:rPr>
                <w:color w:val="000000"/>
                <w:sz w:val="24"/>
              </w:rPr>
            </w:pPr>
            <w:r w:rsidRPr="005C672D">
              <w:rPr>
                <w:color w:val="000000"/>
                <w:sz w:val="24"/>
              </w:rPr>
              <w:t>76,141.34</w:t>
            </w:r>
          </w:p>
        </w:tc>
      </w:tr>
      <w:tr w:rsidR="009F03BC" w:rsidRPr="005C672D" w:rsidTr="00756C2F">
        <w:tc>
          <w:tcPr>
            <w:tcW w:w="2826" w:type="dxa"/>
            <w:vMerge w:val="restart"/>
            <w:vAlign w:val="center"/>
          </w:tcPr>
          <w:p w:rsidR="009F03BC" w:rsidRPr="005C672D" w:rsidRDefault="009F03BC" w:rsidP="00756C2F">
            <w:pPr>
              <w:spacing w:before="29" w:line="288" w:lineRule="auto"/>
              <w:rPr>
                <w:color w:val="000000"/>
                <w:sz w:val="24"/>
              </w:rPr>
            </w:pPr>
            <w:r w:rsidRPr="005C672D">
              <w:rPr>
                <w:color w:val="000000"/>
                <w:sz w:val="24"/>
              </w:rPr>
              <w:t>获得销售服务费的各关联方名称</w:t>
            </w:r>
          </w:p>
        </w:tc>
        <w:tc>
          <w:tcPr>
            <w:tcW w:w="6172" w:type="dxa"/>
            <w:vAlign w:val="center"/>
          </w:tcPr>
          <w:p w:rsidR="009F03BC" w:rsidRPr="005C672D" w:rsidRDefault="009F03BC" w:rsidP="00756C2F">
            <w:pPr>
              <w:spacing w:before="29" w:line="288" w:lineRule="auto"/>
              <w:jc w:val="center"/>
              <w:rPr>
                <w:color w:val="000000"/>
                <w:sz w:val="24"/>
              </w:rPr>
            </w:pPr>
            <w:r w:rsidRPr="005C672D">
              <w:rPr>
                <w:color w:val="000000"/>
                <w:sz w:val="24"/>
              </w:rPr>
              <w:t>上年度可比期间</w:t>
            </w:r>
          </w:p>
          <w:p w:rsidR="009F03BC" w:rsidRPr="005C672D" w:rsidRDefault="009F03BC" w:rsidP="00756C2F">
            <w:pPr>
              <w:spacing w:before="29" w:line="288" w:lineRule="auto"/>
              <w:jc w:val="center"/>
              <w:rPr>
                <w:color w:val="00000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19</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9F03BC" w:rsidRPr="005C672D" w:rsidTr="00756C2F">
        <w:tc>
          <w:tcPr>
            <w:tcW w:w="2826" w:type="dxa"/>
            <w:vMerge/>
            <w:vAlign w:val="center"/>
          </w:tcPr>
          <w:p w:rsidR="009F03BC" w:rsidRPr="005C672D" w:rsidRDefault="009F03BC" w:rsidP="00756C2F">
            <w:pPr>
              <w:widowControl/>
              <w:spacing w:before="29" w:line="288" w:lineRule="auto"/>
              <w:jc w:val="left"/>
              <w:rPr>
                <w:color w:val="000000"/>
                <w:sz w:val="24"/>
              </w:rPr>
            </w:pPr>
          </w:p>
        </w:tc>
        <w:tc>
          <w:tcPr>
            <w:tcW w:w="6172" w:type="dxa"/>
            <w:vAlign w:val="center"/>
          </w:tcPr>
          <w:p w:rsidR="009F03BC" w:rsidRPr="005C672D" w:rsidRDefault="009F03BC" w:rsidP="00756C2F">
            <w:pPr>
              <w:spacing w:before="29" w:line="288" w:lineRule="auto"/>
              <w:jc w:val="center"/>
              <w:rPr>
                <w:color w:val="000000"/>
                <w:sz w:val="24"/>
              </w:rPr>
            </w:pPr>
            <w:r w:rsidRPr="005C672D">
              <w:rPr>
                <w:color w:val="000000"/>
                <w:sz w:val="24"/>
              </w:rPr>
              <w:t>当期发生的基金应支付的销售服务费</w:t>
            </w:r>
          </w:p>
        </w:tc>
      </w:tr>
      <w:tr w:rsidR="003F7663">
        <w:tc>
          <w:tcPr>
            <w:tcW w:w="2826" w:type="dxa"/>
            <w:vAlign w:val="center"/>
          </w:tcPr>
          <w:p w:rsidR="003F7663" w:rsidRDefault="003F7663" w:rsidP="003F7663">
            <w:pPr>
              <w:jc w:val="left"/>
            </w:pPr>
            <w:r>
              <w:rPr>
                <w:color w:val="000000"/>
                <w:sz w:val="24"/>
              </w:rPr>
              <w:t>中信银行</w:t>
            </w:r>
          </w:p>
        </w:tc>
        <w:tc>
          <w:tcPr>
            <w:tcW w:w="6172" w:type="dxa"/>
            <w:vAlign w:val="center"/>
          </w:tcPr>
          <w:p w:rsidR="003F7663" w:rsidRPr="00E20D83" w:rsidRDefault="003F7663" w:rsidP="003F7663">
            <w:pPr>
              <w:jc w:val="right"/>
              <w:rPr>
                <w:sz w:val="24"/>
              </w:rPr>
            </w:pPr>
            <w:r w:rsidRPr="00E20D83">
              <w:rPr>
                <w:sz w:val="24"/>
              </w:rPr>
              <w:t>58,573.54</w:t>
            </w:r>
          </w:p>
        </w:tc>
      </w:tr>
      <w:tr w:rsidR="003F7663">
        <w:tc>
          <w:tcPr>
            <w:tcW w:w="2826" w:type="dxa"/>
            <w:vAlign w:val="center"/>
          </w:tcPr>
          <w:p w:rsidR="003F7663" w:rsidRDefault="003F7663" w:rsidP="003F7663">
            <w:pPr>
              <w:jc w:val="left"/>
            </w:pPr>
            <w:r>
              <w:rPr>
                <w:color w:val="000000"/>
                <w:sz w:val="24"/>
              </w:rPr>
              <w:t>交通银行</w:t>
            </w:r>
          </w:p>
        </w:tc>
        <w:tc>
          <w:tcPr>
            <w:tcW w:w="6172" w:type="dxa"/>
            <w:vAlign w:val="center"/>
          </w:tcPr>
          <w:p w:rsidR="003F7663" w:rsidRPr="00E20D83" w:rsidRDefault="003F7663" w:rsidP="003F7663">
            <w:pPr>
              <w:jc w:val="right"/>
              <w:rPr>
                <w:sz w:val="24"/>
              </w:rPr>
            </w:pPr>
            <w:r w:rsidRPr="00E20D83">
              <w:rPr>
                <w:sz w:val="24"/>
              </w:rPr>
              <w:t>5,550.37</w:t>
            </w:r>
          </w:p>
        </w:tc>
      </w:tr>
      <w:tr w:rsidR="003F7663">
        <w:tc>
          <w:tcPr>
            <w:tcW w:w="2826" w:type="dxa"/>
            <w:vAlign w:val="center"/>
          </w:tcPr>
          <w:p w:rsidR="003F7663" w:rsidRDefault="003F7663" w:rsidP="003F7663">
            <w:pPr>
              <w:jc w:val="left"/>
            </w:pPr>
            <w:r>
              <w:rPr>
                <w:color w:val="000000"/>
                <w:sz w:val="24"/>
              </w:rPr>
              <w:t>交银施罗德基金公司</w:t>
            </w:r>
          </w:p>
        </w:tc>
        <w:tc>
          <w:tcPr>
            <w:tcW w:w="6172" w:type="dxa"/>
            <w:vAlign w:val="center"/>
          </w:tcPr>
          <w:p w:rsidR="003F7663" w:rsidRPr="00E20D83" w:rsidRDefault="003F7663" w:rsidP="003F7663">
            <w:pPr>
              <w:jc w:val="right"/>
              <w:rPr>
                <w:sz w:val="24"/>
              </w:rPr>
            </w:pPr>
            <w:r w:rsidRPr="00E20D83">
              <w:rPr>
                <w:sz w:val="24"/>
              </w:rPr>
              <w:t>1,242.53</w:t>
            </w:r>
          </w:p>
        </w:tc>
      </w:tr>
      <w:tr w:rsidR="009F03BC" w:rsidRPr="005C672D" w:rsidTr="00756C2F">
        <w:tc>
          <w:tcPr>
            <w:tcW w:w="2826" w:type="dxa"/>
            <w:vAlign w:val="center"/>
          </w:tcPr>
          <w:p w:rsidR="009F03BC" w:rsidRPr="005C672D" w:rsidRDefault="009F03BC" w:rsidP="00756C2F">
            <w:pPr>
              <w:spacing w:before="29" w:line="288" w:lineRule="auto"/>
              <w:rPr>
                <w:color w:val="000000"/>
                <w:sz w:val="24"/>
              </w:rPr>
            </w:pPr>
            <w:r w:rsidRPr="005C672D">
              <w:rPr>
                <w:color w:val="000000"/>
                <w:sz w:val="24"/>
              </w:rPr>
              <w:t>合计</w:t>
            </w:r>
          </w:p>
        </w:tc>
        <w:tc>
          <w:tcPr>
            <w:tcW w:w="6172" w:type="dxa"/>
          </w:tcPr>
          <w:p w:rsidR="009F03BC" w:rsidRPr="005C672D" w:rsidRDefault="009F03BC" w:rsidP="00756C2F">
            <w:pPr>
              <w:spacing w:before="29" w:line="288" w:lineRule="auto"/>
              <w:jc w:val="right"/>
              <w:rPr>
                <w:color w:val="000000"/>
                <w:sz w:val="24"/>
              </w:rPr>
            </w:pPr>
            <w:r w:rsidRPr="005C672D">
              <w:rPr>
                <w:color w:val="000000"/>
                <w:sz w:val="24"/>
              </w:rPr>
              <w:t>65,366.44</w:t>
            </w:r>
          </w:p>
        </w:tc>
      </w:tr>
    </w:tbl>
    <w:p w:rsidR="003F2AC3" w:rsidRDefault="00C663F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的年费率计提，逐日累计至每月月底，按月支付给交银施罗德基金公司，再由交银施罗德基金公司计算并支付给各基金销售机构。其计算公式为：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日基金销售服务费＝前一日</w:t>
      </w:r>
      <w:r w:rsidRPr="005C672D">
        <w:rPr>
          <w:kern w:val="0"/>
          <w:sz w:val="24"/>
        </w:rPr>
        <w:t>C</w:t>
      </w:r>
      <w:r w:rsidRPr="005C672D">
        <w:rPr>
          <w:kern w:val="0"/>
          <w:sz w:val="24"/>
        </w:rPr>
        <w:t>类基金份额对应的资产净值</w:t>
      </w:r>
      <w:r w:rsidRPr="005C672D">
        <w:rPr>
          <w:kern w:val="0"/>
          <w:sz w:val="24"/>
        </w:rPr>
        <w:t>×0.6%÷</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19</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3F2AC3">
        <w:tc>
          <w:tcPr>
            <w:tcW w:w="2171" w:type="dxa"/>
            <w:vAlign w:val="center"/>
          </w:tcPr>
          <w:p w:rsidR="003F2AC3" w:rsidRDefault="00C663F3">
            <w:pPr>
              <w:jc w:val="left"/>
            </w:pPr>
            <w:r>
              <w:rPr>
                <w:sz w:val="24"/>
              </w:rPr>
              <w:t>中信银行股份有限公司</w:t>
            </w:r>
          </w:p>
        </w:tc>
        <w:tc>
          <w:tcPr>
            <w:tcW w:w="2023" w:type="dxa"/>
            <w:vAlign w:val="center"/>
          </w:tcPr>
          <w:p w:rsidR="003F2AC3" w:rsidRDefault="00C663F3">
            <w:pPr>
              <w:jc w:val="right"/>
            </w:pPr>
            <w:r>
              <w:rPr>
                <w:sz w:val="24"/>
              </w:rPr>
              <w:t>2,043,552.90</w:t>
            </w:r>
          </w:p>
        </w:tc>
        <w:tc>
          <w:tcPr>
            <w:tcW w:w="1772" w:type="dxa"/>
            <w:vAlign w:val="center"/>
          </w:tcPr>
          <w:p w:rsidR="003F2AC3" w:rsidRDefault="00C663F3">
            <w:pPr>
              <w:jc w:val="right"/>
            </w:pPr>
            <w:r>
              <w:rPr>
                <w:sz w:val="24"/>
              </w:rPr>
              <w:t>7,888.04</w:t>
            </w:r>
          </w:p>
        </w:tc>
        <w:tc>
          <w:tcPr>
            <w:tcW w:w="1412" w:type="dxa"/>
            <w:vAlign w:val="center"/>
          </w:tcPr>
          <w:p w:rsidR="003F2AC3" w:rsidRDefault="00C663F3">
            <w:pPr>
              <w:jc w:val="right"/>
            </w:pPr>
            <w:r>
              <w:rPr>
                <w:sz w:val="24"/>
              </w:rPr>
              <w:t>1,204,758.34</w:t>
            </w:r>
          </w:p>
        </w:tc>
        <w:tc>
          <w:tcPr>
            <w:tcW w:w="1807" w:type="dxa"/>
            <w:vAlign w:val="center"/>
          </w:tcPr>
          <w:p w:rsidR="003F2AC3" w:rsidRDefault="00C663F3">
            <w:pPr>
              <w:jc w:val="right"/>
            </w:pPr>
            <w:r>
              <w:rPr>
                <w:sz w:val="24"/>
              </w:rPr>
              <w:t>57,042.46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3826DA">
      <w:pPr>
        <w:spacing w:before="29" w:line="288" w:lineRule="auto"/>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3826DA">
      <w:pPr>
        <w:spacing w:before="29" w:line="288" w:lineRule="auto"/>
        <w:rPr>
          <w:color w:val="000000"/>
          <w:sz w:val="24"/>
        </w:rPr>
      </w:pPr>
      <w:r w:rsidRPr="005C672D">
        <w:rPr>
          <w:color w:val="000000"/>
          <w:sz w:val="24"/>
        </w:rPr>
        <w:t>本基金本报告期末无从事银行间市场债券正回购交易形成的卖出回购证券款余额。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89,800,000.00</w:t>
      </w:r>
      <w:r w:rsidRPr="005C672D">
        <w:rPr>
          <w:color w:val="000000"/>
          <w:sz w:val="24"/>
        </w:rPr>
        <w:t>元，于</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274,112,787.50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75.00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274,112,787.50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75.00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50,000,145.00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13.68</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35,802,539.11</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9.80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5,577,811.40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1.53</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365,493,283.01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EE5FEC" w:rsidRPr="00EE5FEC" w:rsidRDefault="00EE5FE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86154F" w:rsidRPr="005C672D" w:rsidRDefault="0086154F"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Default="001548F9" w:rsidP="00AC6DDA">
      <w:pPr>
        <w:tabs>
          <w:tab w:val="left" w:pos="426"/>
        </w:tabs>
        <w:spacing w:before="29" w:line="288" w:lineRule="auto"/>
        <w:jc w:val="left"/>
        <w:rPr>
          <w:kern w:val="0"/>
          <w:sz w:val="24"/>
        </w:rPr>
      </w:pPr>
      <w:r w:rsidRPr="005C672D">
        <w:rPr>
          <w:kern w:val="0"/>
          <w:sz w:val="24"/>
        </w:rPr>
        <w:t>本基金本报告期内未持有股票。</w:t>
      </w:r>
    </w:p>
    <w:p w:rsidR="002E1461" w:rsidRPr="002E1461" w:rsidRDefault="002E1461"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142,894,787.50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52.30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70,130,000.00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25.67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61,088,000.00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22.36</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274,112,787.50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100.32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3F2AC3">
        <w:tc>
          <w:tcPr>
            <w:tcW w:w="1320" w:type="dxa"/>
            <w:vAlign w:val="center"/>
          </w:tcPr>
          <w:p w:rsidR="003F2AC3" w:rsidRDefault="00C663F3">
            <w:pPr>
              <w:jc w:val="center"/>
            </w:pPr>
            <w:r>
              <w:rPr>
                <w:color w:val="000000"/>
                <w:sz w:val="24"/>
              </w:rPr>
              <w:t>1</w:t>
            </w:r>
          </w:p>
        </w:tc>
        <w:tc>
          <w:tcPr>
            <w:tcW w:w="1382" w:type="dxa"/>
            <w:vAlign w:val="center"/>
          </w:tcPr>
          <w:p w:rsidR="003F2AC3" w:rsidRDefault="00C663F3">
            <w:pPr>
              <w:jc w:val="center"/>
            </w:pPr>
            <w:r>
              <w:rPr>
                <w:color w:val="000000"/>
                <w:sz w:val="24"/>
              </w:rPr>
              <w:t>112043</w:t>
            </w:r>
          </w:p>
        </w:tc>
        <w:tc>
          <w:tcPr>
            <w:tcW w:w="1353" w:type="dxa"/>
            <w:vAlign w:val="center"/>
          </w:tcPr>
          <w:p w:rsidR="003F2AC3" w:rsidRDefault="00C663F3">
            <w:pPr>
              <w:jc w:val="center"/>
            </w:pPr>
            <w:r>
              <w:rPr>
                <w:color w:val="000000"/>
                <w:sz w:val="24"/>
              </w:rPr>
              <w:t>11</w:t>
            </w:r>
            <w:r>
              <w:rPr>
                <w:color w:val="000000"/>
                <w:sz w:val="24"/>
              </w:rPr>
              <w:t>东控</w:t>
            </w:r>
            <w:r>
              <w:rPr>
                <w:color w:val="000000"/>
                <w:sz w:val="24"/>
              </w:rPr>
              <w:t>02</w:t>
            </w:r>
          </w:p>
        </w:tc>
        <w:tc>
          <w:tcPr>
            <w:tcW w:w="1505" w:type="dxa"/>
            <w:vAlign w:val="center"/>
          </w:tcPr>
          <w:p w:rsidR="003F2AC3" w:rsidRDefault="00C663F3">
            <w:pPr>
              <w:jc w:val="right"/>
            </w:pPr>
            <w:r>
              <w:rPr>
                <w:color w:val="000000"/>
                <w:sz w:val="24"/>
              </w:rPr>
              <w:t>240,000</w:t>
            </w:r>
          </w:p>
        </w:tc>
        <w:tc>
          <w:tcPr>
            <w:tcW w:w="1737" w:type="dxa"/>
            <w:vAlign w:val="center"/>
          </w:tcPr>
          <w:p w:rsidR="003F2AC3" w:rsidRDefault="00C663F3">
            <w:pPr>
              <w:jc w:val="right"/>
            </w:pPr>
            <w:r>
              <w:rPr>
                <w:color w:val="000000"/>
                <w:sz w:val="24"/>
              </w:rPr>
              <w:t>24,266,400.00</w:t>
            </w:r>
          </w:p>
        </w:tc>
        <w:tc>
          <w:tcPr>
            <w:tcW w:w="1701" w:type="dxa"/>
            <w:vAlign w:val="center"/>
          </w:tcPr>
          <w:p w:rsidR="003F2AC3" w:rsidRDefault="00C663F3">
            <w:pPr>
              <w:jc w:val="right"/>
            </w:pPr>
            <w:r>
              <w:rPr>
                <w:color w:val="000000"/>
                <w:sz w:val="24"/>
              </w:rPr>
              <w:t>8.88</w:t>
            </w:r>
          </w:p>
        </w:tc>
      </w:tr>
      <w:tr w:rsidR="003F2AC3">
        <w:tc>
          <w:tcPr>
            <w:tcW w:w="1320" w:type="dxa"/>
            <w:vAlign w:val="center"/>
          </w:tcPr>
          <w:p w:rsidR="003F2AC3" w:rsidRDefault="00C663F3">
            <w:pPr>
              <w:jc w:val="center"/>
            </w:pPr>
            <w:r>
              <w:rPr>
                <w:color w:val="000000"/>
                <w:sz w:val="24"/>
              </w:rPr>
              <w:t>2</w:t>
            </w:r>
          </w:p>
        </w:tc>
        <w:tc>
          <w:tcPr>
            <w:tcW w:w="1382" w:type="dxa"/>
            <w:vAlign w:val="center"/>
          </w:tcPr>
          <w:p w:rsidR="003F2AC3" w:rsidRDefault="00C663F3">
            <w:pPr>
              <w:jc w:val="center"/>
            </w:pPr>
            <w:r>
              <w:rPr>
                <w:color w:val="000000"/>
                <w:sz w:val="24"/>
              </w:rPr>
              <w:t>122355</w:t>
            </w:r>
          </w:p>
        </w:tc>
        <w:tc>
          <w:tcPr>
            <w:tcW w:w="1353" w:type="dxa"/>
            <w:vAlign w:val="center"/>
          </w:tcPr>
          <w:p w:rsidR="003F2AC3" w:rsidRDefault="00C663F3">
            <w:pPr>
              <w:jc w:val="center"/>
            </w:pPr>
            <w:r>
              <w:rPr>
                <w:color w:val="000000"/>
                <w:sz w:val="24"/>
              </w:rPr>
              <w:t>14</w:t>
            </w:r>
            <w:r>
              <w:rPr>
                <w:color w:val="000000"/>
                <w:sz w:val="24"/>
              </w:rPr>
              <w:t>齐鲁债</w:t>
            </w:r>
          </w:p>
        </w:tc>
        <w:tc>
          <w:tcPr>
            <w:tcW w:w="1505" w:type="dxa"/>
            <w:vAlign w:val="center"/>
          </w:tcPr>
          <w:p w:rsidR="003F2AC3" w:rsidRDefault="00C663F3">
            <w:pPr>
              <w:jc w:val="right"/>
            </w:pPr>
            <w:r>
              <w:rPr>
                <w:color w:val="000000"/>
                <w:sz w:val="24"/>
              </w:rPr>
              <w:t>200,000</w:t>
            </w:r>
          </w:p>
        </w:tc>
        <w:tc>
          <w:tcPr>
            <w:tcW w:w="1737" w:type="dxa"/>
            <w:vAlign w:val="center"/>
          </w:tcPr>
          <w:p w:rsidR="003F2AC3" w:rsidRDefault="00C663F3">
            <w:pPr>
              <w:jc w:val="right"/>
            </w:pPr>
            <w:r>
              <w:rPr>
                <w:color w:val="000000"/>
                <w:sz w:val="24"/>
              </w:rPr>
              <w:t>21,186,000.00</w:t>
            </w:r>
          </w:p>
        </w:tc>
        <w:tc>
          <w:tcPr>
            <w:tcW w:w="1701" w:type="dxa"/>
            <w:vAlign w:val="center"/>
          </w:tcPr>
          <w:p w:rsidR="003F2AC3" w:rsidRDefault="00C663F3">
            <w:pPr>
              <w:jc w:val="right"/>
            </w:pPr>
            <w:r>
              <w:rPr>
                <w:color w:val="000000"/>
                <w:sz w:val="24"/>
              </w:rPr>
              <w:t>7.75</w:t>
            </w:r>
          </w:p>
        </w:tc>
      </w:tr>
      <w:tr w:rsidR="003F2AC3">
        <w:tc>
          <w:tcPr>
            <w:tcW w:w="1320" w:type="dxa"/>
            <w:vAlign w:val="center"/>
          </w:tcPr>
          <w:p w:rsidR="003F2AC3" w:rsidRDefault="00C663F3">
            <w:pPr>
              <w:jc w:val="center"/>
            </w:pPr>
            <w:r>
              <w:rPr>
                <w:color w:val="000000"/>
                <w:sz w:val="24"/>
              </w:rPr>
              <w:t>3</w:t>
            </w:r>
          </w:p>
        </w:tc>
        <w:tc>
          <w:tcPr>
            <w:tcW w:w="1382" w:type="dxa"/>
            <w:vAlign w:val="center"/>
          </w:tcPr>
          <w:p w:rsidR="003F2AC3" w:rsidRDefault="00C663F3">
            <w:pPr>
              <w:jc w:val="center"/>
            </w:pPr>
            <w:r>
              <w:rPr>
                <w:color w:val="000000"/>
                <w:sz w:val="24"/>
              </w:rPr>
              <w:t>112197</w:t>
            </w:r>
          </w:p>
        </w:tc>
        <w:tc>
          <w:tcPr>
            <w:tcW w:w="1353" w:type="dxa"/>
            <w:vAlign w:val="center"/>
          </w:tcPr>
          <w:p w:rsidR="003F2AC3" w:rsidRDefault="00C663F3">
            <w:pPr>
              <w:jc w:val="center"/>
            </w:pPr>
            <w:r>
              <w:rPr>
                <w:color w:val="000000"/>
                <w:sz w:val="24"/>
              </w:rPr>
              <w:t>13</w:t>
            </w:r>
            <w:r>
              <w:rPr>
                <w:color w:val="000000"/>
                <w:sz w:val="24"/>
              </w:rPr>
              <w:t>山证</w:t>
            </w:r>
            <w:r>
              <w:rPr>
                <w:color w:val="000000"/>
                <w:sz w:val="24"/>
              </w:rPr>
              <w:t>01</w:t>
            </w:r>
          </w:p>
        </w:tc>
        <w:tc>
          <w:tcPr>
            <w:tcW w:w="1505" w:type="dxa"/>
            <w:vAlign w:val="center"/>
          </w:tcPr>
          <w:p w:rsidR="003F2AC3" w:rsidRDefault="00C663F3">
            <w:pPr>
              <w:jc w:val="right"/>
            </w:pPr>
            <w:r>
              <w:rPr>
                <w:color w:val="000000"/>
                <w:sz w:val="24"/>
              </w:rPr>
              <w:t>206,870</w:t>
            </w:r>
          </w:p>
        </w:tc>
        <w:tc>
          <w:tcPr>
            <w:tcW w:w="1737" w:type="dxa"/>
            <w:vAlign w:val="center"/>
          </w:tcPr>
          <w:p w:rsidR="003F2AC3" w:rsidRDefault="00C663F3">
            <w:pPr>
              <w:jc w:val="right"/>
            </w:pPr>
            <w:r>
              <w:rPr>
                <w:color w:val="000000"/>
                <w:sz w:val="24"/>
              </w:rPr>
              <w:t>20,945,587.50</w:t>
            </w:r>
          </w:p>
        </w:tc>
        <w:tc>
          <w:tcPr>
            <w:tcW w:w="1701" w:type="dxa"/>
            <w:vAlign w:val="center"/>
          </w:tcPr>
          <w:p w:rsidR="003F2AC3" w:rsidRDefault="00C663F3">
            <w:pPr>
              <w:jc w:val="right"/>
            </w:pPr>
            <w:r>
              <w:rPr>
                <w:color w:val="000000"/>
                <w:sz w:val="24"/>
              </w:rPr>
              <w:t>7.67</w:t>
            </w:r>
          </w:p>
        </w:tc>
      </w:tr>
      <w:tr w:rsidR="003F2AC3">
        <w:tc>
          <w:tcPr>
            <w:tcW w:w="1320" w:type="dxa"/>
            <w:vAlign w:val="center"/>
          </w:tcPr>
          <w:p w:rsidR="003F2AC3" w:rsidRDefault="00C663F3">
            <w:pPr>
              <w:jc w:val="center"/>
            </w:pPr>
            <w:r>
              <w:rPr>
                <w:color w:val="000000"/>
                <w:sz w:val="24"/>
              </w:rPr>
              <w:t>4</w:t>
            </w:r>
          </w:p>
        </w:tc>
        <w:tc>
          <w:tcPr>
            <w:tcW w:w="1382" w:type="dxa"/>
            <w:vAlign w:val="center"/>
          </w:tcPr>
          <w:p w:rsidR="003F2AC3" w:rsidRDefault="00C663F3">
            <w:pPr>
              <w:jc w:val="center"/>
            </w:pPr>
            <w:r>
              <w:rPr>
                <w:color w:val="000000"/>
                <w:sz w:val="24"/>
              </w:rPr>
              <w:t>1282472</w:t>
            </w:r>
          </w:p>
        </w:tc>
        <w:tc>
          <w:tcPr>
            <w:tcW w:w="1353" w:type="dxa"/>
            <w:vAlign w:val="center"/>
          </w:tcPr>
          <w:p w:rsidR="003F2AC3" w:rsidRDefault="00C663F3">
            <w:pPr>
              <w:jc w:val="center"/>
            </w:pPr>
            <w:r>
              <w:rPr>
                <w:color w:val="000000"/>
                <w:sz w:val="24"/>
              </w:rPr>
              <w:t>12</w:t>
            </w:r>
            <w:r>
              <w:rPr>
                <w:color w:val="000000"/>
                <w:sz w:val="24"/>
              </w:rPr>
              <w:t>盐国投</w:t>
            </w:r>
            <w:r>
              <w:rPr>
                <w:color w:val="000000"/>
                <w:sz w:val="24"/>
              </w:rPr>
              <w:t>MTN2</w:t>
            </w:r>
          </w:p>
        </w:tc>
        <w:tc>
          <w:tcPr>
            <w:tcW w:w="1505" w:type="dxa"/>
            <w:vAlign w:val="center"/>
          </w:tcPr>
          <w:p w:rsidR="003F2AC3" w:rsidRDefault="00C663F3">
            <w:pPr>
              <w:jc w:val="right"/>
            </w:pPr>
            <w:r>
              <w:rPr>
                <w:color w:val="000000"/>
                <w:sz w:val="24"/>
              </w:rPr>
              <w:t>200,000</w:t>
            </w:r>
          </w:p>
        </w:tc>
        <w:tc>
          <w:tcPr>
            <w:tcW w:w="1737" w:type="dxa"/>
            <w:vAlign w:val="center"/>
          </w:tcPr>
          <w:p w:rsidR="003F2AC3" w:rsidRDefault="00C663F3">
            <w:pPr>
              <w:jc w:val="right"/>
            </w:pPr>
            <w:r>
              <w:rPr>
                <w:color w:val="000000"/>
                <w:sz w:val="24"/>
              </w:rPr>
              <w:t>20,934,000.00</w:t>
            </w:r>
          </w:p>
        </w:tc>
        <w:tc>
          <w:tcPr>
            <w:tcW w:w="1701" w:type="dxa"/>
            <w:vAlign w:val="center"/>
          </w:tcPr>
          <w:p w:rsidR="003F2AC3" w:rsidRDefault="00C663F3">
            <w:pPr>
              <w:jc w:val="right"/>
            </w:pPr>
            <w:r>
              <w:rPr>
                <w:color w:val="000000"/>
                <w:sz w:val="24"/>
              </w:rPr>
              <w:t>7.66</w:t>
            </w:r>
          </w:p>
        </w:tc>
      </w:tr>
      <w:tr w:rsidR="003F2AC3">
        <w:tc>
          <w:tcPr>
            <w:tcW w:w="1320" w:type="dxa"/>
            <w:vAlign w:val="center"/>
          </w:tcPr>
          <w:p w:rsidR="003F2AC3" w:rsidRDefault="00C663F3">
            <w:pPr>
              <w:jc w:val="center"/>
            </w:pPr>
            <w:r>
              <w:rPr>
                <w:color w:val="000000"/>
                <w:sz w:val="24"/>
              </w:rPr>
              <w:t>5</w:t>
            </w:r>
          </w:p>
        </w:tc>
        <w:tc>
          <w:tcPr>
            <w:tcW w:w="1382" w:type="dxa"/>
            <w:vAlign w:val="center"/>
          </w:tcPr>
          <w:p w:rsidR="003F2AC3" w:rsidRDefault="00C663F3">
            <w:pPr>
              <w:jc w:val="center"/>
            </w:pPr>
            <w:r>
              <w:rPr>
                <w:color w:val="000000"/>
                <w:sz w:val="24"/>
              </w:rPr>
              <w:t>122357</w:t>
            </w:r>
          </w:p>
        </w:tc>
        <w:tc>
          <w:tcPr>
            <w:tcW w:w="1353" w:type="dxa"/>
            <w:vAlign w:val="center"/>
          </w:tcPr>
          <w:p w:rsidR="003F2AC3" w:rsidRDefault="00C663F3">
            <w:pPr>
              <w:jc w:val="center"/>
            </w:pPr>
            <w:r>
              <w:rPr>
                <w:color w:val="000000"/>
                <w:sz w:val="24"/>
              </w:rPr>
              <w:t>14</w:t>
            </w:r>
            <w:r>
              <w:rPr>
                <w:color w:val="000000"/>
                <w:sz w:val="24"/>
              </w:rPr>
              <w:t>浙证债</w:t>
            </w:r>
          </w:p>
        </w:tc>
        <w:tc>
          <w:tcPr>
            <w:tcW w:w="1505" w:type="dxa"/>
            <w:vAlign w:val="center"/>
          </w:tcPr>
          <w:p w:rsidR="003F2AC3" w:rsidRDefault="00C663F3">
            <w:pPr>
              <w:jc w:val="right"/>
            </w:pPr>
            <w:r>
              <w:rPr>
                <w:color w:val="000000"/>
                <w:sz w:val="24"/>
              </w:rPr>
              <w:t>200,000</w:t>
            </w:r>
          </w:p>
        </w:tc>
        <w:tc>
          <w:tcPr>
            <w:tcW w:w="1737" w:type="dxa"/>
            <w:vAlign w:val="center"/>
          </w:tcPr>
          <w:p w:rsidR="003F2AC3" w:rsidRDefault="00C663F3">
            <w:pPr>
              <w:jc w:val="right"/>
            </w:pPr>
            <w:r>
              <w:rPr>
                <w:color w:val="000000"/>
                <w:sz w:val="24"/>
              </w:rPr>
              <w:t>20,928,000.00</w:t>
            </w:r>
          </w:p>
        </w:tc>
        <w:tc>
          <w:tcPr>
            <w:tcW w:w="1701" w:type="dxa"/>
            <w:vAlign w:val="center"/>
          </w:tcPr>
          <w:p w:rsidR="003F2AC3" w:rsidRDefault="00C663F3">
            <w:pPr>
              <w:jc w:val="right"/>
            </w:pPr>
            <w:r>
              <w:rPr>
                <w:color w:val="000000"/>
                <w:sz w:val="24"/>
              </w:rPr>
              <w:t>7.66</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18,414.93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5,558,135.97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1,260.50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5,577,811.40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3639E5">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98"/>
        <w:gridCol w:w="1414"/>
        <w:gridCol w:w="1296"/>
        <w:gridCol w:w="1562"/>
        <w:gridCol w:w="1716"/>
        <w:gridCol w:w="1580"/>
      </w:tblGrid>
      <w:tr w:rsidR="003826DA" w:rsidRPr="005C672D" w:rsidTr="003826D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F2AC3" w:rsidRDefault="00C663F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3826DA" w:rsidRPr="005C672D" w:rsidTr="003826D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F2AC3" w:rsidRDefault="003F2AC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826DA" w:rsidRPr="005C672D" w:rsidTr="003826D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F2AC3" w:rsidRDefault="003F2AC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3826DA" w:rsidRPr="005C672D" w:rsidTr="003826D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F2AC3" w:rsidRDefault="00C663F3">
            <w:pPr>
              <w:jc w:val="center"/>
            </w:pPr>
            <w:r>
              <w:rPr>
                <w:bCs/>
                <w:color w:val="000000"/>
                <w:sz w:val="24"/>
              </w:rPr>
              <w:t>1,481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175,142.80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500,067.50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0.19%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258,886,423.45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99.81%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C663F3" w:rsidP="00AC6DDA">
            <w:pPr>
              <w:widowControl/>
              <w:spacing w:before="29" w:line="288" w:lineRule="auto"/>
              <w:jc w:val="right"/>
              <w:rPr>
                <w:color w:val="000000"/>
                <w:kern w:val="0"/>
                <w:sz w:val="24"/>
              </w:rPr>
            </w:pPr>
            <w:r w:rsidRPr="005C672D">
              <w:rPr>
                <w:color w:val="000000"/>
                <w:sz w:val="24"/>
              </w:rPr>
              <w:t>-</w:t>
            </w:r>
          </w:p>
        </w:tc>
        <w:tc>
          <w:tcPr>
            <w:tcW w:w="2160" w:type="dxa"/>
            <w:vAlign w:val="center"/>
          </w:tcPr>
          <w:p w:rsidR="00DF5C7F" w:rsidRPr="005C672D" w:rsidRDefault="00C663F3" w:rsidP="00AC6DDA">
            <w:pPr>
              <w:widowControl/>
              <w:spacing w:before="29" w:line="288" w:lineRule="auto"/>
              <w:jc w:val="right"/>
              <w:rPr>
                <w:color w:val="000000"/>
                <w:kern w:val="0"/>
                <w:sz w:val="24"/>
              </w:rPr>
            </w:pPr>
            <w:r w:rsidRPr="005C672D">
              <w:rPr>
                <w:color w:val="00000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5" w:name="_Toc331410116"/>
      <w:bookmarkStart w:id="76" w:name="_Toc225500054"/>
      <w:r w:rsidRPr="005C672D">
        <w:rPr>
          <w:b/>
          <w:bCs/>
          <w:szCs w:val="24"/>
          <w:lang w:val="en-US"/>
        </w:rPr>
        <w:t xml:space="preserve">9  </w:t>
      </w:r>
      <w:r w:rsidRPr="005C672D">
        <w:rPr>
          <w:b/>
          <w:bCs/>
          <w:szCs w:val="24"/>
          <w:lang w:val="en-US"/>
        </w:rPr>
        <w:t>重大事件揭示</w:t>
      </w:r>
      <w:bookmarkEnd w:id="75"/>
      <w:bookmarkEnd w:id="76"/>
    </w:p>
    <w:p w:rsidR="001548F9" w:rsidRPr="005C672D" w:rsidRDefault="001548F9" w:rsidP="00AC6DDA">
      <w:pPr>
        <w:pStyle w:val="20"/>
        <w:spacing w:before="29" w:after="0" w:line="288" w:lineRule="auto"/>
        <w:rPr>
          <w:rFonts w:ascii="Times New Roman" w:hAnsi="Times New Roman"/>
          <w:kern w:val="0"/>
          <w:szCs w:val="24"/>
        </w:rPr>
      </w:pPr>
      <w:bookmarkStart w:id="77" w:name="_Toc331410117"/>
      <w:r w:rsidRPr="005C672D">
        <w:rPr>
          <w:rFonts w:ascii="Times New Roman" w:hAnsi="Times New Roman"/>
          <w:kern w:val="0"/>
          <w:szCs w:val="24"/>
        </w:rPr>
        <w:t xml:space="preserve">9.1 </w:t>
      </w:r>
      <w:r w:rsidRPr="005C672D">
        <w:rPr>
          <w:rFonts w:ascii="Times New Roman" w:hAnsi="Times New Roman"/>
          <w:kern w:val="0"/>
          <w:szCs w:val="24"/>
        </w:rPr>
        <w:t>基金份额持有人大会决议</w:t>
      </w:r>
      <w:bookmarkEnd w:id="77"/>
    </w:p>
    <w:p w:rsidR="001548F9" w:rsidRPr="005C672D" w:rsidRDefault="001548F9" w:rsidP="00AC6DDA">
      <w:pPr>
        <w:spacing w:before="29" w:line="288" w:lineRule="auto"/>
        <w:ind w:firstLineChars="200" w:firstLine="480"/>
        <w:rPr>
          <w:color w:val="000000"/>
          <w:sz w:val="24"/>
        </w:rPr>
      </w:pPr>
      <w:bookmarkStart w:id="78"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9.2 </w:t>
      </w:r>
      <w:r w:rsidRPr="005C672D">
        <w:rPr>
          <w:rFonts w:ascii="Times New Roman" w:hAnsi="Times New Roman"/>
          <w:kern w:val="0"/>
          <w:szCs w:val="24"/>
        </w:rPr>
        <w:t>基金管理人、基金托管人的专门基金托管部门的重大人事变动</w:t>
      </w:r>
      <w:bookmarkEnd w:id="78"/>
    </w:p>
    <w:p w:rsidR="003F2AC3" w:rsidRDefault="00C663F3">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79"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9.3 </w:t>
      </w:r>
      <w:r w:rsidRPr="005C672D">
        <w:rPr>
          <w:rFonts w:ascii="Times New Roman" w:hAnsi="Times New Roman"/>
          <w:kern w:val="0"/>
          <w:szCs w:val="24"/>
        </w:rPr>
        <w:t>涉及基金管理人、基金财产、基金托管业务的诉讼</w:t>
      </w:r>
      <w:bookmarkEnd w:id="79"/>
    </w:p>
    <w:p w:rsidR="001548F9" w:rsidRPr="005C672D" w:rsidRDefault="001548F9" w:rsidP="00AC6DDA">
      <w:pPr>
        <w:spacing w:before="29" w:line="288" w:lineRule="auto"/>
        <w:ind w:firstLineChars="200" w:firstLine="480"/>
        <w:rPr>
          <w:color w:val="000000"/>
          <w:sz w:val="24"/>
        </w:rPr>
      </w:pPr>
      <w:bookmarkStart w:id="80"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9.4 </w:t>
      </w:r>
      <w:r w:rsidRPr="005C672D">
        <w:rPr>
          <w:rFonts w:ascii="Times New Roman" w:hAnsi="Times New Roman"/>
          <w:kern w:val="0"/>
          <w:szCs w:val="24"/>
        </w:rPr>
        <w:t>基金投资策略的改变</w:t>
      </w:r>
      <w:bookmarkEnd w:id="80"/>
    </w:p>
    <w:p w:rsidR="001548F9" w:rsidRPr="005C672D" w:rsidRDefault="001548F9" w:rsidP="00AC6DDA">
      <w:pPr>
        <w:spacing w:before="29" w:line="288" w:lineRule="auto"/>
        <w:ind w:firstLineChars="200" w:firstLine="480"/>
        <w:rPr>
          <w:color w:val="000000"/>
          <w:sz w:val="24"/>
        </w:rPr>
      </w:pPr>
      <w:bookmarkStart w:id="81"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9.5</w:t>
      </w:r>
      <w:bookmarkEnd w:id="81"/>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2" w:name="OLE_LINK3"/>
      <w:bookmarkStart w:id="83"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2"/>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9.6</w:t>
      </w:r>
      <w:bookmarkEnd w:id="83"/>
      <w:r w:rsidR="00062814" w:rsidRPr="005C672D">
        <w:rPr>
          <w:rFonts w:ascii="Times New Roman" w:hAnsi="Times New Roman"/>
          <w:szCs w:val="24"/>
        </w:rPr>
        <w:t>管理人、托管人及其高级管理人员受稽查或处罚等情况</w:t>
      </w:r>
    </w:p>
    <w:p w:rsidR="003F2AC3" w:rsidRDefault="00C663F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F2AC3" w:rsidRDefault="00C663F3">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3F2AC3" w:rsidRDefault="00C663F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4"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9.7 </w:t>
      </w:r>
      <w:r w:rsidRPr="005C672D">
        <w:rPr>
          <w:rFonts w:ascii="Times New Roman" w:hAnsi="Times New Roman"/>
          <w:kern w:val="0"/>
          <w:szCs w:val="24"/>
        </w:rPr>
        <w:t>基金租用证券公司交易单元的有关情况</w:t>
      </w:r>
      <w:bookmarkEnd w:id="84"/>
    </w:p>
    <w:p w:rsidR="001548F9" w:rsidRPr="005C672D" w:rsidRDefault="001548F9" w:rsidP="00AC6DDA">
      <w:pPr>
        <w:spacing w:before="29" w:line="288" w:lineRule="auto"/>
        <w:rPr>
          <w:b/>
          <w:sz w:val="24"/>
        </w:rPr>
      </w:pPr>
      <w:bookmarkStart w:id="85" w:name="_Toc249760070"/>
      <w:r w:rsidRPr="005C672D">
        <w:rPr>
          <w:b/>
          <w:sz w:val="24"/>
        </w:rPr>
        <w:t xml:space="preserve">9.7.1 </w:t>
      </w:r>
      <w:r w:rsidRPr="005C672D">
        <w:rPr>
          <w:b/>
          <w:sz w:val="24"/>
        </w:rPr>
        <w:t>基金租用证券公司交易单元进行股票投资及佣金支付情况</w:t>
      </w:r>
      <w:bookmarkEnd w:id="85"/>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6"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3F2AC3">
        <w:tc>
          <w:tcPr>
            <w:tcW w:w="1559" w:type="dxa"/>
            <w:vAlign w:val="center"/>
          </w:tcPr>
          <w:p w:rsidR="003F2AC3" w:rsidRDefault="00C663F3">
            <w:pPr>
              <w:jc w:val="center"/>
            </w:pPr>
            <w:r>
              <w:rPr>
                <w:color w:val="000000"/>
                <w:sz w:val="24"/>
              </w:rPr>
              <w:t>安信证券股份有限公司</w:t>
            </w:r>
          </w:p>
        </w:tc>
        <w:tc>
          <w:tcPr>
            <w:tcW w:w="779" w:type="dxa"/>
            <w:vAlign w:val="center"/>
          </w:tcPr>
          <w:p w:rsidR="003F2AC3" w:rsidRDefault="00C663F3">
            <w:pPr>
              <w:jc w:val="center"/>
            </w:pPr>
            <w:r>
              <w:rPr>
                <w:color w:val="000000"/>
                <w:sz w:val="24"/>
              </w:rPr>
              <w:t>2</w:t>
            </w:r>
          </w:p>
        </w:tc>
        <w:tc>
          <w:tcPr>
            <w:tcW w:w="1800" w:type="dxa"/>
            <w:vAlign w:val="center"/>
          </w:tcPr>
          <w:p w:rsidR="003F2AC3" w:rsidRDefault="00C663F3">
            <w:pPr>
              <w:jc w:val="right"/>
            </w:pPr>
            <w:r>
              <w:rPr>
                <w:color w:val="000000"/>
                <w:sz w:val="24"/>
              </w:rPr>
              <w:t>-</w:t>
            </w:r>
          </w:p>
        </w:tc>
        <w:tc>
          <w:tcPr>
            <w:tcW w:w="1080" w:type="dxa"/>
            <w:vAlign w:val="center"/>
          </w:tcPr>
          <w:p w:rsidR="003F2AC3" w:rsidRDefault="00C663F3">
            <w:pPr>
              <w:jc w:val="right"/>
            </w:pPr>
            <w:r>
              <w:rPr>
                <w:color w:val="000000"/>
                <w:sz w:val="24"/>
              </w:rPr>
              <w:t>-</w:t>
            </w:r>
          </w:p>
        </w:tc>
        <w:tc>
          <w:tcPr>
            <w:tcW w:w="1620" w:type="dxa"/>
            <w:vAlign w:val="center"/>
          </w:tcPr>
          <w:p w:rsidR="003F2AC3" w:rsidRDefault="00C663F3">
            <w:pPr>
              <w:jc w:val="right"/>
            </w:pPr>
            <w:r>
              <w:rPr>
                <w:color w:val="000000"/>
                <w:sz w:val="24"/>
              </w:rPr>
              <w:t>-</w:t>
            </w:r>
          </w:p>
        </w:tc>
        <w:tc>
          <w:tcPr>
            <w:tcW w:w="1080" w:type="dxa"/>
            <w:vAlign w:val="center"/>
          </w:tcPr>
          <w:p w:rsidR="003F2AC3" w:rsidRDefault="00C663F3" w:rsidP="000A15EA">
            <w:pPr>
              <w:jc w:val="right"/>
            </w:pPr>
            <w:r>
              <w:rPr>
                <w:color w:val="000000"/>
                <w:sz w:val="24"/>
              </w:rPr>
              <w:t>-</w:t>
            </w:r>
          </w:p>
        </w:tc>
        <w:tc>
          <w:tcPr>
            <w:tcW w:w="1080" w:type="dxa"/>
            <w:vAlign w:val="center"/>
          </w:tcPr>
          <w:p w:rsidR="003F2AC3" w:rsidRDefault="00C663F3" w:rsidP="000A15EA">
            <w:pPr>
              <w:jc w:val="righ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9.7.2 </w:t>
      </w:r>
      <w:r w:rsidRPr="005C672D">
        <w:rPr>
          <w:b/>
          <w:sz w:val="24"/>
        </w:rPr>
        <w:t>基金租用证券公司交易单元进行其他证券投资的情况</w:t>
      </w:r>
      <w:bookmarkEnd w:id="86"/>
    </w:p>
    <w:p w:rsidR="001548F9" w:rsidRPr="005C672D" w:rsidRDefault="001548F9" w:rsidP="00AC6DDA">
      <w:pPr>
        <w:spacing w:before="29" w:line="288" w:lineRule="auto"/>
        <w:ind w:firstLine="420"/>
        <w:jc w:val="right"/>
        <w:rPr>
          <w:color w:val="000000"/>
          <w:sz w:val="24"/>
        </w:rPr>
      </w:pPr>
      <w:bookmarkStart w:id="87"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0"/>
        <w:gridCol w:w="1716"/>
        <w:gridCol w:w="1076"/>
        <w:gridCol w:w="2016"/>
        <w:gridCol w:w="1076"/>
        <w:gridCol w:w="1028"/>
        <w:gridCol w:w="1004"/>
      </w:tblGrid>
      <w:tr w:rsidR="00FD7A40" w:rsidRPr="005C672D" w:rsidTr="000A15EA">
        <w:tc>
          <w:tcPr>
            <w:tcW w:w="866" w:type="pct"/>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1333" w:type="pct"/>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1300" w:type="pct"/>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1500" w:type="pct"/>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0A15EA">
        <w:tc>
          <w:tcPr>
            <w:tcW w:w="866" w:type="pct"/>
            <w:vMerge/>
            <w:vAlign w:val="center"/>
          </w:tcPr>
          <w:p w:rsidR="00FD7A40" w:rsidRPr="005C672D" w:rsidRDefault="00FD7A40" w:rsidP="00AC6DDA">
            <w:pPr>
              <w:widowControl/>
              <w:spacing w:before="29" w:line="288" w:lineRule="auto"/>
              <w:jc w:val="left"/>
              <w:rPr>
                <w:color w:val="000000"/>
                <w:kern w:val="0"/>
                <w:sz w:val="24"/>
              </w:rPr>
            </w:pPr>
          </w:p>
        </w:tc>
        <w:tc>
          <w:tcPr>
            <w:tcW w:w="733" w:type="pct"/>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600" w:type="pct"/>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635" w:type="pct"/>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665" w:type="pct"/>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832" w:type="pct"/>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668" w:type="pct"/>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3F2AC3" w:rsidTr="000A15EA">
        <w:tc>
          <w:tcPr>
            <w:tcW w:w="866" w:type="pct"/>
            <w:vAlign w:val="center"/>
          </w:tcPr>
          <w:p w:rsidR="003F2AC3" w:rsidRDefault="00C663F3">
            <w:pPr>
              <w:jc w:val="left"/>
            </w:pPr>
            <w:r>
              <w:rPr>
                <w:color w:val="000000"/>
                <w:sz w:val="24"/>
              </w:rPr>
              <w:t>安信证券股份有限公司</w:t>
            </w:r>
          </w:p>
        </w:tc>
        <w:tc>
          <w:tcPr>
            <w:tcW w:w="733" w:type="pct"/>
            <w:vAlign w:val="center"/>
          </w:tcPr>
          <w:p w:rsidR="003F2AC3" w:rsidRDefault="00C663F3">
            <w:pPr>
              <w:jc w:val="right"/>
            </w:pPr>
            <w:r>
              <w:rPr>
                <w:color w:val="000000"/>
                <w:sz w:val="24"/>
              </w:rPr>
              <w:t>158,917,939.92</w:t>
            </w:r>
          </w:p>
        </w:tc>
        <w:tc>
          <w:tcPr>
            <w:tcW w:w="600" w:type="pct"/>
            <w:vAlign w:val="center"/>
          </w:tcPr>
          <w:p w:rsidR="003F2AC3" w:rsidRDefault="00C663F3">
            <w:pPr>
              <w:jc w:val="right"/>
            </w:pPr>
            <w:r>
              <w:rPr>
                <w:color w:val="000000"/>
                <w:sz w:val="24"/>
              </w:rPr>
              <w:t>100.00%</w:t>
            </w:r>
          </w:p>
        </w:tc>
        <w:tc>
          <w:tcPr>
            <w:tcW w:w="635" w:type="pct"/>
            <w:vAlign w:val="center"/>
          </w:tcPr>
          <w:p w:rsidR="003F2AC3" w:rsidRDefault="00C663F3">
            <w:pPr>
              <w:jc w:val="right"/>
            </w:pPr>
            <w:r>
              <w:rPr>
                <w:color w:val="000000"/>
                <w:sz w:val="24"/>
              </w:rPr>
              <w:t>10,327,990,000.00</w:t>
            </w:r>
          </w:p>
        </w:tc>
        <w:tc>
          <w:tcPr>
            <w:tcW w:w="665" w:type="pct"/>
            <w:vAlign w:val="center"/>
          </w:tcPr>
          <w:p w:rsidR="003F2AC3" w:rsidRDefault="00C663F3">
            <w:pPr>
              <w:jc w:val="right"/>
            </w:pPr>
            <w:r>
              <w:rPr>
                <w:color w:val="000000"/>
                <w:sz w:val="24"/>
              </w:rPr>
              <w:t>100.00%</w:t>
            </w:r>
          </w:p>
        </w:tc>
        <w:tc>
          <w:tcPr>
            <w:tcW w:w="832" w:type="pct"/>
            <w:vAlign w:val="center"/>
          </w:tcPr>
          <w:p w:rsidR="003F2AC3" w:rsidRDefault="00C663F3">
            <w:pPr>
              <w:jc w:val="right"/>
            </w:pPr>
            <w:r>
              <w:rPr>
                <w:color w:val="000000"/>
                <w:sz w:val="24"/>
              </w:rPr>
              <w:t>-</w:t>
            </w:r>
          </w:p>
        </w:tc>
        <w:tc>
          <w:tcPr>
            <w:tcW w:w="668" w:type="pct"/>
            <w:vAlign w:val="center"/>
          </w:tcPr>
          <w:p w:rsidR="003F2AC3" w:rsidRDefault="00C663F3">
            <w:pPr>
              <w:jc w:val="right"/>
            </w:pPr>
            <w:r>
              <w:rPr>
                <w:color w:val="000000"/>
                <w:sz w:val="24"/>
              </w:rPr>
              <w:t>-</w:t>
            </w:r>
          </w:p>
        </w:tc>
      </w:tr>
    </w:tbl>
    <w:p w:rsidR="003F2AC3" w:rsidRDefault="00C663F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3F2AC3" w:rsidRDefault="00C663F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02B" w:rsidRDefault="00E1202B">
      <w:r>
        <w:separator/>
      </w:r>
    </w:p>
  </w:endnote>
  <w:endnote w:type="continuationSeparator" w:id="0">
    <w:p w:rsidR="00E1202B" w:rsidRDefault="00E1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720896">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720896">
      <w:rPr>
        <w:noProof/>
        <w:kern w:val="0"/>
        <w:szCs w:val="21"/>
      </w:rPr>
      <w:t>24</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02B" w:rsidRDefault="00E1202B">
      <w:r>
        <w:separator/>
      </w:r>
    </w:p>
  </w:footnote>
  <w:footnote w:type="continuationSeparator" w:id="0">
    <w:p w:rsidR="00E1202B" w:rsidRDefault="00E12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交银施罗德丰享收益债券型证券投资基金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5EA"/>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4E1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461"/>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40"/>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9E5"/>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26DA"/>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2AC3"/>
    <w:rsid w:val="003F4241"/>
    <w:rsid w:val="003F4B8A"/>
    <w:rsid w:val="003F4C20"/>
    <w:rsid w:val="003F62BB"/>
    <w:rsid w:val="003F6FEC"/>
    <w:rsid w:val="003F7663"/>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2F"/>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554E"/>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896"/>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2B"/>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54F"/>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1E9C"/>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3F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3F6E"/>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02B"/>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5F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8B270-E6F2-468E-B127-6F1D0B11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24</Pages>
  <Words>2572</Words>
  <Characters>14666</Characters>
  <Application>Microsoft Office Word</Application>
  <DocSecurity>0</DocSecurity>
  <Lines>122</Lines>
  <Paragraphs>34</Paragraphs>
  <ScaleCrop>false</ScaleCrop>
  <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1258</cp:revision>
  <cp:lastPrinted>2007-07-19T00:46:00Z</cp:lastPrinted>
  <dcterms:created xsi:type="dcterms:W3CDTF">2013-08-19T07:44:00Z</dcterms:created>
  <dcterms:modified xsi:type="dcterms:W3CDTF">2016-08-25T09:51:00Z</dcterms:modified>
</cp:coreProperties>
</file>