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交银施罗德理财</w:t>
      </w:r>
      <w:r w:rsidRPr="0061644B">
        <w:rPr>
          <w:b/>
          <w:sz w:val="36"/>
          <w:szCs w:val="36"/>
        </w:rPr>
        <w:t>60</w:t>
      </w:r>
      <w:r w:rsidRPr="0061644B">
        <w:rPr>
          <w:b/>
          <w:sz w:val="36"/>
          <w:szCs w:val="36"/>
        </w:rPr>
        <w:t>天债券型证券投资基金</w:t>
      </w:r>
    </w:p>
    <w:p w:rsidR="00223DFB" w:rsidRPr="0061644B" w:rsidRDefault="00223DFB" w:rsidP="00792A69">
      <w:pPr>
        <w:spacing w:before="29" w:line="288" w:lineRule="auto"/>
        <w:jc w:val="center"/>
        <w:rPr>
          <w:b/>
          <w:sz w:val="36"/>
          <w:szCs w:val="36"/>
        </w:rPr>
      </w:pPr>
      <w:r w:rsidRPr="0061644B">
        <w:rPr>
          <w:b/>
          <w:sz w:val="36"/>
          <w:szCs w:val="36"/>
        </w:rPr>
        <w:t>2016</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2016</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基金托管人：中国建设银行股份有限公司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二〇一六年八月二十七日</w:t>
      </w:r>
    </w:p>
    <w:p w:rsidR="00223DFB" w:rsidRPr="0061644B" w:rsidRDefault="00223DFB" w:rsidP="00792A69">
      <w:pPr>
        <w:widowControl/>
        <w:spacing w:before="29" w:line="288" w:lineRule="auto"/>
        <w:jc w:val="left"/>
        <w:rPr>
          <w:sz w:val="24"/>
        </w:rPr>
        <w:sectPr w:rsidR="00223DFB" w:rsidRPr="0061644B">
          <w:headerReference w:type="default" r:id="rId8"/>
          <w:pgSz w:w="11926" w:h="15840"/>
          <w:pgMar w:top="1418" w:right="1418" w:bottom="851" w:left="1418" w:header="851" w:footer="992" w:gutter="0"/>
          <w:cols w:space="720"/>
        </w:sectPr>
      </w:pPr>
    </w:p>
    <w:p w:rsidR="00223DFB" w:rsidRPr="0061644B" w:rsidRDefault="00223DFB" w:rsidP="00CE2B75">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基金托管人中国建设银行股份有限公司根据本基金合同规定，于</w:t>
      </w:r>
      <w:r w:rsidRPr="0061644B">
        <w:rPr>
          <w:color w:val="000000"/>
          <w:sz w:val="24"/>
        </w:rPr>
        <w:t>2016</w:t>
      </w:r>
      <w:r w:rsidRPr="0061644B">
        <w:rPr>
          <w:color w:val="000000"/>
          <w:sz w:val="24"/>
        </w:rPr>
        <w:t>年</w:t>
      </w:r>
      <w:r w:rsidRPr="0061644B">
        <w:rPr>
          <w:color w:val="000000"/>
          <w:sz w:val="24"/>
        </w:rPr>
        <w:t>8</w:t>
      </w:r>
      <w:r w:rsidRPr="0061644B">
        <w:rPr>
          <w:color w:val="000000"/>
          <w:sz w:val="24"/>
        </w:rPr>
        <w:t>月</w:t>
      </w:r>
      <w:r w:rsidRPr="0061644B">
        <w:rPr>
          <w:color w:val="000000"/>
          <w:sz w:val="24"/>
        </w:rPr>
        <w:t>26</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2016</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61644B" w:rsidRDefault="00223DFB" w:rsidP="00CE2B75">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交银理财</w:t>
            </w:r>
            <w:r w:rsidRPr="0061644B">
              <w:rPr>
                <w:sz w:val="24"/>
              </w:rPr>
              <w:t>60</w:t>
            </w:r>
            <w:r w:rsidRPr="0061644B">
              <w:rPr>
                <w:sz w:val="24"/>
              </w:rPr>
              <w:t>天债券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519721</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2013</w:t>
            </w:r>
            <w:r w:rsidRPr="0061644B">
              <w:rPr>
                <w:sz w:val="24"/>
              </w:rPr>
              <w:t>年</w:t>
            </w:r>
            <w:r w:rsidRPr="0061644B">
              <w:rPr>
                <w:sz w:val="24"/>
              </w:rPr>
              <w:t>3</w:t>
            </w:r>
            <w:r w:rsidRPr="0061644B">
              <w:rPr>
                <w:sz w:val="24"/>
              </w:rPr>
              <w:t>月</w:t>
            </w:r>
            <w:r w:rsidRPr="0061644B">
              <w:rPr>
                <w:sz w:val="24"/>
              </w:rPr>
              <w:t>13</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中国建设银行股份有限公司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9,326,090.85</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B</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519721</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519722</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9,326,090.85</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0.00</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本基金在追求本金安全、保持资产流动性的基础上，努力追求绝对收益，为基金份额持有人谋求资产的稳定增值。</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人民币七天通知存款税后利率</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本基金属于短期理财债券型证券投资基金，长期风险收益水平低于股票型基金、混合型基金及普通债券型基金，高于货币市场型证券投资基金。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中国建设银行股份有限公司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田青</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010-67595096</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tianqing1.zh@ccb.com</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010-67595096</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010-66275853</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r w:rsidRPr="0061644B">
              <w:rPr>
                <w:sz w:val="24"/>
              </w:rPr>
              <w:t>，</w:t>
            </w:r>
            <w:r w:rsidRPr="0061644B">
              <w:rPr>
                <w:sz w:val="24"/>
              </w:rPr>
              <w:t>www.bocomschroder.com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CE2B75">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D676A6">
            <w:pPr>
              <w:spacing w:before="29" w:line="288" w:lineRule="auto"/>
              <w:ind w:leftChars="-51" w:left="-107" w:rightChars="-51" w:right="-107"/>
              <w:rPr>
                <w:b/>
                <w:sz w:val="24"/>
              </w:rPr>
            </w:pPr>
            <w:r w:rsidRPr="0061644B">
              <w:rPr>
                <w:b/>
                <w:sz w:val="24"/>
              </w:rPr>
              <w:t>3.1.1</w:t>
            </w:r>
            <w:r w:rsidRPr="0061644B">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2016</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2016</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交银理财</w:t>
            </w:r>
            <w:r w:rsidRPr="0061644B">
              <w:rPr>
                <w:sz w:val="24"/>
              </w:rPr>
              <w:t>60</w:t>
            </w:r>
            <w:r w:rsidRPr="0061644B">
              <w:rPr>
                <w:sz w:val="24"/>
              </w:rPr>
              <w:t>天债券</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交银理财</w:t>
            </w:r>
            <w:r w:rsidRPr="0061644B">
              <w:rPr>
                <w:sz w:val="24"/>
              </w:rPr>
              <w:t>60</w:t>
            </w:r>
            <w:r w:rsidRPr="0061644B">
              <w:rPr>
                <w:sz w:val="24"/>
              </w:rPr>
              <w:t>天债券</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68,696.24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149,430.74</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68,696.24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149,430.74</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0.71%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0.49%</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D676A6">
            <w:pPr>
              <w:spacing w:before="29" w:line="288" w:lineRule="auto"/>
              <w:ind w:leftChars="-51" w:left="-107" w:rightChars="-51" w:right="-107"/>
              <w:rPr>
                <w:b/>
                <w:sz w:val="24"/>
              </w:rPr>
            </w:pPr>
            <w:r w:rsidRPr="0061644B">
              <w:rPr>
                <w:b/>
                <w:sz w:val="24"/>
              </w:rPr>
              <w:t>3.1.2</w:t>
            </w:r>
            <w:r w:rsidRPr="0061644B">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(2016</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交银理财</w:t>
            </w:r>
            <w:r w:rsidRPr="0061644B">
              <w:rPr>
                <w:sz w:val="24"/>
              </w:rPr>
              <w:t>60</w:t>
            </w:r>
            <w:r w:rsidRPr="0061644B">
              <w:rPr>
                <w:sz w:val="24"/>
              </w:rPr>
              <w:t>天债券</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交银理财</w:t>
            </w:r>
            <w:r w:rsidRPr="0061644B">
              <w:rPr>
                <w:sz w:val="24"/>
              </w:rPr>
              <w:t>60</w:t>
            </w:r>
            <w:r w:rsidRPr="0061644B">
              <w:rPr>
                <w:sz w:val="24"/>
              </w:rPr>
              <w:t>天债券</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9,326,090.85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w:t>
            </w:r>
          </w:p>
        </w:tc>
      </w:tr>
    </w:tbl>
    <w:p w:rsidR="008711DE" w:rsidRDefault="00D676A6">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8711DE" w:rsidRDefault="00D676A6">
      <w:pPr>
        <w:tabs>
          <w:tab w:val="left" w:pos="426"/>
        </w:tabs>
        <w:spacing w:before="29" w:line="288" w:lineRule="auto"/>
        <w:jc w:val="left"/>
        <w:rPr>
          <w:kern w:val="0"/>
          <w:sz w:val="24"/>
        </w:rPr>
      </w:pPr>
      <w:r>
        <w:rPr>
          <w:kern w:val="0"/>
          <w:sz w:val="24"/>
        </w:rPr>
        <w:t xml:space="preserve">    2</w:t>
      </w:r>
      <w:r>
        <w:rPr>
          <w:kern w:val="0"/>
          <w:sz w:val="24"/>
        </w:rPr>
        <w:t>、本基金收益分配按运作期结转份额。</w:t>
      </w:r>
    </w:p>
    <w:p w:rsidR="008711DE" w:rsidRDefault="00D676A6">
      <w:pPr>
        <w:tabs>
          <w:tab w:val="left" w:pos="426"/>
        </w:tabs>
        <w:spacing w:before="29" w:line="288" w:lineRule="auto"/>
        <w:jc w:val="left"/>
        <w:rPr>
          <w:kern w:val="0"/>
          <w:sz w:val="24"/>
        </w:rPr>
      </w:pPr>
      <w:r>
        <w:rPr>
          <w:kern w:val="0"/>
          <w:sz w:val="24"/>
        </w:rPr>
        <w:t xml:space="preserve">    3</w:t>
      </w:r>
      <w:r>
        <w:rPr>
          <w:kern w:val="0"/>
          <w:sz w:val="24"/>
        </w:rPr>
        <w:t>、自合同生效日起，本基金实行销售服务费分类收费方式，分设两类基金份额：</w:t>
      </w:r>
      <w:r>
        <w:rPr>
          <w:kern w:val="0"/>
          <w:sz w:val="24"/>
        </w:rPr>
        <w:t>A</w:t>
      </w:r>
      <w:r>
        <w:rPr>
          <w:kern w:val="0"/>
          <w:sz w:val="24"/>
        </w:rPr>
        <w:t>类基金份额和</w:t>
      </w:r>
      <w:r>
        <w:rPr>
          <w:kern w:val="0"/>
          <w:sz w:val="24"/>
        </w:rPr>
        <w:t>B</w:t>
      </w:r>
      <w:r>
        <w:rPr>
          <w:kern w:val="0"/>
          <w:sz w:val="24"/>
        </w:rPr>
        <w:t>类基金份额。</w:t>
      </w:r>
      <w:r>
        <w:rPr>
          <w:kern w:val="0"/>
          <w:sz w:val="24"/>
        </w:rPr>
        <w:t>A</w:t>
      </w:r>
      <w:r>
        <w:rPr>
          <w:kern w:val="0"/>
          <w:sz w:val="24"/>
        </w:rPr>
        <w:t>类基金份额与</w:t>
      </w:r>
      <w:r>
        <w:rPr>
          <w:kern w:val="0"/>
          <w:sz w:val="24"/>
        </w:rPr>
        <w:t>B</w:t>
      </w:r>
      <w:r>
        <w:rPr>
          <w:kern w:val="0"/>
          <w:sz w:val="24"/>
        </w:rPr>
        <w:t>类基金份额的管理费、托管费相同，</w:t>
      </w:r>
      <w:r>
        <w:rPr>
          <w:kern w:val="0"/>
          <w:sz w:val="24"/>
        </w:rPr>
        <w:t>A</w:t>
      </w:r>
      <w:r>
        <w:rPr>
          <w:kern w:val="0"/>
          <w:sz w:val="24"/>
        </w:rPr>
        <w:t>类基金份额按照</w:t>
      </w:r>
      <w:r>
        <w:rPr>
          <w:kern w:val="0"/>
          <w:sz w:val="24"/>
        </w:rPr>
        <w:t>0.30%</w:t>
      </w:r>
      <w:r>
        <w:rPr>
          <w:kern w:val="0"/>
          <w:sz w:val="24"/>
        </w:rPr>
        <w:t>的年费率计提销售服务费，</w:t>
      </w:r>
      <w:r>
        <w:rPr>
          <w:kern w:val="0"/>
          <w:sz w:val="24"/>
        </w:rPr>
        <w:t>B</w:t>
      </w:r>
      <w:r>
        <w:rPr>
          <w:kern w:val="0"/>
          <w:sz w:val="24"/>
        </w:rPr>
        <w:t>类基金份额按照</w:t>
      </w:r>
      <w:r>
        <w:rPr>
          <w:kern w:val="0"/>
          <w:sz w:val="24"/>
        </w:rPr>
        <w:t>0.01%</w:t>
      </w:r>
      <w:r>
        <w:rPr>
          <w:kern w:val="0"/>
          <w:sz w:val="24"/>
        </w:rPr>
        <w:t>的年费率计提销售服务费。</w:t>
      </w:r>
    </w:p>
    <w:p w:rsidR="008711DE" w:rsidRDefault="00D676A6">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223DFB" w:rsidRPr="0061644B" w:rsidRDefault="00726087" w:rsidP="00D676A6">
      <w:pPr>
        <w:tabs>
          <w:tab w:val="left" w:pos="426"/>
        </w:tabs>
        <w:spacing w:before="29" w:line="288" w:lineRule="auto"/>
        <w:jc w:val="left"/>
        <w:rPr>
          <w:sz w:val="24"/>
        </w:rPr>
      </w:pPr>
      <w:r w:rsidRPr="0061644B">
        <w:rPr>
          <w:kern w:val="0"/>
          <w:sz w:val="24"/>
        </w:rPr>
        <w:lastRenderedPageBreak/>
        <w:t xml:space="preserve">   </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．交银理财</w:t>
      </w:r>
      <w:r w:rsidRPr="0061644B">
        <w:rPr>
          <w:rFonts w:ascii="Times New Roman" w:hAnsi="Times New Roman"/>
          <w:b/>
          <w:color w:val="auto"/>
        </w:rPr>
        <w:t>60</w:t>
      </w:r>
      <w:r w:rsidRPr="0061644B">
        <w:rPr>
          <w:rFonts w:ascii="Times New Roman" w:hAnsi="Times New Roman"/>
          <w:b/>
          <w:color w:val="auto"/>
        </w:rPr>
        <w:t>天债券</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8711DE">
        <w:tc>
          <w:tcPr>
            <w:tcW w:w="1600" w:type="dxa"/>
            <w:vAlign w:val="center"/>
          </w:tcPr>
          <w:p w:rsidR="008711DE" w:rsidRDefault="00D676A6">
            <w:pPr>
              <w:jc w:val="left"/>
            </w:pPr>
            <w:r>
              <w:rPr>
                <w:sz w:val="24"/>
              </w:rPr>
              <w:t>过去一个月</w:t>
            </w:r>
          </w:p>
        </w:tc>
        <w:tc>
          <w:tcPr>
            <w:tcW w:w="1233" w:type="dxa"/>
            <w:vAlign w:val="center"/>
          </w:tcPr>
          <w:p w:rsidR="008711DE" w:rsidRDefault="00D676A6">
            <w:pPr>
              <w:jc w:val="center"/>
            </w:pPr>
            <w:r>
              <w:rPr>
                <w:sz w:val="24"/>
              </w:rPr>
              <w:t>0.1180%</w:t>
            </w:r>
          </w:p>
        </w:tc>
        <w:tc>
          <w:tcPr>
            <w:tcW w:w="1233" w:type="dxa"/>
            <w:vAlign w:val="center"/>
          </w:tcPr>
          <w:p w:rsidR="008711DE" w:rsidRDefault="00D676A6">
            <w:pPr>
              <w:jc w:val="center"/>
            </w:pPr>
            <w:r>
              <w:rPr>
                <w:sz w:val="24"/>
              </w:rPr>
              <w:t>0.0001%</w:t>
            </w:r>
          </w:p>
        </w:tc>
        <w:tc>
          <w:tcPr>
            <w:tcW w:w="1233" w:type="dxa"/>
            <w:vAlign w:val="center"/>
          </w:tcPr>
          <w:p w:rsidR="008711DE" w:rsidRDefault="00D676A6">
            <w:pPr>
              <w:jc w:val="center"/>
            </w:pPr>
            <w:r>
              <w:rPr>
                <w:sz w:val="24"/>
              </w:rPr>
              <w:t>0.1110%</w:t>
            </w:r>
          </w:p>
        </w:tc>
        <w:tc>
          <w:tcPr>
            <w:tcW w:w="1233" w:type="dxa"/>
            <w:vAlign w:val="center"/>
          </w:tcPr>
          <w:p w:rsidR="008711DE" w:rsidRDefault="00D676A6">
            <w:pPr>
              <w:jc w:val="center"/>
            </w:pPr>
            <w:r>
              <w:rPr>
                <w:sz w:val="24"/>
              </w:rPr>
              <w:t>0.0000%</w:t>
            </w:r>
          </w:p>
        </w:tc>
        <w:tc>
          <w:tcPr>
            <w:tcW w:w="1233" w:type="dxa"/>
            <w:vAlign w:val="center"/>
          </w:tcPr>
          <w:p w:rsidR="008711DE" w:rsidRDefault="00D676A6">
            <w:pPr>
              <w:jc w:val="center"/>
            </w:pPr>
            <w:r>
              <w:rPr>
                <w:sz w:val="24"/>
              </w:rPr>
              <w:t>0.0070%</w:t>
            </w:r>
          </w:p>
        </w:tc>
        <w:tc>
          <w:tcPr>
            <w:tcW w:w="1233" w:type="dxa"/>
            <w:vAlign w:val="center"/>
          </w:tcPr>
          <w:p w:rsidR="008711DE" w:rsidRDefault="00D676A6">
            <w:pPr>
              <w:jc w:val="center"/>
            </w:pPr>
            <w:r>
              <w:rPr>
                <w:sz w:val="24"/>
              </w:rPr>
              <w:t>0.0001%</w:t>
            </w:r>
          </w:p>
        </w:tc>
      </w:tr>
      <w:tr w:rsidR="008711DE">
        <w:tc>
          <w:tcPr>
            <w:tcW w:w="1600" w:type="dxa"/>
            <w:vAlign w:val="center"/>
          </w:tcPr>
          <w:p w:rsidR="008711DE" w:rsidRDefault="00D676A6">
            <w:pPr>
              <w:jc w:val="left"/>
            </w:pPr>
            <w:r>
              <w:rPr>
                <w:sz w:val="24"/>
              </w:rPr>
              <w:t>过去三个月</w:t>
            </w:r>
          </w:p>
        </w:tc>
        <w:tc>
          <w:tcPr>
            <w:tcW w:w="1233" w:type="dxa"/>
            <w:vAlign w:val="center"/>
          </w:tcPr>
          <w:p w:rsidR="008711DE" w:rsidRDefault="00D676A6">
            <w:pPr>
              <w:jc w:val="center"/>
            </w:pPr>
            <w:r>
              <w:rPr>
                <w:sz w:val="24"/>
              </w:rPr>
              <w:t>0.3383%</w:t>
            </w:r>
          </w:p>
        </w:tc>
        <w:tc>
          <w:tcPr>
            <w:tcW w:w="1233" w:type="dxa"/>
            <w:vAlign w:val="center"/>
          </w:tcPr>
          <w:p w:rsidR="008711DE" w:rsidRDefault="00D676A6">
            <w:pPr>
              <w:jc w:val="center"/>
            </w:pPr>
            <w:r>
              <w:rPr>
                <w:sz w:val="24"/>
              </w:rPr>
              <w:t>0.0007%</w:t>
            </w:r>
          </w:p>
        </w:tc>
        <w:tc>
          <w:tcPr>
            <w:tcW w:w="1233" w:type="dxa"/>
            <w:vAlign w:val="center"/>
          </w:tcPr>
          <w:p w:rsidR="008711DE" w:rsidRDefault="00D676A6">
            <w:pPr>
              <w:jc w:val="center"/>
            </w:pPr>
            <w:r>
              <w:rPr>
                <w:sz w:val="24"/>
              </w:rPr>
              <w:t>0.3366%</w:t>
            </w:r>
          </w:p>
        </w:tc>
        <w:tc>
          <w:tcPr>
            <w:tcW w:w="1233" w:type="dxa"/>
            <w:vAlign w:val="center"/>
          </w:tcPr>
          <w:p w:rsidR="008711DE" w:rsidRDefault="00D676A6">
            <w:pPr>
              <w:jc w:val="center"/>
            </w:pPr>
            <w:r>
              <w:rPr>
                <w:sz w:val="24"/>
              </w:rPr>
              <w:t>0.0000%</w:t>
            </w:r>
          </w:p>
        </w:tc>
        <w:tc>
          <w:tcPr>
            <w:tcW w:w="1233" w:type="dxa"/>
            <w:vAlign w:val="center"/>
          </w:tcPr>
          <w:p w:rsidR="008711DE" w:rsidRDefault="00D676A6">
            <w:pPr>
              <w:jc w:val="center"/>
            </w:pPr>
            <w:r>
              <w:rPr>
                <w:sz w:val="24"/>
              </w:rPr>
              <w:t>0.0017%</w:t>
            </w:r>
          </w:p>
        </w:tc>
        <w:tc>
          <w:tcPr>
            <w:tcW w:w="1233" w:type="dxa"/>
            <w:vAlign w:val="center"/>
          </w:tcPr>
          <w:p w:rsidR="008711DE" w:rsidRDefault="00D676A6">
            <w:pPr>
              <w:jc w:val="center"/>
            </w:pPr>
            <w:r>
              <w:rPr>
                <w:sz w:val="24"/>
              </w:rPr>
              <w:t>0.0007%</w:t>
            </w:r>
          </w:p>
        </w:tc>
      </w:tr>
      <w:tr w:rsidR="008711DE">
        <w:tc>
          <w:tcPr>
            <w:tcW w:w="1600" w:type="dxa"/>
            <w:vAlign w:val="center"/>
          </w:tcPr>
          <w:p w:rsidR="008711DE" w:rsidRDefault="00D676A6">
            <w:pPr>
              <w:jc w:val="left"/>
            </w:pPr>
            <w:r>
              <w:rPr>
                <w:sz w:val="24"/>
              </w:rPr>
              <w:t>过去六个月</w:t>
            </w:r>
          </w:p>
        </w:tc>
        <w:tc>
          <w:tcPr>
            <w:tcW w:w="1233" w:type="dxa"/>
            <w:vAlign w:val="center"/>
          </w:tcPr>
          <w:p w:rsidR="008711DE" w:rsidRDefault="00D676A6">
            <w:pPr>
              <w:jc w:val="center"/>
            </w:pPr>
            <w:r>
              <w:rPr>
                <w:sz w:val="24"/>
              </w:rPr>
              <w:t>0.7050%</w:t>
            </w:r>
          </w:p>
        </w:tc>
        <w:tc>
          <w:tcPr>
            <w:tcW w:w="1233" w:type="dxa"/>
            <w:vAlign w:val="center"/>
          </w:tcPr>
          <w:p w:rsidR="008711DE" w:rsidRDefault="00D676A6">
            <w:pPr>
              <w:jc w:val="center"/>
            </w:pPr>
            <w:r>
              <w:rPr>
                <w:sz w:val="24"/>
              </w:rPr>
              <w:t>0.0020%</w:t>
            </w:r>
          </w:p>
        </w:tc>
        <w:tc>
          <w:tcPr>
            <w:tcW w:w="1233" w:type="dxa"/>
            <w:vAlign w:val="center"/>
          </w:tcPr>
          <w:p w:rsidR="008711DE" w:rsidRDefault="00D676A6">
            <w:pPr>
              <w:jc w:val="center"/>
            </w:pPr>
            <w:r>
              <w:rPr>
                <w:sz w:val="24"/>
              </w:rPr>
              <w:t>0.6732%</w:t>
            </w:r>
          </w:p>
        </w:tc>
        <w:tc>
          <w:tcPr>
            <w:tcW w:w="1233" w:type="dxa"/>
            <w:vAlign w:val="center"/>
          </w:tcPr>
          <w:p w:rsidR="008711DE" w:rsidRDefault="00D676A6">
            <w:pPr>
              <w:jc w:val="center"/>
            </w:pPr>
            <w:r>
              <w:rPr>
                <w:sz w:val="24"/>
              </w:rPr>
              <w:t>0.0000%</w:t>
            </w:r>
          </w:p>
        </w:tc>
        <w:tc>
          <w:tcPr>
            <w:tcW w:w="1233" w:type="dxa"/>
            <w:vAlign w:val="center"/>
          </w:tcPr>
          <w:p w:rsidR="008711DE" w:rsidRDefault="00D676A6">
            <w:pPr>
              <w:jc w:val="center"/>
            </w:pPr>
            <w:r>
              <w:rPr>
                <w:sz w:val="24"/>
              </w:rPr>
              <w:t>0.0318%</w:t>
            </w:r>
          </w:p>
        </w:tc>
        <w:tc>
          <w:tcPr>
            <w:tcW w:w="1233" w:type="dxa"/>
            <w:vAlign w:val="center"/>
          </w:tcPr>
          <w:p w:rsidR="008711DE" w:rsidRDefault="00D676A6">
            <w:pPr>
              <w:jc w:val="center"/>
            </w:pPr>
            <w:r>
              <w:rPr>
                <w:sz w:val="24"/>
              </w:rPr>
              <w:t>0.0020%</w:t>
            </w:r>
          </w:p>
        </w:tc>
      </w:tr>
      <w:tr w:rsidR="008711DE">
        <w:tc>
          <w:tcPr>
            <w:tcW w:w="1600" w:type="dxa"/>
            <w:vAlign w:val="center"/>
          </w:tcPr>
          <w:p w:rsidR="008711DE" w:rsidRDefault="00D676A6">
            <w:pPr>
              <w:jc w:val="left"/>
            </w:pPr>
            <w:r>
              <w:rPr>
                <w:sz w:val="24"/>
              </w:rPr>
              <w:t>过去一年</w:t>
            </w:r>
          </w:p>
        </w:tc>
        <w:tc>
          <w:tcPr>
            <w:tcW w:w="1233" w:type="dxa"/>
            <w:vAlign w:val="center"/>
          </w:tcPr>
          <w:p w:rsidR="008711DE" w:rsidRDefault="00D676A6">
            <w:pPr>
              <w:jc w:val="center"/>
            </w:pPr>
            <w:r>
              <w:rPr>
                <w:sz w:val="24"/>
              </w:rPr>
              <w:t>1.7267%</w:t>
            </w:r>
          </w:p>
        </w:tc>
        <w:tc>
          <w:tcPr>
            <w:tcW w:w="1233" w:type="dxa"/>
            <w:vAlign w:val="center"/>
          </w:tcPr>
          <w:p w:rsidR="008711DE" w:rsidRDefault="00D676A6">
            <w:pPr>
              <w:jc w:val="center"/>
            </w:pPr>
            <w:r>
              <w:rPr>
                <w:sz w:val="24"/>
              </w:rPr>
              <w:t>0.0026%</w:t>
            </w:r>
          </w:p>
        </w:tc>
        <w:tc>
          <w:tcPr>
            <w:tcW w:w="1233" w:type="dxa"/>
            <w:vAlign w:val="center"/>
          </w:tcPr>
          <w:p w:rsidR="008711DE" w:rsidRDefault="00D676A6">
            <w:pPr>
              <w:jc w:val="center"/>
            </w:pPr>
            <w:r>
              <w:rPr>
                <w:sz w:val="24"/>
              </w:rPr>
              <w:t>1.3537%</w:t>
            </w:r>
          </w:p>
        </w:tc>
        <w:tc>
          <w:tcPr>
            <w:tcW w:w="1233" w:type="dxa"/>
            <w:vAlign w:val="center"/>
          </w:tcPr>
          <w:p w:rsidR="008711DE" w:rsidRDefault="00D676A6">
            <w:pPr>
              <w:jc w:val="center"/>
            </w:pPr>
            <w:r>
              <w:rPr>
                <w:sz w:val="24"/>
              </w:rPr>
              <w:t>0.0000%</w:t>
            </w:r>
          </w:p>
        </w:tc>
        <w:tc>
          <w:tcPr>
            <w:tcW w:w="1233" w:type="dxa"/>
            <w:vAlign w:val="center"/>
          </w:tcPr>
          <w:p w:rsidR="008711DE" w:rsidRDefault="00D676A6">
            <w:pPr>
              <w:jc w:val="center"/>
            </w:pPr>
            <w:r>
              <w:rPr>
                <w:sz w:val="24"/>
              </w:rPr>
              <w:t>0.3730%</w:t>
            </w:r>
          </w:p>
        </w:tc>
        <w:tc>
          <w:tcPr>
            <w:tcW w:w="1233" w:type="dxa"/>
            <w:vAlign w:val="center"/>
          </w:tcPr>
          <w:p w:rsidR="008711DE" w:rsidRDefault="00D676A6">
            <w:pPr>
              <w:jc w:val="center"/>
            </w:pPr>
            <w:r>
              <w:rPr>
                <w:sz w:val="24"/>
              </w:rPr>
              <w:t>0.0026%</w:t>
            </w:r>
          </w:p>
        </w:tc>
      </w:tr>
      <w:tr w:rsidR="008711DE">
        <w:tc>
          <w:tcPr>
            <w:tcW w:w="1600" w:type="dxa"/>
            <w:vAlign w:val="center"/>
          </w:tcPr>
          <w:p w:rsidR="008711DE" w:rsidRDefault="00D676A6">
            <w:pPr>
              <w:jc w:val="left"/>
            </w:pPr>
            <w:r>
              <w:rPr>
                <w:sz w:val="24"/>
              </w:rPr>
              <w:t>过去三年</w:t>
            </w:r>
          </w:p>
        </w:tc>
        <w:tc>
          <w:tcPr>
            <w:tcW w:w="1233" w:type="dxa"/>
            <w:vAlign w:val="center"/>
          </w:tcPr>
          <w:p w:rsidR="008711DE" w:rsidRDefault="00D676A6">
            <w:pPr>
              <w:jc w:val="center"/>
            </w:pPr>
            <w:r>
              <w:rPr>
                <w:sz w:val="24"/>
              </w:rPr>
              <w:t>10.2409%</w:t>
            </w:r>
          </w:p>
        </w:tc>
        <w:tc>
          <w:tcPr>
            <w:tcW w:w="1233" w:type="dxa"/>
            <w:vAlign w:val="center"/>
          </w:tcPr>
          <w:p w:rsidR="008711DE" w:rsidRDefault="00D676A6">
            <w:pPr>
              <w:jc w:val="center"/>
            </w:pPr>
            <w:r>
              <w:rPr>
                <w:sz w:val="24"/>
              </w:rPr>
              <w:t>0.0096%</w:t>
            </w:r>
          </w:p>
        </w:tc>
        <w:tc>
          <w:tcPr>
            <w:tcW w:w="1233" w:type="dxa"/>
            <w:vAlign w:val="center"/>
          </w:tcPr>
          <w:p w:rsidR="008711DE" w:rsidRDefault="00D676A6">
            <w:pPr>
              <w:jc w:val="center"/>
            </w:pPr>
            <w:r>
              <w:rPr>
                <w:sz w:val="24"/>
              </w:rPr>
              <w:t>4.0537%</w:t>
            </w:r>
          </w:p>
        </w:tc>
        <w:tc>
          <w:tcPr>
            <w:tcW w:w="1233" w:type="dxa"/>
            <w:vAlign w:val="center"/>
          </w:tcPr>
          <w:p w:rsidR="008711DE" w:rsidRDefault="00D676A6">
            <w:pPr>
              <w:jc w:val="center"/>
            </w:pPr>
            <w:r>
              <w:rPr>
                <w:sz w:val="24"/>
              </w:rPr>
              <w:t>0.0000%</w:t>
            </w:r>
          </w:p>
        </w:tc>
        <w:tc>
          <w:tcPr>
            <w:tcW w:w="1233" w:type="dxa"/>
            <w:vAlign w:val="center"/>
          </w:tcPr>
          <w:p w:rsidR="008711DE" w:rsidRDefault="00D676A6">
            <w:pPr>
              <w:jc w:val="center"/>
            </w:pPr>
            <w:r>
              <w:rPr>
                <w:sz w:val="24"/>
              </w:rPr>
              <w:t>6.1872%</w:t>
            </w:r>
          </w:p>
        </w:tc>
        <w:tc>
          <w:tcPr>
            <w:tcW w:w="1233" w:type="dxa"/>
            <w:vAlign w:val="center"/>
          </w:tcPr>
          <w:p w:rsidR="008711DE" w:rsidRDefault="00D676A6">
            <w:pPr>
              <w:jc w:val="center"/>
            </w:pPr>
            <w:r>
              <w:rPr>
                <w:sz w:val="24"/>
              </w:rPr>
              <w:t>0.0096%</w:t>
            </w:r>
          </w:p>
        </w:tc>
      </w:tr>
      <w:tr w:rsidR="008711DE">
        <w:tc>
          <w:tcPr>
            <w:tcW w:w="1600" w:type="dxa"/>
            <w:vAlign w:val="center"/>
          </w:tcPr>
          <w:p w:rsidR="008711DE" w:rsidRDefault="00D676A6">
            <w:pPr>
              <w:jc w:val="left"/>
            </w:pPr>
            <w:r>
              <w:rPr>
                <w:sz w:val="24"/>
              </w:rPr>
              <w:t>自基金合同生效起至今</w:t>
            </w:r>
          </w:p>
        </w:tc>
        <w:tc>
          <w:tcPr>
            <w:tcW w:w="1233" w:type="dxa"/>
            <w:vAlign w:val="center"/>
          </w:tcPr>
          <w:p w:rsidR="008711DE" w:rsidRDefault="00D676A6">
            <w:pPr>
              <w:jc w:val="center"/>
            </w:pPr>
            <w:r>
              <w:rPr>
                <w:sz w:val="24"/>
              </w:rPr>
              <w:t>11.3882%</w:t>
            </w:r>
          </w:p>
        </w:tc>
        <w:tc>
          <w:tcPr>
            <w:tcW w:w="1233" w:type="dxa"/>
            <w:vAlign w:val="center"/>
          </w:tcPr>
          <w:p w:rsidR="008711DE" w:rsidRDefault="00D676A6">
            <w:pPr>
              <w:jc w:val="center"/>
            </w:pPr>
            <w:r>
              <w:rPr>
                <w:sz w:val="24"/>
              </w:rPr>
              <w:t>0.0096%</w:t>
            </w:r>
          </w:p>
        </w:tc>
        <w:tc>
          <w:tcPr>
            <w:tcW w:w="1233" w:type="dxa"/>
            <w:vAlign w:val="center"/>
          </w:tcPr>
          <w:p w:rsidR="008711DE" w:rsidRDefault="00D676A6">
            <w:pPr>
              <w:jc w:val="center"/>
            </w:pPr>
            <w:r>
              <w:rPr>
                <w:sz w:val="24"/>
              </w:rPr>
              <w:t>4.4605%</w:t>
            </w:r>
          </w:p>
        </w:tc>
        <w:tc>
          <w:tcPr>
            <w:tcW w:w="1233" w:type="dxa"/>
            <w:vAlign w:val="center"/>
          </w:tcPr>
          <w:p w:rsidR="008711DE" w:rsidRDefault="00D676A6">
            <w:pPr>
              <w:jc w:val="center"/>
            </w:pPr>
            <w:r>
              <w:rPr>
                <w:sz w:val="24"/>
              </w:rPr>
              <w:t>0.0000%</w:t>
            </w:r>
          </w:p>
        </w:tc>
        <w:tc>
          <w:tcPr>
            <w:tcW w:w="1233" w:type="dxa"/>
            <w:vAlign w:val="center"/>
          </w:tcPr>
          <w:p w:rsidR="008711DE" w:rsidRDefault="00D676A6">
            <w:pPr>
              <w:jc w:val="center"/>
            </w:pPr>
            <w:r>
              <w:rPr>
                <w:sz w:val="24"/>
              </w:rPr>
              <w:t>6.9277%</w:t>
            </w:r>
          </w:p>
        </w:tc>
        <w:tc>
          <w:tcPr>
            <w:tcW w:w="1233" w:type="dxa"/>
            <w:vAlign w:val="center"/>
          </w:tcPr>
          <w:p w:rsidR="008711DE" w:rsidRDefault="00D676A6">
            <w:pPr>
              <w:jc w:val="center"/>
            </w:pPr>
            <w:r>
              <w:rPr>
                <w:sz w:val="24"/>
              </w:rPr>
              <w:t>0.0096%</w:t>
            </w:r>
          </w:p>
        </w:tc>
      </w:tr>
    </w:tbl>
    <w:p w:rsidR="008711DE" w:rsidRDefault="00D676A6">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8711DE" w:rsidRDefault="00D676A6">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Default="00223DFB" w:rsidP="00D676A6">
      <w:pPr>
        <w:tabs>
          <w:tab w:val="left" w:pos="426"/>
        </w:tabs>
        <w:spacing w:before="29" w:line="288" w:lineRule="auto"/>
        <w:ind w:firstLine="465"/>
        <w:jc w:val="left"/>
        <w:rPr>
          <w:kern w:val="0"/>
          <w:sz w:val="24"/>
        </w:rPr>
      </w:pPr>
      <w:r w:rsidRPr="0061644B">
        <w:rPr>
          <w:kern w:val="0"/>
          <w:sz w:val="24"/>
        </w:rPr>
        <w:t>3</w:t>
      </w:r>
      <w:r w:rsidRPr="0061644B">
        <w:rPr>
          <w:kern w:val="0"/>
          <w:sz w:val="24"/>
        </w:rPr>
        <w:t>、本基金的业绩比较基准为人民币七天通知存款税后利率。</w:t>
      </w:r>
    </w:p>
    <w:p w:rsidR="00D676A6" w:rsidRPr="00D676A6" w:rsidRDefault="00D676A6" w:rsidP="00D676A6">
      <w:pPr>
        <w:tabs>
          <w:tab w:val="left" w:pos="426"/>
        </w:tabs>
        <w:spacing w:before="29" w:line="288" w:lineRule="auto"/>
        <w:ind w:firstLine="465"/>
        <w:jc w:val="left"/>
        <w:rPr>
          <w:kern w:val="0"/>
          <w:sz w:val="24"/>
        </w:rPr>
      </w:pP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．交银理财</w:t>
      </w:r>
      <w:r w:rsidRPr="0061644B">
        <w:rPr>
          <w:rFonts w:ascii="Times New Roman" w:hAnsi="Times New Roman"/>
          <w:b/>
          <w:color w:val="auto"/>
        </w:rPr>
        <w:t>60</w:t>
      </w:r>
      <w:r w:rsidRPr="0061644B">
        <w:rPr>
          <w:rFonts w:ascii="Times New Roman" w:hAnsi="Times New Roman"/>
          <w:b/>
          <w:color w:val="auto"/>
        </w:rPr>
        <w:t>天债券</w:t>
      </w:r>
      <w:r w:rsidRPr="0061644B">
        <w:rPr>
          <w:rFonts w:ascii="Times New Roman" w:hAnsi="Times New Roman"/>
          <w:b/>
          <w:color w:val="auto"/>
        </w:rPr>
        <w:t>B</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8711DE">
        <w:tc>
          <w:tcPr>
            <w:tcW w:w="1600" w:type="dxa"/>
            <w:vAlign w:val="center"/>
          </w:tcPr>
          <w:p w:rsidR="008711DE" w:rsidRDefault="00D676A6">
            <w:pPr>
              <w:jc w:val="left"/>
            </w:pPr>
            <w:r>
              <w:rPr>
                <w:sz w:val="24"/>
              </w:rPr>
              <w:t>过去一个月</w:t>
            </w:r>
          </w:p>
        </w:tc>
        <w:tc>
          <w:tcPr>
            <w:tcW w:w="1233" w:type="dxa"/>
            <w:vAlign w:val="center"/>
          </w:tcPr>
          <w:p w:rsidR="008711DE" w:rsidRDefault="00D676A6">
            <w:pPr>
              <w:jc w:val="center"/>
            </w:pPr>
            <w:r>
              <w:rPr>
                <w:sz w:val="24"/>
              </w:rPr>
              <w:t>0.0000%</w:t>
            </w:r>
          </w:p>
        </w:tc>
        <w:tc>
          <w:tcPr>
            <w:tcW w:w="1233" w:type="dxa"/>
            <w:vAlign w:val="center"/>
          </w:tcPr>
          <w:p w:rsidR="008711DE" w:rsidRDefault="00D676A6">
            <w:pPr>
              <w:jc w:val="center"/>
            </w:pPr>
            <w:r>
              <w:rPr>
                <w:sz w:val="24"/>
              </w:rPr>
              <w:t>0.0000%</w:t>
            </w:r>
          </w:p>
        </w:tc>
        <w:tc>
          <w:tcPr>
            <w:tcW w:w="1233" w:type="dxa"/>
            <w:vAlign w:val="center"/>
          </w:tcPr>
          <w:p w:rsidR="008711DE" w:rsidRDefault="00D676A6">
            <w:pPr>
              <w:jc w:val="center"/>
            </w:pPr>
            <w:r>
              <w:rPr>
                <w:sz w:val="24"/>
              </w:rPr>
              <w:t>0.1110%</w:t>
            </w:r>
          </w:p>
        </w:tc>
        <w:tc>
          <w:tcPr>
            <w:tcW w:w="1233" w:type="dxa"/>
            <w:vAlign w:val="center"/>
          </w:tcPr>
          <w:p w:rsidR="008711DE" w:rsidRDefault="00D676A6">
            <w:pPr>
              <w:jc w:val="center"/>
            </w:pPr>
            <w:r>
              <w:rPr>
                <w:sz w:val="24"/>
              </w:rPr>
              <w:t>0.0000%</w:t>
            </w:r>
          </w:p>
        </w:tc>
        <w:tc>
          <w:tcPr>
            <w:tcW w:w="1233" w:type="dxa"/>
            <w:vAlign w:val="center"/>
          </w:tcPr>
          <w:p w:rsidR="008711DE" w:rsidRDefault="00D676A6">
            <w:pPr>
              <w:jc w:val="center"/>
            </w:pPr>
            <w:r>
              <w:rPr>
                <w:sz w:val="24"/>
              </w:rPr>
              <w:t>-0.1110%</w:t>
            </w:r>
          </w:p>
        </w:tc>
        <w:tc>
          <w:tcPr>
            <w:tcW w:w="1233" w:type="dxa"/>
            <w:vAlign w:val="center"/>
          </w:tcPr>
          <w:p w:rsidR="008711DE" w:rsidRDefault="00D676A6">
            <w:pPr>
              <w:jc w:val="center"/>
            </w:pPr>
            <w:r>
              <w:rPr>
                <w:sz w:val="24"/>
              </w:rPr>
              <w:t>0.0000%</w:t>
            </w:r>
          </w:p>
        </w:tc>
      </w:tr>
      <w:tr w:rsidR="008711DE">
        <w:tc>
          <w:tcPr>
            <w:tcW w:w="1600" w:type="dxa"/>
            <w:vAlign w:val="center"/>
          </w:tcPr>
          <w:p w:rsidR="008711DE" w:rsidRDefault="00D676A6">
            <w:pPr>
              <w:jc w:val="left"/>
            </w:pPr>
            <w:r>
              <w:rPr>
                <w:sz w:val="24"/>
              </w:rPr>
              <w:t>过去三个月</w:t>
            </w:r>
          </w:p>
        </w:tc>
        <w:tc>
          <w:tcPr>
            <w:tcW w:w="1233" w:type="dxa"/>
            <w:vAlign w:val="center"/>
          </w:tcPr>
          <w:p w:rsidR="008711DE" w:rsidRDefault="00D676A6">
            <w:pPr>
              <w:jc w:val="center"/>
            </w:pPr>
            <w:r>
              <w:rPr>
                <w:sz w:val="24"/>
              </w:rPr>
              <w:t>0.0538%</w:t>
            </w:r>
          </w:p>
        </w:tc>
        <w:tc>
          <w:tcPr>
            <w:tcW w:w="1233" w:type="dxa"/>
            <w:vAlign w:val="center"/>
          </w:tcPr>
          <w:p w:rsidR="008711DE" w:rsidRDefault="00D676A6">
            <w:pPr>
              <w:jc w:val="center"/>
            </w:pPr>
            <w:r>
              <w:rPr>
                <w:sz w:val="24"/>
              </w:rPr>
              <w:t>0.0017%</w:t>
            </w:r>
          </w:p>
        </w:tc>
        <w:tc>
          <w:tcPr>
            <w:tcW w:w="1233" w:type="dxa"/>
            <w:vAlign w:val="center"/>
          </w:tcPr>
          <w:p w:rsidR="008711DE" w:rsidRDefault="00D676A6">
            <w:pPr>
              <w:jc w:val="center"/>
            </w:pPr>
            <w:r>
              <w:rPr>
                <w:sz w:val="24"/>
              </w:rPr>
              <w:t>0.3366%</w:t>
            </w:r>
          </w:p>
        </w:tc>
        <w:tc>
          <w:tcPr>
            <w:tcW w:w="1233" w:type="dxa"/>
            <w:vAlign w:val="center"/>
          </w:tcPr>
          <w:p w:rsidR="008711DE" w:rsidRDefault="00D676A6">
            <w:pPr>
              <w:jc w:val="center"/>
            </w:pPr>
            <w:r>
              <w:rPr>
                <w:sz w:val="24"/>
              </w:rPr>
              <w:t>0.0000%</w:t>
            </w:r>
          </w:p>
        </w:tc>
        <w:tc>
          <w:tcPr>
            <w:tcW w:w="1233" w:type="dxa"/>
            <w:vAlign w:val="center"/>
          </w:tcPr>
          <w:p w:rsidR="008711DE" w:rsidRDefault="00D676A6">
            <w:pPr>
              <w:jc w:val="center"/>
            </w:pPr>
            <w:r>
              <w:rPr>
                <w:sz w:val="24"/>
              </w:rPr>
              <w:t>-0.2828%</w:t>
            </w:r>
          </w:p>
        </w:tc>
        <w:tc>
          <w:tcPr>
            <w:tcW w:w="1233" w:type="dxa"/>
            <w:vAlign w:val="center"/>
          </w:tcPr>
          <w:p w:rsidR="008711DE" w:rsidRDefault="00D676A6">
            <w:pPr>
              <w:jc w:val="center"/>
            </w:pPr>
            <w:r>
              <w:rPr>
                <w:sz w:val="24"/>
              </w:rPr>
              <w:t>0.0017%</w:t>
            </w:r>
          </w:p>
        </w:tc>
      </w:tr>
      <w:tr w:rsidR="008711DE">
        <w:tc>
          <w:tcPr>
            <w:tcW w:w="1600" w:type="dxa"/>
            <w:vAlign w:val="center"/>
          </w:tcPr>
          <w:p w:rsidR="008711DE" w:rsidRDefault="00D676A6">
            <w:pPr>
              <w:jc w:val="left"/>
            </w:pPr>
            <w:r>
              <w:rPr>
                <w:sz w:val="24"/>
              </w:rPr>
              <w:t>过去六个月</w:t>
            </w:r>
          </w:p>
        </w:tc>
        <w:tc>
          <w:tcPr>
            <w:tcW w:w="1233" w:type="dxa"/>
            <w:vAlign w:val="center"/>
          </w:tcPr>
          <w:p w:rsidR="008711DE" w:rsidRDefault="00D676A6">
            <w:pPr>
              <w:jc w:val="center"/>
            </w:pPr>
            <w:r>
              <w:rPr>
                <w:sz w:val="24"/>
              </w:rPr>
              <w:t>0.4919%</w:t>
            </w:r>
          </w:p>
        </w:tc>
        <w:tc>
          <w:tcPr>
            <w:tcW w:w="1233" w:type="dxa"/>
            <w:vAlign w:val="center"/>
          </w:tcPr>
          <w:p w:rsidR="008711DE" w:rsidRDefault="00D676A6">
            <w:pPr>
              <w:jc w:val="center"/>
            </w:pPr>
            <w:r>
              <w:rPr>
                <w:sz w:val="24"/>
              </w:rPr>
              <w:t>0.0031%</w:t>
            </w:r>
          </w:p>
        </w:tc>
        <w:tc>
          <w:tcPr>
            <w:tcW w:w="1233" w:type="dxa"/>
            <w:vAlign w:val="center"/>
          </w:tcPr>
          <w:p w:rsidR="008711DE" w:rsidRDefault="00D676A6">
            <w:pPr>
              <w:jc w:val="center"/>
            </w:pPr>
            <w:r>
              <w:rPr>
                <w:sz w:val="24"/>
              </w:rPr>
              <w:t>0.6732%</w:t>
            </w:r>
          </w:p>
        </w:tc>
        <w:tc>
          <w:tcPr>
            <w:tcW w:w="1233" w:type="dxa"/>
            <w:vAlign w:val="center"/>
          </w:tcPr>
          <w:p w:rsidR="008711DE" w:rsidRDefault="00D676A6">
            <w:pPr>
              <w:jc w:val="center"/>
            </w:pPr>
            <w:r>
              <w:rPr>
                <w:sz w:val="24"/>
              </w:rPr>
              <w:t>0.0000%</w:t>
            </w:r>
          </w:p>
        </w:tc>
        <w:tc>
          <w:tcPr>
            <w:tcW w:w="1233" w:type="dxa"/>
            <w:vAlign w:val="center"/>
          </w:tcPr>
          <w:p w:rsidR="008711DE" w:rsidRDefault="00D676A6">
            <w:pPr>
              <w:jc w:val="center"/>
            </w:pPr>
            <w:r>
              <w:rPr>
                <w:sz w:val="24"/>
              </w:rPr>
              <w:t>-0.1813%</w:t>
            </w:r>
          </w:p>
        </w:tc>
        <w:tc>
          <w:tcPr>
            <w:tcW w:w="1233" w:type="dxa"/>
            <w:vAlign w:val="center"/>
          </w:tcPr>
          <w:p w:rsidR="008711DE" w:rsidRDefault="00D676A6">
            <w:pPr>
              <w:jc w:val="center"/>
            </w:pPr>
            <w:r>
              <w:rPr>
                <w:sz w:val="24"/>
              </w:rPr>
              <w:t>0.0031%</w:t>
            </w:r>
          </w:p>
        </w:tc>
      </w:tr>
      <w:tr w:rsidR="008711DE">
        <w:tc>
          <w:tcPr>
            <w:tcW w:w="1600" w:type="dxa"/>
            <w:vAlign w:val="center"/>
          </w:tcPr>
          <w:p w:rsidR="008711DE" w:rsidRDefault="00D676A6">
            <w:pPr>
              <w:jc w:val="left"/>
            </w:pPr>
            <w:r>
              <w:rPr>
                <w:sz w:val="24"/>
              </w:rPr>
              <w:t>过去一年</w:t>
            </w:r>
          </w:p>
        </w:tc>
        <w:tc>
          <w:tcPr>
            <w:tcW w:w="1233" w:type="dxa"/>
            <w:vAlign w:val="center"/>
          </w:tcPr>
          <w:p w:rsidR="008711DE" w:rsidRDefault="00D676A6">
            <w:pPr>
              <w:jc w:val="center"/>
            </w:pPr>
            <w:r>
              <w:rPr>
                <w:sz w:val="24"/>
              </w:rPr>
              <w:t>1.6596%</w:t>
            </w:r>
          </w:p>
        </w:tc>
        <w:tc>
          <w:tcPr>
            <w:tcW w:w="1233" w:type="dxa"/>
            <w:vAlign w:val="center"/>
          </w:tcPr>
          <w:p w:rsidR="008711DE" w:rsidRDefault="00D676A6">
            <w:pPr>
              <w:jc w:val="center"/>
            </w:pPr>
            <w:r>
              <w:rPr>
                <w:sz w:val="24"/>
              </w:rPr>
              <w:t>0.0035%</w:t>
            </w:r>
          </w:p>
        </w:tc>
        <w:tc>
          <w:tcPr>
            <w:tcW w:w="1233" w:type="dxa"/>
            <w:vAlign w:val="center"/>
          </w:tcPr>
          <w:p w:rsidR="008711DE" w:rsidRDefault="00D676A6">
            <w:pPr>
              <w:jc w:val="center"/>
            </w:pPr>
            <w:r>
              <w:rPr>
                <w:sz w:val="24"/>
              </w:rPr>
              <w:t>1.3537%</w:t>
            </w:r>
          </w:p>
        </w:tc>
        <w:tc>
          <w:tcPr>
            <w:tcW w:w="1233" w:type="dxa"/>
            <w:vAlign w:val="center"/>
          </w:tcPr>
          <w:p w:rsidR="008711DE" w:rsidRDefault="00D676A6">
            <w:pPr>
              <w:jc w:val="center"/>
            </w:pPr>
            <w:r>
              <w:rPr>
                <w:sz w:val="24"/>
              </w:rPr>
              <w:t>0.0000%</w:t>
            </w:r>
          </w:p>
        </w:tc>
        <w:tc>
          <w:tcPr>
            <w:tcW w:w="1233" w:type="dxa"/>
            <w:vAlign w:val="center"/>
          </w:tcPr>
          <w:p w:rsidR="008711DE" w:rsidRDefault="00D676A6">
            <w:pPr>
              <w:jc w:val="center"/>
            </w:pPr>
            <w:r>
              <w:rPr>
                <w:sz w:val="24"/>
              </w:rPr>
              <w:t>0.3059%</w:t>
            </w:r>
          </w:p>
        </w:tc>
        <w:tc>
          <w:tcPr>
            <w:tcW w:w="1233" w:type="dxa"/>
            <w:vAlign w:val="center"/>
          </w:tcPr>
          <w:p w:rsidR="008711DE" w:rsidRDefault="00D676A6">
            <w:pPr>
              <w:jc w:val="center"/>
            </w:pPr>
            <w:r>
              <w:rPr>
                <w:sz w:val="24"/>
              </w:rPr>
              <w:t>0.0035%</w:t>
            </w:r>
          </w:p>
        </w:tc>
      </w:tr>
      <w:tr w:rsidR="008711DE">
        <w:tc>
          <w:tcPr>
            <w:tcW w:w="1600" w:type="dxa"/>
            <w:vAlign w:val="center"/>
          </w:tcPr>
          <w:p w:rsidR="008711DE" w:rsidRDefault="00D676A6">
            <w:pPr>
              <w:jc w:val="left"/>
            </w:pPr>
            <w:r>
              <w:rPr>
                <w:sz w:val="24"/>
              </w:rPr>
              <w:t>过去三年</w:t>
            </w:r>
          </w:p>
        </w:tc>
        <w:tc>
          <w:tcPr>
            <w:tcW w:w="1233" w:type="dxa"/>
            <w:vAlign w:val="center"/>
          </w:tcPr>
          <w:p w:rsidR="008711DE" w:rsidRDefault="00D676A6">
            <w:pPr>
              <w:jc w:val="center"/>
            </w:pPr>
            <w:r>
              <w:rPr>
                <w:sz w:val="24"/>
              </w:rPr>
              <w:t>8.5764%</w:t>
            </w:r>
          </w:p>
        </w:tc>
        <w:tc>
          <w:tcPr>
            <w:tcW w:w="1233" w:type="dxa"/>
            <w:vAlign w:val="center"/>
          </w:tcPr>
          <w:p w:rsidR="008711DE" w:rsidRDefault="00D676A6">
            <w:pPr>
              <w:jc w:val="center"/>
            </w:pPr>
            <w:r>
              <w:rPr>
                <w:sz w:val="24"/>
              </w:rPr>
              <w:t>0.0099%</w:t>
            </w:r>
          </w:p>
        </w:tc>
        <w:tc>
          <w:tcPr>
            <w:tcW w:w="1233" w:type="dxa"/>
            <w:vAlign w:val="center"/>
          </w:tcPr>
          <w:p w:rsidR="008711DE" w:rsidRDefault="00D676A6">
            <w:pPr>
              <w:jc w:val="center"/>
            </w:pPr>
            <w:r>
              <w:rPr>
                <w:sz w:val="24"/>
              </w:rPr>
              <w:t>4.0537%</w:t>
            </w:r>
          </w:p>
        </w:tc>
        <w:tc>
          <w:tcPr>
            <w:tcW w:w="1233" w:type="dxa"/>
            <w:vAlign w:val="center"/>
          </w:tcPr>
          <w:p w:rsidR="008711DE" w:rsidRDefault="00D676A6">
            <w:pPr>
              <w:jc w:val="center"/>
            </w:pPr>
            <w:r>
              <w:rPr>
                <w:sz w:val="24"/>
              </w:rPr>
              <w:t>0.0000%</w:t>
            </w:r>
          </w:p>
        </w:tc>
        <w:tc>
          <w:tcPr>
            <w:tcW w:w="1233" w:type="dxa"/>
            <w:vAlign w:val="center"/>
          </w:tcPr>
          <w:p w:rsidR="008711DE" w:rsidRDefault="00D676A6">
            <w:pPr>
              <w:jc w:val="center"/>
            </w:pPr>
            <w:r>
              <w:rPr>
                <w:sz w:val="24"/>
              </w:rPr>
              <w:t>4.5227%</w:t>
            </w:r>
          </w:p>
        </w:tc>
        <w:tc>
          <w:tcPr>
            <w:tcW w:w="1233" w:type="dxa"/>
            <w:vAlign w:val="center"/>
          </w:tcPr>
          <w:p w:rsidR="008711DE" w:rsidRDefault="00D676A6">
            <w:pPr>
              <w:jc w:val="center"/>
            </w:pPr>
            <w:r>
              <w:rPr>
                <w:sz w:val="24"/>
              </w:rPr>
              <w:t>0.0099%</w:t>
            </w:r>
          </w:p>
        </w:tc>
      </w:tr>
      <w:tr w:rsidR="008711DE">
        <w:tc>
          <w:tcPr>
            <w:tcW w:w="1600" w:type="dxa"/>
            <w:vAlign w:val="center"/>
          </w:tcPr>
          <w:p w:rsidR="008711DE" w:rsidRDefault="00D676A6">
            <w:pPr>
              <w:jc w:val="left"/>
            </w:pPr>
            <w:r>
              <w:rPr>
                <w:sz w:val="24"/>
              </w:rPr>
              <w:t>自基金合同生效起至今</w:t>
            </w:r>
          </w:p>
        </w:tc>
        <w:tc>
          <w:tcPr>
            <w:tcW w:w="1233" w:type="dxa"/>
            <w:vAlign w:val="center"/>
          </w:tcPr>
          <w:p w:rsidR="008711DE" w:rsidRDefault="00D676A6">
            <w:pPr>
              <w:jc w:val="center"/>
            </w:pPr>
            <w:r>
              <w:rPr>
                <w:sz w:val="24"/>
              </w:rPr>
              <w:t>9.2651%</w:t>
            </w:r>
          </w:p>
        </w:tc>
        <w:tc>
          <w:tcPr>
            <w:tcW w:w="1233" w:type="dxa"/>
            <w:vAlign w:val="center"/>
          </w:tcPr>
          <w:p w:rsidR="008711DE" w:rsidRDefault="00D676A6">
            <w:pPr>
              <w:jc w:val="center"/>
            </w:pPr>
            <w:r>
              <w:rPr>
                <w:sz w:val="24"/>
              </w:rPr>
              <w:t>0.0097%</w:t>
            </w:r>
          </w:p>
        </w:tc>
        <w:tc>
          <w:tcPr>
            <w:tcW w:w="1233" w:type="dxa"/>
            <w:vAlign w:val="center"/>
          </w:tcPr>
          <w:p w:rsidR="008711DE" w:rsidRDefault="00D676A6">
            <w:pPr>
              <w:jc w:val="center"/>
            </w:pPr>
            <w:r>
              <w:rPr>
                <w:sz w:val="24"/>
              </w:rPr>
              <w:t>4.4605%</w:t>
            </w:r>
          </w:p>
        </w:tc>
        <w:tc>
          <w:tcPr>
            <w:tcW w:w="1233" w:type="dxa"/>
            <w:vAlign w:val="center"/>
          </w:tcPr>
          <w:p w:rsidR="008711DE" w:rsidRDefault="00D676A6">
            <w:pPr>
              <w:jc w:val="center"/>
            </w:pPr>
            <w:r>
              <w:rPr>
                <w:sz w:val="24"/>
              </w:rPr>
              <w:t>0.0000%</w:t>
            </w:r>
          </w:p>
        </w:tc>
        <w:tc>
          <w:tcPr>
            <w:tcW w:w="1233" w:type="dxa"/>
            <w:vAlign w:val="center"/>
          </w:tcPr>
          <w:p w:rsidR="008711DE" w:rsidRDefault="00D676A6">
            <w:pPr>
              <w:jc w:val="center"/>
            </w:pPr>
            <w:r>
              <w:rPr>
                <w:sz w:val="24"/>
              </w:rPr>
              <w:t>4.8046%</w:t>
            </w:r>
          </w:p>
        </w:tc>
        <w:tc>
          <w:tcPr>
            <w:tcW w:w="1233" w:type="dxa"/>
            <w:vAlign w:val="center"/>
          </w:tcPr>
          <w:p w:rsidR="008711DE" w:rsidRDefault="00D676A6">
            <w:pPr>
              <w:jc w:val="center"/>
            </w:pPr>
            <w:r>
              <w:rPr>
                <w:sz w:val="24"/>
              </w:rPr>
              <w:t>0.0097%</w:t>
            </w:r>
          </w:p>
        </w:tc>
      </w:tr>
    </w:tbl>
    <w:p w:rsidR="008711DE" w:rsidRDefault="00D676A6">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8711DE" w:rsidRDefault="00D676A6">
      <w:pPr>
        <w:tabs>
          <w:tab w:val="left" w:pos="426"/>
        </w:tabs>
        <w:spacing w:before="29" w:line="288" w:lineRule="auto"/>
        <w:jc w:val="left"/>
        <w:rPr>
          <w:kern w:val="0"/>
          <w:sz w:val="24"/>
        </w:rPr>
      </w:pPr>
      <w:r>
        <w:rPr>
          <w:kern w:val="0"/>
          <w:sz w:val="24"/>
        </w:rPr>
        <w:lastRenderedPageBreak/>
        <w:t xml:space="preserve">    2</w:t>
      </w:r>
      <w:r>
        <w:rPr>
          <w:kern w:val="0"/>
          <w:sz w:val="24"/>
        </w:rPr>
        <w:t>、本基金每日计算当日收益并分配，并在运作期期末集中支付。</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、本基金的业绩比较基准为人民币七天通知存款税后利率。</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交银施罗德理财</w:t>
      </w:r>
      <w:r w:rsidRPr="0061644B">
        <w:rPr>
          <w:sz w:val="24"/>
        </w:rPr>
        <w:t>60</w:t>
      </w:r>
      <w:r w:rsidRPr="0061644B">
        <w:rPr>
          <w:sz w:val="24"/>
        </w:rPr>
        <w:t>天债券型证券投资基金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2013</w:t>
      </w:r>
      <w:r w:rsidR="00223DFB" w:rsidRPr="0061644B">
        <w:rPr>
          <w:sz w:val="24"/>
        </w:rPr>
        <w:t>年</w:t>
      </w:r>
      <w:r w:rsidR="00223DFB" w:rsidRPr="0061644B">
        <w:rPr>
          <w:sz w:val="24"/>
        </w:rPr>
        <w:t>3</w:t>
      </w:r>
      <w:r w:rsidR="00223DFB" w:rsidRPr="0061644B">
        <w:rPr>
          <w:sz w:val="24"/>
        </w:rPr>
        <w:t>月</w:t>
      </w:r>
      <w:r w:rsidR="00223DFB" w:rsidRPr="0061644B">
        <w:rPr>
          <w:sz w:val="24"/>
        </w:rPr>
        <w:t>13</w:t>
      </w:r>
      <w:r w:rsidR="00223DFB" w:rsidRPr="0061644B">
        <w:rPr>
          <w:sz w:val="24"/>
        </w:rPr>
        <w:t>日至</w:t>
      </w:r>
      <w:r w:rsidR="00223DFB" w:rsidRPr="0061644B">
        <w:rPr>
          <w:sz w:val="24"/>
        </w:rPr>
        <w:t>2016</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交银理财</w:t>
      </w:r>
      <w:r w:rsidR="00CF7572" w:rsidRPr="0061644B">
        <w:rPr>
          <w:sz w:val="24"/>
        </w:rPr>
        <w:t>60</w:t>
      </w:r>
      <w:r w:rsidR="00CF7572" w:rsidRPr="0061644B">
        <w:rPr>
          <w:sz w:val="24"/>
        </w:rPr>
        <w:t>天债券</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spacing w:before="29" w:line="288" w:lineRule="auto"/>
        <w:jc w:val="left"/>
        <w:rPr>
          <w:kern w:val="0"/>
          <w:sz w:val="24"/>
        </w:rPr>
      </w:pPr>
      <w:r w:rsidRPr="0061644B">
        <w:rPr>
          <w:kern w:val="0"/>
          <w:sz w:val="24"/>
        </w:rPr>
        <w:t>注：本基金建仓期为自基金合同生效日起的</w:t>
      </w:r>
      <w:r w:rsidRPr="0061644B">
        <w:rPr>
          <w:kern w:val="0"/>
          <w:sz w:val="24"/>
        </w:rPr>
        <w:t>2</w:t>
      </w:r>
      <w:r w:rsidRPr="0061644B">
        <w:rPr>
          <w:kern w:val="0"/>
          <w:sz w:val="24"/>
        </w:rPr>
        <w:t>个月。截至建仓期结束，本基金各项资产配置比例符合基金合同及招募说明书有关投资比例的约定。</w:t>
      </w: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交银理财</w:t>
      </w:r>
      <w:r w:rsidR="00223DFB" w:rsidRPr="0061644B">
        <w:rPr>
          <w:sz w:val="24"/>
        </w:rPr>
        <w:t>60</w:t>
      </w:r>
      <w:r w:rsidR="00223DFB" w:rsidRPr="0061644B">
        <w:rPr>
          <w:sz w:val="24"/>
        </w:rPr>
        <w:t>天债券</w:t>
      </w:r>
      <w:r w:rsidR="00223DFB" w:rsidRPr="0061644B">
        <w:rPr>
          <w:sz w:val="24"/>
        </w:rPr>
        <w:t>B</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注：本基金建仓期为自基金合同生效日起的</w:t>
      </w:r>
      <w:r w:rsidRPr="0061644B">
        <w:rPr>
          <w:kern w:val="0"/>
          <w:sz w:val="24"/>
        </w:rPr>
        <w:t>2</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CE2B75">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8711DE" w:rsidRDefault="00D676A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截至报告期末，公司管理了包括货币型、债券型、保本混合型、普通混合型和股票型在内的</w:t>
      </w:r>
      <w:r w:rsidRPr="0061644B">
        <w:rPr>
          <w:color w:val="000000"/>
          <w:sz w:val="24"/>
        </w:rPr>
        <w:t>54</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8711DE">
        <w:tc>
          <w:tcPr>
            <w:tcW w:w="1032" w:type="dxa"/>
            <w:vAlign w:val="center"/>
          </w:tcPr>
          <w:p w:rsidR="008711DE" w:rsidRDefault="00D676A6">
            <w:pPr>
              <w:jc w:val="center"/>
            </w:pPr>
            <w:r>
              <w:rPr>
                <w:sz w:val="24"/>
              </w:rPr>
              <w:t>连端清</w:t>
            </w:r>
          </w:p>
        </w:tc>
        <w:tc>
          <w:tcPr>
            <w:tcW w:w="1019" w:type="dxa"/>
            <w:vAlign w:val="center"/>
          </w:tcPr>
          <w:p w:rsidR="008711DE" w:rsidRDefault="00D676A6">
            <w:pPr>
              <w:jc w:val="center"/>
            </w:pPr>
            <w:r>
              <w:rPr>
                <w:sz w:val="24"/>
              </w:rPr>
              <w:t>交银货币、交银理财</w:t>
            </w:r>
            <w:r>
              <w:rPr>
                <w:sz w:val="24"/>
              </w:rPr>
              <w:t>60</w:t>
            </w:r>
            <w:r>
              <w:rPr>
                <w:sz w:val="24"/>
              </w:rPr>
              <w:t>天债券、交银丰盈收益债券、交银现金宝货币、交银丰润收益债券的基金经理</w:t>
            </w:r>
          </w:p>
        </w:tc>
        <w:tc>
          <w:tcPr>
            <w:tcW w:w="1523" w:type="dxa"/>
            <w:vAlign w:val="center"/>
          </w:tcPr>
          <w:p w:rsidR="008711DE" w:rsidRDefault="00D676A6">
            <w:pPr>
              <w:jc w:val="center"/>
            </w:pPr>
            <w:r>
              <w:rPr>
                <w:sz w:val="24"/>
              </w:rPr>
              <w:t>2015-10-16</w:t>
            </w:r>
          </w:p>
        </w:tc>
        <w:tc>
          <w:tcPr>
            <w:tcW w:w="1192" w:type="dxa"/>
            <w:vAlign w:val="center"/>
          </w:tcPr>
          <w:p w:rsidR="008711DE" w:rsidRDefault="00D676A6">
            <w:pPr>
              <w:jc w:val="center"/>
            </w:pPr>
            <w:r>
              <w:rPr>
                <w:sz w:val="24"/>
              </w:rPr>
              <w:t>-</w:t>
            </w:r>
          </w:p>
        </w:tc>
        <w:tc>
          <w:tcPr>
            <w:tcW w:w="1192" w:type="dxa"/>
            <w:vAlign w:val="center"/>
          </w:tcPr>
          <w:p w:rsidR="008711DE" w:rsidRDefault="00D676A6">
            <w:pPr>
              <w:jc w:val="center"/>
            </w:pPr>
            <w:r>
              <w:rPr>
                <w:sz w:val="24"/>
              </w:rPr>
              <w:t>5</w:t>
            </w:r>
            <w:r>
              <w:rPr>
                <w:sz w:val="24"/>
              </w:rPr>
              <w:t>年</w:t>
            </w:r>
          </w:p>
        </w:tc>
        <w:tc>
          <w:tcPr>
            <w:tcW w:w="3040" w:type="dxa"/>
            <w:vAlign w:val="center"/>
          </w:tcPr>
          <w:p w:rsidR="008711DE" w:rsidRDefault="00D676A6">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p>
        </w:tc>
      </w:tr>
    </w:tbl>
    <w:p w:rsidR="008711DE" w:rsidRDefault="00D676A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711DE" w:rsidRDefault="00D676A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8711DE" w:rsidRDefault="00D676A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8711DE" w:rsidRDefault="00D676A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711DE" w:rsidRDefault="00D676A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w:t>
      </w:r>
      <w:r>
        <w:rPr>
          <w:color w:val="000000"/>
          <w:sz w:val="24"/>
        </w:rPr>
        <w:lastRenderedPageBreak/>
        <w:t>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711DE" w:rsidRDefault="00D676A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本基金于本报告期内未发现异常交易行为。本报告期内，本公司管理的所有投资组合参与的交易所公开竞价同日反向交易成交较少的单边交易量超过该证券当日总成交量</w:t>
      </w:r>
      <w:r w:rsidRPr="0061644B">
        <w:rPr>
          <w:color w:val="000000"/>
          <w:sz w:val="24"/>
        </w:rPr>
        <w:t>5%</w:t>
      </w:r>
      <w:r w:rsidRPr="0061644B">
        <w:rPr>
          <w:color w:val="000000"/>
          <w:sz w:val="24"/>
        </w:rPr>
        <w:t>的情况有</w:t>
      </w:r>
      <w:r w:rsidRPr="0061644B">
        <w:rPr>
          <w:color w:val="000000"/>
          <w:sz w:val="24"/>
        </w:rPr>
        <w:t>1</w:t>
      </w:r>
      <w:r w:rsidRPr="0061644B">
        <w:rPr>
          <w:color w:val="000000"/>
          <w:sz w:val="24"/>
        </w:rPr>
        <w:t>次，是投资组合在合规范围内因被动超标调整需要而发生同日反向交易，未发现不公平交易和利益输送的情况。本基金与本公司管理的其他投资组合在不同时间窗下（如日内、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日内）同向交易的交易价差未发现异常。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8711DE" w:rsidRDefault="00D676A6">
      <w:pPr>
        <w:spacing w:before="29" w:line="288" w:lineRule="auto"/>
        <w:ind w:firstLineChars="200" w:firstLine="480"/>
        <w:rPr>
          <w:color w:val="000000"/>
          <w:sz w:val="24"/>
        </w:rPr>
      </w:pPr>
      <w:r>
        <w:rPr>
          <w:color w:val="000000"/>
          <w:sz w:val="24"/>
        </w:rPr>
        <w:t>一季度受信贷投放较大、央行</w:t>
      </w:r>
      <w:r>
        <w:rPr>
          <w:color w:val="000000"/>
          <w:sz w:val="24"/>
        </w:rPr>
        <w:t>MPA</w:t>
      </w:r>
      <w:r>
        <w:rPr>
          <w:color w:val="000000"/>
          <w:sz w:val="24"/>
        </w:rPr>
        <w:t>季末考核等影响，市场资金面出现多次结构性趋紧。但二季度在央行呵护下资金面整体上相对宽松。受宏观经济、货币政策及信用事件影响，上半年债市走势可谓腾挪跌宕。一季度受经济回暖及央行宽松力度低于预期等影响，利率债出现震荡回调走势。但在旺盛的配置需求下，高评级信用债震荡下行，低评级中短期限信用债大幅下行。</w:t>
      </w:r>
      <w:r>
        <w:rPr>
          <w:color w:val="000000"/>
          <w:sz w:val="24"/>
        </w:rPr>
        <w:t>4</w:t>
      </w:r>
      <w:r>
        <w:rPr>
          <w:color w:val="000000"/>
          <w:sz w:val="24"/>
        </w:rPr>
        <w:t>月份，受中铁物资等信用违约事件超预期影响，政金债及信用债收益率快速大幅回调。</w:t>
      </w:r>
      <w:r>
        <w:rPr>
          <w:color w:val="000000"/>
          <w:sz w:val="24"/>
        </w:rPr>
        <w:t>5</w:t>
      </w:r>
      <w:r>
        <w:rPr>
          <w:color w:val="000000"/>
          <w:sz w:val="24"/>
        </w:rPr>
        <w:t>月份及</w:t>
      </w:r>
      <w:r>
        <w:rPr>
          <w:color w:val="000000"/>
          <w:sz w:val="24"/>
        </w:rPr>
        <w:t>6</w:t>
      </w:r>
      <w:r>
        <w:rPr>
          <w:color w:val="000000"/>
          <w:sz w:val="24"/>
        </w:rPr>
        <w:t>月份，债市迎来诸多利好，经济走弱，信用事件相对平稳，市场资金面宽松，同时在美联储加息预期减弱及英国退欧风险冲击下，债市再度上涨。</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基金操作方面，报告期内本基金规模较小，卖出信用债券，在资产类别配置上以同业存款及利率债为主，同时符合各项风控要求。</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本报告期内，交银理财</w:t>
      </w:r>
      <w:r w:rsidRPr="0061644B">
        <w:rPr>
          <w:color w:val="000000"/>
          <w:sz w:val="24"/>
        </w:rPr>
        <w:t>60</w:t>
      </w:r>
      <w:r w:rsidRPr="0061644B">
        <w:rPr>
          <w:color w:val="000000"/>
          <w:sz w:val="24"/>
        </w:rPr>
        <w:t>天债券</w:t>
      </w:r>
      <w:r w:rsidRPr="0061644B">
        <w:rPr>
          <w:color w:val="000000"/>
          <w:sz w:val="24"/>
        </w:rPr>
        <w:t>A</w:t>
      </w:r>
      <w:r w:rsidRPr="0061644B">
        <w:rPr>
          <w:color w:val="000000"/>
          <w:sz w:val="24"/>
        </w:rPr>
        <w:t>净值收益率为</w:t>
      </w:r>
      <w:r w:rsidRPr="0061644B">
        <w:rPr>
          <w:color w:val="000000"/>
          <w:sz w:val="24"/>
        </w:rPr>
        <w:t>0.7050%</w:t>
      </w:r>
      <w:r w:rsidRPr="0061644B">
        <w:rPr>
          <w:color w:val="000000"/>
          <w:sz w:val="24"/>
        </w:rPr>
        <w:t>，交银理财</w:t>
      </w:r>
      <w:r w:rsidRPr="0061644B">
        <w:rPr>
          <w:color w:val="000000"/>
          <w:sz w:val="24"/>
        </w:rPr>
        <w:t>60</w:t>
      </w:r>
      <w:r w:rsidRPr="0061644B">
        <w:rPr>
          <w:color w:val="000000"/>
          <w:sz w:val="24"/>
        </w:rPr>
        <w:t>天债券</w:t>
      </w:r>
      <w:r w:rsidRPr="0061644B">
        <w:rPr>
          <w:color w:val="000000"/>
          <w:sz w:val="24"/>
        </w:rPr>
        <w:t>B</w:t>
      </w:r>
      <w:r w:rsidRPr="0061644B">
        <w:rPr>
          <w:color w:val="000000"/>
          <w:sz w:val="24"/>
        </w:rPr>
        <w:t>净值收益率</w:t>
      </w:r>
      <w:r w:rsidRPr="0061644B">
        <w:rPr>
          <w:color w:val="000000"/>
          <w:sz w:val="24"/>
        </w:rPr>
        <w:t>0.4919%</w:t>
      </w:r>
      <w:r w:rsidRPr="0061644B">
        <w:rPr>
          <w:color w:val="000000"/>
          <w:sz w:val="24"/>
        </w:rPr>
        <w:t>，同期业绩比较基准增长率为</w:t>
      </w:r>
      <w:r w:rsidRPr="0061644B">
        <w:rPr>
          <w:color w:val="000000"/>
          <w:sz w:val="24"/>
        </w:rPr>
        <w:t>0.6732%</w:t>
      </w:r>
      <w:r w:rsidRPr="0061644B">
        <w:rPr>
          <w:color w:val="000000"/>
          <w:sz w:val="24"/>
        </w:rPr>
        <w:t>。</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展望下半年，房地产投资较大概率走弱可能给国内经济带来一定的下行压力，央行</w:t>
      </w:r>
      <w:r w:rsidRPr="0061644B">
        <w:rPr>
          <w:color w:val="000000"/>
          <w:sz w:val="24"/>
        </w:rPr>
        <w:lastRenderedPageBreak/>
        <w:t>货币政策操作思路预计以中性偏松为主，主要以定向工具及公开市场操作为主来调节流动性。组合管理方面，本基金将密切关注国内外经济走势与央行货币政策动态，尽力保持较好流动性，紧抓市场机会，同时控制风险，努力为投资者创造稳健的回报。</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8711DE" w:rsidRDefault="00D676A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711DE" w:rsidRDefault="00D676A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遵照法律法规及基金合同的约定，本基金每日分配收益，按运作期结转份额。本基金本报告期内利润分配情况</w:t>
      </w:r>
      <w:r w:rsidR="00CE2B75">
        <w:rPr>
          <w:color w:val="000000"/>
          <w:sz w:val="24"/>
        </w:rPr>
        <w:t>参见半年度报告正文</w:t>
      </w:r>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截至本报告期末，本基金已经连续六十个工作日以上出现基金资产净值低于五千万元的情形，基金管理人拟加大营销力度，提升基金规模。</w:t>
      </w:r>
    </w:p>
    <w:p w:rsidR="00F474BD" w:rsidRPr="0061644B" w:rsidRDefault="00F474BD" w:rsidP="00792A69">
      <w:pPr>
        <w:spacing w:before="29" w:line="288" w:lineRule="auto"/>
        <w:ind w:firstLineChars="200" w:firstLine="480"/>
        <w:rPr>
          <w:color w:val="000000"/>
          <w:sz w:val="24"/>
        </w:rPr>
      </w:pPr>
    </w:p>
    <w:p w:rsidR="00223DFB" w:rsidRPr="0061644B" w:rsidRDefault="00223DFB" w:rsidP="00CE2B75">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lastRenderedPageBreak/>
        <w:t xml:space="preserve">5.2 </w:t>
      </w:r>
      <w:r w:rsidRPr="0061644B">
        <w:rPr>
          <w:rFonts w:ascii="Times New Roman" w:hAnsi="Times New Roman" w:cs="Times New Roman"/>
          <w:kern w:val="0"/>
          <w:szCs w:val="24"/>
        </w:rPr>
        <w:t>托管人对报告期内本基金投资运作遵规守信、净值计算、利润分配等情况的说明</w:t>
      </w:r>
    </w:p>
    <w:p w:rsidR="008711DE" w:rsidRDefault="00D676A6">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61644B" w:rsidRDefault="00223DFB" w:rsidP="00792A69">
      <w:pPr>
        <w:spacing w:before="29" w:line="288" w:lineRule="auto"/>
        <w:ind w:firstLineChars="200" w:firstLine="480"/>
        <w:rPr>
          <w:color w:val="000000"/>
          <w:sz w:val="24"/>
        </w:rPr>
      </w:pPr>
      <w:r w:rsidRPr="0061644B">
        <w:rPr>
          <w:color w:val="000000"/>
          <w:sz w:val="24"/>
        </w:rPr>
        <w:t>报告期内，本基金实施利润分配的金额为</w:t>
      </w:r>
      <w:r w:rsidRPr="0061644B">
        <w:rPr>
          <w:color w:val="000000"/>
          <w:sz w:val="24"/>
        </w:rPr>
        <w:t>A</w:t>
      </w:r>
      <w:r w:rsidRPr="0061644B">
        <w:rPr>
          <w:color w:val="000000"/>
          <w:sz w:val="24"/>
        </w:rPr>
        <w:t>类</w:t>
      </w:r>
      <w:r w:rsidRPr="0061644B">
        <w:rPr>
          <w:color w:val="000000"/>
          <w:sz w:val="24"/>
        </w:rPr>
        <w:t>68,696.24</w:t>
      </w:r>
      <w:r w:rsidRPr="0061644B">
        <w:rPr>
          <w:color w:val="000000"/>
          <w:sz w:val="24"/>
        </w:rPr>
        <w:t>元，</w:t>
      </w:r>
      <w:r w:rsidRPr="0061644B">
        <w:rPr>
          <w:color w:val="000000"/>
          <w:sz w:val="24"/>
        </w:rPr>
        <w:t>B</w:t>
      </w:r>
      <w:r w:rsidRPr="0061644B">
        <w:rPr>
          <w:color w:val="000000"/>
          <w:sz w:val="24"/>
        </w:rPr>
        <w:t>类</w:t>
      </w:r>
      <w:r w:rsidRPr="0061644B">
        <w:rPr>
          <w:color w:val="000000"/>
          <w:sz w:val="24"/>
        </w:rPr>
        <w:t>149,430.74</w:t>
      </w:r>
      <w:r w:rsidRPr="0061644B">
        <w:rPr>
          <w:color w:val="000000"/>
          <w:sz w:val="24"/>
        </w:rPr>
        <w:t>元。</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本托管人复核审查了本报告中的财务指标、净值表现、利润分配情况、财务会计报告、投资组合报告等内容，保证复核内容不存在虚假记载、误导性陈述或者重大遗漏。</w:t>
      </w:r>
    </w:p>
    <w:p w:rsidR="009064D7" w:rsidRPr="0061644B" w:rsidRDefault="009064D7" w:rsidP="00792A69">
      <w:pPr>
        <w:spacing w:before="29" w:line="288" w:lineRule="auto"/>
        <w:ind w:firstLineChars="200" w:firstLine="480"/>
        <w:rPr>
          <w:color w:val="000000"/>
          <w:sz w:val="24"/>
        </w:rPr>
      </w:pPr>
    </w:p>
    <w:p w:rsidR="00223DFB" w:rsidRPr="0061644B" w:rsidRDefault="005A4B4C" w:rsidP="00CE2B75">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7" w:name="_Toc225498268"/>
      <w:bookmarkStart w:id="8"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7"/>
      <w:bookmarkEnd w:id="8"/>
    </w:p>
    <w:p w:rsidR="00633CCE" w:rsidRPr="0061644B" w:rsidRDefault="00633CCE" w:rsidP="00792A69">
      <w:pPr>
        <w:spacing w:before="29" w:line="288" w:lineRule="auto"/>
        <w:rPr>
          <w:color w:val="000000"/>
          <w:sz w:val="24"/>
        </w:rPr>
      </w:pPr>
      <w:r w:rsidRPr="0061644B">
        <w:rPr>
          <w:color w:val="000000"/>
          <w:sz w:val="24"/>
        </w:rPr>
        <w:t>会计主体：交银施罗德理财</w:t>
      </w:r>
      <w:r w:rsidRPr="0061644B">
        <w:rPr>
          <w:color w:val="000000"/>
          <w:sz w:val="24"/>
        </w:rPr>
        <w:t>60</w:t>
      </w:r>
      <w:r w:rsidRPr="0061644B">
        <w:rPr>
          <w:color w:val="000000"/>
          <w:sz w:val="24"/>
        </w:rPr>
        <w:t>天债券型证券投资基金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2016</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2016</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2015</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6,353,469.56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3,243,615.32</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2,995,375.39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23,022,655.64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2,995,375.39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23,022,655.64</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15,000,142.50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55,135.91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352,635.44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9,403,980.86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41,619,048.90</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2016</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2015</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p>
        </w:tc>
        <w:tc>
          <w:tcPr>
            <w:tcW w:w="2479" w:type="dxa"/>
            <w:vAlign w:val="center"/>
          </w:tcPr>
          <w:p w:rsidR="00633CCE" w:rsidRPr="0061644B" w:rsidRDefault="00633CCE" w:rsidP="00792A69">
            <w:pPr>
              <w:spacing w:before="29" w:line="288" w:lineRule="auto"/>
              <w:jc w:val="right"/>
              <w:rPr>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2,065.64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14,086.47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612.02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4,173.79</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2,295.14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3,257.42</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332.50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3,189.87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12,981.59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58,102.51</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59,603.12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79,300.00</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77,890.01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162,110.06</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p>
        </w:tc>
        <w:tc>
          <w:tcPr>
            <w:tcW w:w="2479" w:type="dxa"/>
            <w:vAlign w:val="center"/>
          </w:tcPr>
          <w:p w:rsidR="00633CCE" w:rsidRPr="0061644B" w:rsidRDefault="00633CCE" w:rsidP="00792A69">
            <w:pPr>
              <w:spacing w:before="29" w:line="288" w:lineRule="auto"/>
              <w:jc w:val="right"/>
              <w:rPr>
                <w:b/>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9,326,090.85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41,456,938.84</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9,326,090.85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41,456,938.84</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9,403,980.86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41,619,048.90</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2016</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9,326,090.85</w:t>
      </w:r>
      <w:r w:rsidRPr="0061644B">
        <w:rPr>
          <w:kern w:val="0"/>
          <w:sz w:val="24"/>
        </w:rPr>
        <w:t>份，其中</w:t>
      </w:r>
      <w:r w:rsidRPr="0061644B">
        <w:rPr>
          <w:kern w:val="0"/>
          <w:sz w:val="24"/>
        </w:rPr>
        <w:t>A</w:t>
      </w:r>
      <w:r w:rsidRPr="0061644B">
        <w:rPr>
          <w:kern w:val="0"/>
          <w:sz w:val="24"/>
        </w:rPr>
        <w:t>类基金份额：</w:t>
      </w:r>
      <w:r w:rsidRPr="0061644B">
        <w:rPr>
          <w:kern w:val="0"/>
          <w:sz w:val="24"/>
        </w:rPr>
        <w:t>9,326,090.85</w:t>
      </w:r>
      <w:r w:rsidRPr="0061644B">
        <w:rPr>
          <w:kern w:val="0"/>
          <w:sz w:val="24"/>
        </w:rPr>
        <w:t>份，</w:t>
      </w:r>
      <w:r w:rsidRPr="0061644B">
        <w:rPr>
          <w:kern w:val="0"/>
          <w:sz w:val="24"/>
        </w:rPr>
        <w:t>B</w:t>
      </w:r>
      <w:r w:rsidRPr="0061644B">
        <w:rPr>
          <w:kern w:val="0"/>
          <w:sz w:val="24"/>
        </w:rPr>
        <w:t>类基金份额：</w:t>
      </w:r>
      <w:r w:rsidRPr="0061644B">
        <w:rPr>
          <w:kern w:val="0"/>
          <w:sz w:val="24"/>
        </w:rPr>
        <w:t>0.00</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9" w:name="_Toc225498269"/>
      <w:bookmarkStart w:id="10"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9"/>
      <w:bookmarkEnd w:id="10"/>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交银施罗德理财</w:t>
      </w:r>
      <w:r w:rsidRPr="0061644B">
        <w:rPr>
          <w:kern w:val="0"/>
          <w:sz w:val="24"/>
        </w:rPr>
        <w:t>60</w:t>
      </w:r>
      <w:r w:rsidRPr="0061644B">
        <w:rPr>
          <w:kern w:val="0"/>
          <w:sz w:val="24"/>
        </w:rPr>
        <w:t>天债券型证券投资基金</w:t>
      </w:r>
    </w:p>
    <w:p w:rsidR="00633CCE" w:rsidRPr="0061644B" w:rsidRDefault="00633CCE" w:rsidP="00792A69">
      <w:pPr>
        <w:spacing w:before="29" w:line="288" w:lineRule="auto"/>
        <w:rPr>
          <w:color w:val="000000"/>
          <w:kern w:val="0"/>
          <w:sz w:val="24"/>
        </w:rPr>
      </w:pPr>
      <w:r w:rsidRPr="0061644B">
        <w:rPr>
          <w:color w:val="000000"/>
          <w:sz w:val="24"/>
        </w:rPr>
        <w:lastRenderedPageBreak/>
        <w:t>本报告期：</w:t>
      </w:r>
      <w:r w:rsidRPr="0061644B">
        <w:rPr>
          <w:kern w:val="0"/>
          <w:sz w:val="24"/>
        </w:rPr>
        <w:t>2016</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2016</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0D6D89">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2016</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2016</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2015</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2015</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350,933.07</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11,062,724.74</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334,675.04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9,981,976.05</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199,676.76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8,357,317.41</w:t>
            </w:r>
          </w:p>
        </w:tc>
      </w:tr>
      <w:tr w:rsidR="00633CCE" w:rsidRPr="0061644B" w:rsidTr="000D6D89">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119,483.65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1,502,460.06</w:t>
            </w:r>
          </w:p>
        </w:tc>
      </w:tr>
      <w:tr w:rsidR="00633CCE" w:rsidRPr="0061644B" w:rsidTr="000D6D89">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15,514.63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122,198.58</w:t>
            </w:r>
          </w:p>
        </w:tc>
      </w:tr>
      <w:tr w:rsidR="00633CCE" w:rsidRPr="0061644B" w:rsidTr="000D6D89">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16,258.03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1,080,748.69</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16,258.03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1,080,748.69</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0D6D89">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132,806.09</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1,379,050.14</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36,139.27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547,578.26</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10,708.02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162,245.37</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15,333.68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37,282.78</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571,860.68</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571,860.68</w:t>
            </w:r>
          </w:p>
        </w:tc>
      </w:tr>
      <w:tr w:rsidR="00633CCE" w:rsidRPr="0061644B" w:rsidTr="000D6D89">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6</w:t>
            </w:r>
            <w:r w:rsidRPr="0061644B">
              <w:rPr>
                <w:color w:val="000000"/>
                <w:sz w:val="24"/>
              </w:rPr>
              <w:t>．其他费用</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6.4.7.15</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70,625.12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60,083.05</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218,126.98</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9,683,674.60</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sz w:val="24"/>
              </w:rPr>
              <w:lastRenderedPageBreak/>
              <w:t>减：所得税费用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218,126.98</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9,683,674.60</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交银施罗德理财</w:t>
      </w:r>
      <w:r w:rsidRPr="0061644B">
        <w:rPr>
          <w:kern w:val="0"/>
          <w:sz w:val="24"/>
        </w:rPr>
        <w:t>60</w:t>
      </w:r>
      <w:r w:rsidRPr="0061644B">
        <w:rPr>
          <w:kern w:val="0"/>
          <w:sz w:val="24"/>
        </w:rPr>
        <w:t>天债券型证券投资基金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2016</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2016</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2016</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2016</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41,456,938.84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41,456,938.84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218,126.98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218,126.98</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-32,130,847.99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-32,130,847.99</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412,699.97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412,699.97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-32,543,547.96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-32,543,547.96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-218,126.98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-218,126.98</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9,326,090.85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9,326,090.85</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2015</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2015</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236,301,902.14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236,301,902.14</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9,683,674.60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9,683,674.60</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lastRenderedPageBreak/>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-169,096,564.93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-169,096,564.93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494,965,785.38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494,965,785.38</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-664,062,350.31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-664,062,350.31</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-9,683,674.60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-9,683,674.60</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67,205,337.21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67,205,337.21</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负责人：阮红，主管会计工作负责人：夏华龙，会计机构负责人：朱鸣</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1" w:name="_Toc331410100"/>
      <w:bookmarkStart w:id="12"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1"/>
      <w:bookmarkEnd w:id="12"/>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8711DE" w:rsidRDefault="00D676A6">
      <w:pPr>
        <w:spacing w:before="29" w:line="288" w:lineRule="auto"/>
        <w:ind w:firstLineChars="200" w:firstLine="480"/>
        <w:rPr>
          <w:color w:val="000000"/>
          <w:sz w:val="24"/>
        </w:rPr>
      </w:pPr>
      <w:r>
        <w:rPr>
          <w:color w:val="000000"/>
          <w:sz w:val="24"/>
        </w:rPr>
        <w:t>交银施罗德理财</w:t>
      </w:r>
      <w:r>
        <w:rPr>
          <w:color w:val="000000"/>
          <w:sz w:val="24"/>
        </w:rPr>
        <w:t>60</w:t>
      </w:r>
      <w:r>
        <w:rPr>
          <w:color w:val="000000"/>
          <w:sz w:val="24"/>
        </w:rPr>
        <w:t>天债券型证券投资基金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[2012]1768</w:t>
      </w:r>
      <w:r>
        <w:rPr>
          <w:color w:val="000000"/>
          <w:sz w:val="24"/>
        </w:rPr>
        <w:t>号《关于核准交银施罗德理财</w:t>
      </w:r>
      <w:r>
        <w:rPr>
          <w:color w:val="000000"/>
          <w:sz w:val="24"/>
        </w:rPr>
        <w:t>60</w:t>
      </w:r>
      <w:r>
        <w:rPr>
          <w:color w:val="000000"/>
          <w:sz w:val="24"/>
        </w:rPr>
        <w:t>天债券型证券投资基金募集的批复》核准，由交银施罗德基金管理有限公司依照《中华人民共和国证券投资基金法》和《交银施罗德理财</w:t>
      </w:r>
      <w:r>
        <w:rPr>
          <w:color w:val="000000"/>
          <w:sz w:val="24"/>
        </w:rPr>
        <w:t>60</w:t>
      </w:r>
      <w:r>
        <w:rPr>
          <w:color w:val="000000"/>
          <w:sz w:val="24"/>
        </w:rPr>
        <w:t>天债券型证券投资基金基金合同》负责公开募集。本基金为契约型开放式证券投资基金，存续期限不定。首次设立募集不包括认购资金利息共募集人民币</w:t>
      </w:r>
      <w:r>
        <w:rPr>
          <w:color w:val="000000"/>
          <w:sz w:val="24"/>
        </w:rPr>
        <w:t>777,735,040.55</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131</w:t>
      </w:r>
      <w:r>
        <w:rPr>
          <w:color w:val="000000"/>
          <w:sz w:val="24"/>
        </w:rPr>
        <w:t>号验资报告予以验证。经向中国证监会备案，《交银施罗德理财</w:t>
      </w:r>
      <w:r>
        <w:rPr>
          <w:color w:val="000000"/>
          <w:sz w:val="24"/>
        </w:rPr>
        <w:t>60</w:t>
      </w:r>
      <w:r>
        <w:rPr>
          <w:color w:val="000000"/>
          <w:sz w:val="24"/>
        </w:rPr>
        <w:t>天债券型证券投资基金基金合同》于</w:t>
      </w:r>
      <w:r>
        <w:rPr>
          <w:color w:val="000000"/>
          <w:sz w:val="24"/>
        </w:rPr>
        <w:t>2013</w:t>
      </w:r>
      <w:r>
        <w:rPr>
          <w:color w:val="000000"/>
          <w:sz w:val="24"/>
        </w:rPr>
        <w:t>年</w:t>
      </w:r>
      <w:r>
        <w:rPr>
          <w:color w:val="000000"/>
          <w:sz w:val="24"/>
        </w:rPr>
        <w:t>3</w:t>
      </w:r>
      <w:r>
        <w:rPr>
          <w:color w:val="000000"/>
          <w:sz w:val="24"/>
        </w:rPr>
        <w:t>月</w:t>
      </w:r>
      <w:r>
        <w:rPr>
          <w:color w:val="000000"/>
          <w:sz w:val="24"/>
        </w:rPr>
        <w:t>13</w:t>
      </w:r>
      <w:r>
        <w:rPr>
          <w:color w:val="000000"/>
          <w:sz w:val="24"/>
        </w:rPr>
        <w:t>日正式生效，基金合同生效日的基金份额总额为</w:t>
      </w:r>
      <w:r>
        <w:rPr>
          <w:color w:val="000000"/>
          <w:sz w:val="24"/>
        </w:rPr>
        <w:t>777,917,201.14</w:t>
      </w:r>
      <w:r>
        <w:rPr>
          <w:color w:val="000000"/>
          <w:sz w:val="24"/>
        </w:rPr>
        <w:t>份基金份额，其中认购资金利息折合</w:t>
      </w:r>
      <w:r>
        <w:rPr>
          <w:color w:val="000000"/>
          <w:sz w:val="24"/>
        </w:rPr>
        <w:t>182,160.59</w:t>
      </w:r>
      <w:r>
        <w:rPr>
          <w:color w:val="000000"/>
          <w:sz w:val="24"/>
        </w:rPr>
        <w:t>份基金份额。本基金的基金管理人为交银施罗德基金管理有限公司，基金托管人为中国建设银行股份有限公司。</w:t>
      </w:r>
    </w:p>
    <w:p w:rsidR="008711DE" w:rsidRDefault="00D676A6">
      <w:pPr>
        <w:spacing w:before="29" w:line="288" w:lineRule="auto"/>
        <w:ind w:firstLineChars="200" w:firstLine="480"/>
        <w:rPr>
          <w:color w:val="000000"/>
          <w:sz w:val="24"/>
        </w:rPr>
      </w:pPr>
      <w:r>
        <w:rPr>
          <w:color w:val="000000"/>
          <w:sz w:val="24"/>
        </w:rPr>
        <w:t>根据《交银施罗德理财</w:t>
      </w:r>
      <w:r>
        <w:rPr>
          <w:color w:val="000000"/>
          <w:sz w:val="24"/>
        </w:rPr>
        <w:t>60</w:t>
      </w:r>
      <w:r>
        <w:rPr>
          <w:color w:val="000000"/>
          <w:sz w:val="24"/>
        </w:rPr>
        <w:t>天债券型证券投资基金基金合同》和《交银施罗德理财</w:t>
      </w:r>
      <w:r>
        <w:rPr>
          <w:color w:val="000000"/>
          <w:sz w:val="24"/>
        </w:rPr>
        <w:t>60</w:t>
      </w:r>
      <w:r>
        <w:rPr>
          <w:color w:val="000000"/>
          <w:sz w:val="24"/>
        </w:rPr>
        <w:t>天债券型证券投资基金招募说明书》，本基金根据投资人持有本基金的份额数量，对投资人持有的基金份额按照不同的费率计提销售服务费用，因此形成</w:t>
      </w:r>
      <w:r>
        <w:rPr>
          <w:color w:val="000000"/>
          <w:sz w:val="24"/>
        </w:rPr>
        <w:t>A</w:t>
      </w:r>
      <w:r>
        <w:rPr>
          <w:color w:val="000000"/>
          <w:sz w:val="24"/>
        </w:rPr>
        <w:t>类和</w:t>
      </w:r>
      <w:r>
        <w:rPr>
          <w:color w:val="000000"/>
          <w:sz w:val="24"/>
        </w:rPr>
        <w:t>B</w:t>
      </w:r>
      <w:r>
        <w:rPr>
          <w:color w:val="000000"/>
          <w:sz w:val="24"/>
        </w:rPr>
        <w:t>类两类基金份额。两类基金份额分别公布每万份基金净收益和七日年化收益率。</w:t>
      </w: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根据《中华人民共和国证券投资基金法》和《交银施罗德理财</w:t>
      </w:r>
      <w:r w:rsidRPr="0061644B">
        <w:rPr>
          <w:color w:val="000000"/>
          <w:sz w:val="24"/>
        </w:rPr>
        <w:t>60</w:t>
      </w:r>
      <w:r w:rsidRPr="0061644B">
        <w:rPr>
          <w:color w:val="000000"/>
          <w:sz w:val="24"/>
        </w:rPr>
        <w:t>天债券型证券投资基金基金合同》的有关规定，本基金的投资范围为具有良好流动性的金融工具，包括现金，通知存款，一年以内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的银行定期存款和大额存单，剩余期限</w:t>
      </w:r>
      <w:r w:rsidRPr="0061644B">
        <w:rPr>
          <w:color w:val="000000"/>
          <w:sz w:val="24"/>
        </w:rPr>
        <w:t>(</w:t>
      </w:r>
      <w:r w:rsidRPr="0061644B">
        <w:rPr>
          <w:color w:val="000000"/>
          <w:sz w:val="24"/>
        </w:rPr>
        <w:t>或回售期限</w:t>
      </w:r>
      <w:r w:rsidRPr="0061644B">
        <w:rPr>
          <w:color w:val="000000"/>
          <w:sz w:val="24"/>
        </w:rPr>
        <w:t>)</w:t>
      </w:r>
      <w:r w:rsidRPr="0061644B">
        <w:rPr>
          <w:color w:val="000000"/>
          <w:sz w:val="24"/>
        </w:rPr>
        <w:lastRenderedPageBreak/>
        <w:t>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的债券、资产支持证券和中期票据，期限在一年以内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的债券回购，期限在一年以内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的中央银行票据和短期融资券，以及法律法规或中国证监会允许本基金投资的其他固定收益类金融工具及相关衍生工具</w:t>
      </w:r>
      <w:r w:rsidRPr="0061644B">
        <w:rPr>
          <w:color w:val="000000"/>
          <w:sz w:val="24"/>
        </w:rPr>
        <w:t>(</w:t>
      </w:r>
      <w:r w:rsidRPr="0061644B">
        <w:rPr>
          <w:color w:val="000000"/>
          <w:sz w:val="24"/>
        </w:rPr>
        <w:t>但须符合中国证监会相关规定</w:t>
      </w:r>
      <w:r w:rsidRPr="0061644B">
        <w:rPr>
          <w:color w:val="000000"/>
          <w:sz w:val="24"/>
        </w:rPr>
        <w:t>)</w:t>
      </w:r>
      <w:r w:rsidRPr="0061644B">
        <w:rPr>
          <w:color w:val="00000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8711DE" w:rsidRDefault="00D676A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颁布的《证券投资基金会计核算业务指引》、《交银施罗德理财</w:t>
      </w:r>
      <w:r>
        <w:rPr>
          <w:color w:val="000000"/>
          <w:sz w:val="24"/>
        </w:rPr>
        <w:t>60</w:t>
      </w:r>
      <w:r>
        <w:rPr>
          <w:color w:val="000000"/>
          <w:sz w:val="24"/>
        </w:rPr>
        <w:t>天债券型证券投资基金基金合同》和在财务报表附注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223DFB" w:rsidRPr="0061644B" w:rsidRDefault="00223DFB" w:rsidP="00792A69">
      <w:pPr>
        <w:spacing w:before="29" w:line="288" w:lineRule="auto"/>
        <w:ind w:firstLineChars="200" w:firstLine="480"/>
        <w:rPr>
          <w:color w:val="000000"/>
          <w:sz w:val="24"/>
        </w:rPr>
      </w:pPr>
      <w:r w:rsidRPr="0061644B">
        <w:rPr>
          <w:color w:val="000000"/>
          <w:sz w:val="24"/>
        </w:rPr>
        <w:t>根据《公开募集证券投资基金运作管理办法》的相关规定，开放式基金在基金合同生效后，连续</w:t>
      </w:r>
      <w:r w:rsidRPr="0061644B">
        <w:rPr>
          <w:color w:val="000000"/>
          <w:sz w:val="24"/>
        </w:rPr>
        <w:t>60</w:t>
      </w:r>
      <w:r w:rsidRPr="0061644B">
        <w:rPr>
          <w:color w:val="000000"/>
          <w:sz w:val="24"/>
        </w:rPr>
        <w:t>个工作日出现基金份额持有人数量不满</w:t>
      </w:r>
      <w:r w:rsidRPr="0061644B">
        <w:rPr>
          <w:color w:val="000000"/>
          <w:sz w:val="24"/>
        </w:rPr>
        <w:t>200</w:t>
      </w:r>
      <w:r w:rsidRPr="0061644B">
        <w:rPr>
          <w:color w:val="000000"/>
          <w:sz w:val="24"/>
        </w:rPr>
        <w:t>人或者基金资产净值低于</w:t>
      </w:r>
      <w:r w:rsidRPr="0061644B">
        <w:rPr>
          <w:color w:val="000000"/>
          <w:sz w:val="24"/>
        </w:rPr>
        <w:t>5,000</w:t>
      </w:r>
      <w:r w:rsidRPr="0061644B">
        <w:rPr>
          <w:color w:val="000000"/>
          <w:sz w:val="24"/>
        </w:rPr>
        <w:t>万元情形的，基金管理人应当向中国证监会报告并提出解决方案，如转换运作方式、与其他基金合并或者终止基金合同等，并召开基金份额持有人大会进行表决。本基金于</w:t>
      </w:r>
      <w:r w:rsidRPr="0061644B">
        <w:rPr>
          <w:color w:val="000000"/>
          <w:sz w:val="24"/>
        </w:rPr>
        <w:t>2016</w:t>
      </w:r>
      <w:r w:rsidRPr="0061644B">
        <w:rPr>
          <w:color w:val="000000"/>
          <w:sz w:val="24"/>
        </w:rPr>
        <w:t>年度出现连续</w:t>
      </w:r>
      <w:r w:rsidRPr="0061644B">
        <w:rPr>
          <w:color w:val="000000"/>
          <w:sz w:val="24"/>
        </w:rPr>
        <w:t>60</w:t>
      </w:r>
      <w:r w:rsidRPr="0061644B">
        <w:rPr>
          <w:color w:val="000000"/>
          <w:sz w:val="24"/>
        </w:rPr>
        <w:t>个工作日基金份额持有人数量不满</w:t>
      </w:r>
      <w:r w:rsidRPr="0061644B">
        <w:rPr>
          <w:color w:val="000000"/>
          <w:sz w:val="24"/>
        </w:rPr>
        <w:t>200</w:t>
      </w:r>
      <w:r w:rsidRPr="0061644B">
        <w:rPr>
          <w:color w:val="000000"/>
          <w:sz w:val="24"/>
        </w:rPr>
        <w:t>人或者基金资产净值低于</w:t>
      </w:r>
      <w:r w:rsidRPr="0061644B">
        <w:rPr>
          <w:color w:val="000000"/>
          <w:sz w:val="24"/>
        </w:rPr>
        <w:t>5,000</w:t>
      </w:r>
      <w:r w:rsidRPr="0061644B">
        <w:rPr>
          <w:color w:val="000000"/>
          <w:sz w:val="24"/>
        </w:rPr>
        <w:t>万元的情形，故本财务报表以持续经营为编制基础。</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2016</w:t>
      </w:r>
      <w:r w:rsidRPr="0061644B">
        <w:rPr>
          <w:color w:val="000000"/>
          <w:sz w:val="24"/>
        </w:rPr>
        <w:t>年上半年度财务报表符合企业会计准则的要求，真实、完整地反映了本基金</w:t>
      </w:r>
      <w:r w:rsidRPr="0061644B">
        <w:rPr>
          <w:color w:val="000000"/>
          <w:sz w:val="24"/>
        </w:rPr>
        <w:t>2016</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2016</w:t>
      </w:r>
      <w:r w:rsidRPr="0061644B">
        <w:rPr>
          <w:color w:val="000000"/>
          <w:sz w:val="24"/>
        </w:rPr>
        <w:t>年上半年度的经营成果和基金净值变动情况等有关信息。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lastRenderedPageBreak/>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8711DE" w:rsidRDefault="00D676A6">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8711DE" w:rsidRDefault="00D676A6">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以发行基金方式募集资金不属于营业税征收范围，不征收营业税。基金买卖债券的差价收入不予征收营业税。</w:t>
      </w:r>
    </w:p>
    <w:p w:rsidR="008711DE" w:rsidRDefault="00D676A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 xml:space="preserve">(3) </w:t>
      </w:r>
      <w:r w:rsidRPr="0061644B">
        <w:rPr>
          <w:color w:val="000000"/>
          <w:sz w:val="24"/>
        </w:rPr>
        <w:t>对基金取得的企业债券利息收入，应由发行债券的企业在向基金支付利息时代扣代缴</w:t>
      </w:r>
      <w:r w:rsidRPr="0061644B">
        <w:rPr>
          <w:color w:val="000000"/>
          <w:sz w:val="24"/>
        </w:rPr>
        <w:t>20%</w:t>
      </w:r>
      <w:r w:rsidRPr="0061644B">
        <w:rPr>
          <w:color w:val="000000"/>
          <w:sz w:val="24"/>
        </w:rPr>
        <w:t>的个人所得税。</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8711DE">
        <w:tc>
          <w:tcPr>
            <w:tcW w:w="5219" w:type="dxa"/>
            <w:vAlign w:val="center"/>
          </w:tcPr>
          <w:p w:rsidR="008711DE" w:rsidRDefault="00D676A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711DE" w:rsidRDefault="00D676A6">
            <w:pPr>
              <w:jc w:val="left"/>
            </w:pPr>
            <w:r>
              <w:rPr>
                <w:color w:val="000000"/>
                <w:sz w:val="24"/>
              </w:rPr>
              <w:t>基金管理人、基金销售机构</w:t>
            </w:r>
          </w:p>
        </w:tc>
      </w:tr>
      <w:tr w:rsidR="008711DE">
        <w:tc>
          <w:tcPr>
            <w:tcW w:w="5219" w:type="dxa"/>
            <w:vAlign w:val="center"/>
          </w:tcPr>
          <w:p w:rsidR="008711DE" w:rsidRDefault="00D676A6">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8711DE" w:rsidRDefault="00D676A6">
            <w:pPr>
              <w:jc w:val="left"/>
            </w:pPr>
            <w:r>
              <w:rPr>
                <w:color w:val="000000"/>
                <w:sz w:val="24"/>
              </w:rPr>
              <w:t>基金托管人、基金销售机构</w:t>
            </w:r>
          </w:p>
        </w:tc>
      </w:tr>
      <w:tr w:rsidR="008711DE">
        <w:tc>
          <w:tcPr>
            <w:tcW w:w="5219" w:type="dxa"/>
            <w:vAlign w:val="center"/>
          </w:tcPr>
          <w:p w:rsidR="008711DE" w:rsidRDefault="00D676A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711DE" w:rsidRDefault="00D676A6">
            <w:pPr>
              <w:jc w:val="left"/>
            </w:pPr>
            <w:r>
              <w:rPr>
                <w:color w:val="000000"/>
                <w:sz w:val="24"/>
              </w:rPr>
              <w:t>基金管理人的股东、基金销售机构</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2016</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2016</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2015</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2015</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lastRenderedPageBreak/>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36,139.27</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547,578.26</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3,301.85</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6,185.96</w:t>
            </w:r>
          </w:p>
        </w:tc>
      </w:tr>
    </w:tbl>
    <w:p w:rsidR="008711DE" w:rsidRDefault="00D676A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0.27%</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日基金管理人报酬＝前一日基金资产净值</w:t>
      </w:r>
      <w:r w:rsidRPr="0061644B">
        <w:rPr>
          <w:kern w:val="0"/>
          <w:sz w:val="24"/>
        </w:rPr>
        <w:t>×0.27%÷</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2016</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2016</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2015</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2015</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10,708.02</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162,245.37</w:t>
            </w:r>
          </w:p>
        </w:tc>
      </w:tr>
    </w:tbl>
    <w:p w:rsidR="008711DE" w:rsidRDefault="00D676A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日托管费＝前一日基金资产净值</w:t>
      </w:r>
      <w:r w:rsidRPr="0061644B">
        <w:rPr>
          <w:kern w:val="0"/>
          <w:sz w:val="24"/>
        </w:rPr>
        <w:t>×0.08%÷</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5B4215" w:rsidP="00792A69">
      <w:pPr>
        <w:autoSpaceDE w:val="0"/>
        <w:autoSpaceDN w:val="0"/>
        <w:adjustRightInd w:val="0"/>
        <w:spacing w:before="29" w:line="288" w:lineRule="auto"/>
        <w:ind w:left="15" w:right="210"/>
        <w:jc w:val="right"/>
        <w:rPr>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r>
              <w:rPr>
                <w:rFonts w:hint="eastAsia"/>
                <w:sz w:val="24"/>
              </w:rPr>
              <w:t>-</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2016</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2016</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交银理财</w:t>
            </w:r>
            <w:r w:rsidRPr="005E1AD8">
              <w:rPr>
                <w:sz w:val="24"/>
              </w:rPr>
              <w:t>60</w:t>
            </w:r>
            <w:r w:rsidRPr="005E1AD8">
              <w:rPr>
                <w:sz w:val="24"/>
              </w:rPr>
              <w:t>天债券</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交银理财</w:t>
            </w:r>
            <w:r w:rsidRPr="005E1AD8">
              <w:rPr>
                <w:sz w:val="24"/>
              </w:rPr>
              <w:t>60</w:t>
            </w:r>
            <w:r w:rsidRPr="005E1AD8">
              <w:rPr>
                <w:sz w:val="24"/>
              </w:rPr>
              <w:t>天债券</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8711DE">
        <w:tc>
          <w:tcPr>
            <w:tcW w:w="1944" w:type="dxa"/>
            <w:vAlign w:val="center"/>
          </w:tcPr>
          <w:p w:rsidR="008711DE" w:rsidRDefault="00D676A6">
            <w:pPr>
              <w:jc w:val="center"/>
            </w:pPr>
            <w:r>
              <w:rPr>
                <w:sz w:val="24"/>
              </w:rPr>
              <w:t>交银施罗德基金公司</w:t>
            </w:r>
          </w:p>
        </w:tc>
        <w:tc>
          <w:tcPr>
            <w:tcW w:w="2351" w:type="dxa"/>
            <w:vAlign w:val="center"/>
          </w:tcPr>
          <w:p w:rsidR="008711DE" w:rsidRDefault="00D676A6">
            <w:pPr>
              <w:jc w:val="center"/>
            </w:pPr>
            <w:r>
              <w:rPr>
                <w:sz w:val="24"/>
              </w:rPr>
              <w:t>6,098.09</w:t>
            </w:r>
          </w:p>
        </w:tc>
        <w:tc>
          <w:tcPr>
            <w:tcW w:w="2351" w:type="dxa"/>
            <w:vAlign w:val="center"/>
          </w:tcPr>
          <w:p w:rsidR="008711DE" w:rsidRDefault="00D676A6">
            <w:pPr>
              <w:jc w:val="center"/>
            </w:pPr>
            <w:r>
              <w:rPr>
                <w:sz w:val="24"/>
              </w:rPr>
              <w:t>855.55</w:t>
            </w:r>
          </w:p>
        </w:tc>
        <w:tc>
          <w:tcPr>
            <w:tcW w:w="2352" w:type="dxa"/>
            <w:vAlign w:val="center"/>
          </w:tcPr>
          <w:p w:rsidR="008711DE" w:rsidRDefault="00D676A6">
            <w:pPr>
              <w:jc w:val="center"/>
            </w:pPr>
            <w:r>
              <w:rPr>
                <w:sz w:val="24"/>
              </w:rPr>
              <w:t>6,953.64</w:t>
            </w:r>
          </w:p>
        </w:tc>
      </w:tr>
      <w:tr w:rsidR="008711DE">
        <w:tc>
          <w:tcPr>
            <w:tcW w:w="1944" w:type="dxa"/>
            <w:vAlign w:val="center"/>
          </w:tcPr>
          <w:p w:rsidR="008711DE" w:rsidRDefault="00D676A6">
            <w:pPr>
              <w:jc w:val="center"/>
            </w:pPr>
            <w:r>
              <w:rPr>
                <w:sz w:val="24"/>
              </w:rPr>
              <w:t>中国建设银行</w:t>
            </w:r>
          </w:p>
        </w:tc>
        <w:tc>
          <w:tcPr>
            <w:tcW w:w="2351" w:type="dxa"/>
            <w:vAlign w:val="center"/>
          </w:tcPr>
          <w:p w:rsidR="008711DE" w:rsidRDefault="00D676A6">
            <w:pPr>
              <w:jc w:val="center"/>
            </w:pPr>
            <w:r>
              <w:rPr>
                <w:sz w:val="24"/>
              </w:rPr>
              <w:t>4,164.80</w:t>
            </w:r>
          </w:p>
        </w:tc>
        <w:tc>
          <w:tcPr>
            <w:tcW w:w="2351" w:type="dxa"/>
            <w:vAlign w:val="center"/>
          </w:tcPr>
          <w:p w:rsidR="008711DE" w:rsidRDefault="00D676A6">
            <w:pPr>
              <w:jc w:val="center"/>
            </w:pPr>
            <w:r>
              <w:rPr>
                <w:sz w:val="24"/>
              </w:rPr>
              <w:t>-</w:t>
            </w:r>
          </w:p>
        </w:tc>
        <w:tc>
          <w:tcPr>
            <w:tcW w:w="2352" w:type="dxa"/>
            <w:vAlign w:val="center"/>
          </w:tcPr>
          <w:p w:rsidR="008711DE" w:rsidRDefault="00D676A6">
            <w:pPr>
              <w:jc w:val="center"/>
            </w:pPr>
            <w:r>
              <w:rPr>
                <w:sz w:val="24"/>
              </w:rPr>
              <w:t>4,164.80</w:t>
            </w:r>
          </w:p>
        </w:tc>
      </w:tr>
      <w:tr w:rsidR="008711DE">
        <w:tc>
          <w:tcPr>
            <w:tcW w:w="1944" w:type="dxa"/>
            <w:vAlign w:val="center"/>
          </w:tcPr>
          <w:p w:rsidR="008711DE" w:rsidRDefault="00D676A6">
            <w:pPr>
              <w:jc w:val="center"/>
            </w:pPr>
            <w:r>
              <w:rPr>
                <w:sz w:val="24"/>
              </w:rPr>
              <w:t>交通银行</w:t>
            </w:r>
          </w:p>
        </w:tc>
        <w:tc>
          <w:tcPr>
            <w:tcW w:w="2351" w:type="dxa"/>
            <w:vAlign w:val="center"/>
          </w:tcPr>
          <w:p w:rsidR="008711DE" w:rsidRDefault="00D676A6">
            <w:pPr>
              <w:jc w:val="center"/>
            </w:pPr>
            <w:r>
              <w:rPr>
                <w:sz w:val="24"/>
              </w:rPr>
              <w:t>3,063.60</w:t>
            </w:r>
          </w:p>
        </w:tc>
        <w:tc>
          <w:tcPr>
            <w:tcW w:w="2351" w:type="dxa"/>
            <w:vAlign w:val="center"/>
          </w:tcPr>
          <w:p w:rsidR="008711DE" w:rsidRDefault="00D676A6">
            <w:pPr>
              <w:jc w:val="center"/>
            </w:pPr>
            <w:r>
              <w:rPr>
                <w:sz w:val="24"/>
              </w:rPr>
              <w:t>-</w:t>
            </w:r>
          </w:p>
        </w:tc>
        <w:tc>
          <w:tcPr>
            <w:tcW w:w="2352" w:type="dxa"/>
            <w:vAlign w:val="center"/>
          </w:tcPr>
          <w:p w:rsidR="008711DE" w:rsidRDefault="00D676A6">
            <w:pPr>
              <w:jc w:val="center"/>
            </w:pPr>
            <w:r>
              <w:rPr>
                <w:sz w:val="24"/>
              </w:rPr>
              <w:t>3,063.60</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13,326.49</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855.55</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14,182.04</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2015</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交银理财</w:t>
            </w:r>
            <w:r w:rsidRPr="005E1AD8">
              <w:rPr>
                <w:sz w:val="24"/>
              </w:rPr>
              <w:t>60</w:t>
            </w:r>
            <w:r w:rsidRPr="005E1AD8">
              <w:rPr>
                <w:sz w:val="24"/>
              </w:rPr>
              <w:t>天债券</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交银理财</w:t>
            </w:r>
            <w:r w:rsidRPr="005E1AD8">
              <w:rPr>
                <w:sz w:val="24"/>
              </w:rPr>
              <w:t>60</w:t>
            </w:r>
            <w:r w:rsidRPr="005E1AD8">
              <w:rPr>
                <w:sz w:val="24"/>
              </w:rPr>
              <w:t>天债券</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8711DE">
        <w:tc>
          <w:tcPr>
            <w:tcW w:w="1944" w:type="dxa"/>
            <w:vAlign w:val="center"/>
          </w:tcPr>
          <w:p w:rsidR="008711DE" w:rsidRDefault="00D676A6">
            <w:pPr>
              <w:jc w:val="center"/>
            </w:pPr>
            <w:r>
              <w:rPr>
                <w:sz w:val="24"/>
              </w:rPr>
              <w:t>交银施罗德基金</w:t>
            </w:r>
            <w:r>
              <w:rPr>
                <w:sz w:val="24"/>
              </w:rPr>
              <w:lastRenderedPageBreak/>
              <w:t>公司</w:t>
            </w:r>
          </w:p>
        </w:tc>
        <w:tc>
          <w:tcPr>
            <w:tcW w:w="2351" w:type="dxa"/>
            <w:vAlign w:val="center"/>
          </w:tcPr>
          <w:p w:rsidR="008711DE" w:rsidRDefault="00D676A6">
            <w:pPr>
              <w:jc w:val="center"/>
            </w:pPr>
            <w:r>
              <w:rPr>
                <w:sz w:val="24"/>
              </w:rPr>
              <w:lastRenderedPageBreak/>
              <w:t>1,720.23</w:t>
            </w:r>
          </w:p>
        </w:tc>
        <w:tc>
          <w:tcPr>
            <w:tcW w:w="2351" w:type="dxa"/>
            <w:vAlign w:val="center"/>
          </w:tcPr>
          <w:p w:rsidR="008711DE" w:rsidRDefault="00D676A6">
            <w:pPr>
              <w:jc w:val="center"/>
            </w:pPr>
            <w:r>
              <w:rPr>
                <w:sz w:val="24"/>
              </w:rPr>
              <w:t>19,694.67</w:t>
            </w:r>
          </w:p>
        </w:tc>
        <w:tc>
          <w:tcPr>
            <w:tcW w:w="2352" w:type="dxa"/>
            <w:vAlign w:val="center"/>
          </w:tcPr>
          <w:p w:rsidR="008711DE" w:rsidRDefault="00D676A6">
            <w:pPr>
              <w:jc w:val="center"/>
            </w:pPr>
            <w:r>
              <w:rPr>
                <w:sz w:val="24"/>
              </w:rPr>
              <w:t>21,414.90</w:t>
            </w:r>
          </w:p>
        </w:tc>
      </w:tr>
      <w:tr w:rsidR="008711DE">
        <w:tc>
          <w:tcPr>
            <w:tcW w:w="1944" w:type="dxa"/>
            <w:vAlign w:val="center"/>
          </w:tcPr>
          <w:p w:rsidR="008711DE" w:rsidRDefault="00D676A6">
            <w:pPr>
              <w:jc w:val="center"/>
            </w:pPr>
            <w:r>
              <w:rPr>
                <w:sz w:val="24"/>
              </w:rPr>
              <w:lastRenderedPageBreak/>
              <w:t>中国建设银行</w:t>
            </w:r>
          </w:p>
        </w:tc>
        <w:tc>
          <w:tcPr>
            <w:tcW w:w="2351" w:type="dxa"/>
            <w:vAlign w:val="center"/>
          </w:tcPr>
          <w:p w:rsidR="008711DE" w:rsidRDefault="00D676A6">
            <w:pPr>
              <w:jc w:val="center"/>
            </w:pPr>
            <w:r>
              <w:rPr>
                <w:sz w:val="24"/>
              </w:rPr>
              <w:t>6,293.77</w:t>
            </w:r>
          </w:p>
        </w:tc>
        <w:tc>
          <w:tcPr>
            <w:tcW w:w="2351" w:type="dxa"/>
            <w:vAlign w:val="center"/>
          </w:tcPr>
          <w:p w:rsidR="008711DE" w:rsidRDefault="00D676A6">
            <w:pPr>
              <w:jc w:val="center"/>
            </w:pPr>
            <w:r>
              <w:rPr>
                <w:sz w:val="24"/>
              </w:rPr>
              <w:t>-</w:t>
            </w:r>
          </w:p>
        </w:tc>
        <w:tc>
          <w:tcPr>
            <w:tcW w:w="2352" w:type="dxa"/>
            <w:vAlign w:val="center"/>
          </w:tcPr>
          <w:p w:rsidR="008711DE" w:rsidRDefault="00D676A6">
            <w:pPr>
              <w:jc w:val="center"/>
            </w:pPr>
            <w:r>
              <w:rPr>
                <w:sz w:val="24"/>
              </w:rPr>
              <w:t>6,293.77</w:t>
            </w:r>
          </w:p>
        </w:tc>
      </w:tr>
      <w:tr w:rsidR="008711DE">
        <w:tc>
          <w:tcPr>
            <w:tcW w:w="1944" w:type="dxa"/>
            <w:vAlign w:val="center"/>
          </w:tcPr>
          <w:p w:rsidR="008711DE" w:rsidRDefault="00D676A6">
            <w:pPr>
              <w:jc w:val="center"/>
            </w:pPr>
            <w:r>
              <w:rPr>
                <w:sz w:val="24"/>
              </w:rPr>
              <w:t>交通银行</w:t>
            </w:r>
          </w:p>
        </w:tc>
        <w:tc>
          <w:tcPr>
            <w:tcW w:w="2351" w:type="dxa"/>
            <w:vAlign w:val="center"/>
          </w:tcPr>
          <w:p w:rsidR="008711DE" w:rsidRDefault="00D676A6">
            <w:pPr>
              <w:jc w:val="center"/>
            </w:pPr>
            <w:r>
              <w:rPr>
                <w:sz w:val="24"/>
              </w:rPr>
              <w:t>7,462.17</w:t>
            </w:r>
          </w:p>
        </w:tc>
        <w:tc>
          <w:tcPr>
            <w:tcW w:w="2351" w:type="dxa"/>
            <w:vAlign w:val="center"/>
          </w:tcPr>
          <w:p w:rsidR="008711DE" w:rsidRDefault="00D676A6">
            <w:pPr>
              <w:jc w:val="center"/>
            </w:pPr>
            <w:r>
              <w:rPr>
                <w:sz w:val="24"/>
              </w:rPr>
              <w:t>-</w:t>
            </w:r>
          </w:p>
        </w:tc>
        <w:tc>
          <w:tcPr>
            <w:tcW w:w="2352" w:type="dxa"/>
            <w:vAlign w:val="center"/>
          </w:tcPr>
          <w:p w:rsidR="008711DE" w:rsidRDefault="00D676A6">
            <w:pPr>
              <w:jc w:val="center"/>
            </w:pPr>
            <w:r>
              <w:rPr>
                <w:sz w:val="24"/>
              </w:rPr>
              <w:t>7,462.17</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15,476.17</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19,694.67</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35,170.84</w:t>
            </w:r>
          </w:p>
        </w:tc>
      </w:tr>
    </w:tbl>
    <w:p w:rsidR="008711DE" w:rsidRDefault="00D676A6">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8711DE" w:rsidRDefault="00D676A6">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6D141C" w:rsidRPr="0061644B" w:rsidRDefault="006D141C" w:rsidP="00792A69">
      <w:pPr>
        <w:tabs>
          <w:tab w:val="left" w:pos="426"/>
        </w:tabs>
        <w:spacing w:before="29" w:line="288" w:lineRule="auto"/>
        <w:jc w:val="left"/>
        <w:rPr>
          <w:kern w:val="0"/>
          <w:sz w:val="24"/>
        </w:rPr>
      </w:pPr>
      <w:r w:rsidRPr="0061644B">
        <w:rPr>
          <w:kern w:val="0"/>
          <w:sz w:val="24"/>
        </w:rPr>
        <w:t>B</w:t>
      </w:r>
      <w:r w:rsidRPr="0061644B">
        <w:rPr>
          <w:kern w:val="0"/>
          <w:sz w:val="24"/>
        </w:rPr>
        <w:t>类基金日销售服务费＝前一日</w:t>
      </w:r>
      <w:r w:rsidRPr="0061644B">
        <w:rPr>
          <w:kern w:val="0"/>
          <w:sz w:val="24"/>
        </w:rPr>
        <w:t>B</w:t>
      </w:r>
      <w:r w:rsidRPr="0061644B">
        <w:rPr>
          <w:kern w:val="0"/>
          <w:sz w:val="24"/>
        </w:rPr>
        <w:t>类基金份额对应的资产净值</w:t>
      </w:r>
      <w:r w:rsidRPr="0061644B">
        <w:rPr>
          <w:kern w:val="0"/>
          <w:sz w:val="24"/>
        </w:rPr>
        <w:t>×0.01%÷</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本报告期内及上年度可比期间未发生基金管理人运用固有资金投资本基金的情况。</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6D141C"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7E22D4" w:rsidRPr="007E22D4" w:rsidRDefault="007E22D4" w:rsidP="00792A69">
      <w:pPr>
        <w:tabs>
          <w:tab w:val="left" w:pos="426"/>
        </w:tabs>
        <w:spacing w:before="29" w:line="288" w:lineRule="auto"/>
        <w:jc w:val="left"/>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2016</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2016</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2015</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2015</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8711DE">
        <w:tc>
          <w:tcPr>
            <w:tcW w:w="1799" w:type="dxa"/>
            <w:vAlign w:val="center"/>
          </w:tcPr>
          <w:p w:rsidR="008711DE" w:rsidRDefault="00D676A6">
            <w:pPr>
              <w:jc w:val="center"/>
            </w:pPr>
            <w:r>
              <w:rPr>
                <w:sz w:val="24"/>
              </w:rPr>
              <w:t>中国建设银行</w:t>
            </w:r>
          </w:p>
        </w:tc>
        <w:tc>
          <w:tcPr>
            <w:tcW w:w="1799" w:type="dxa"/>
            <w:vAlign w:val="center"/>
          </w:tcPr>
          <w:p w:rsidR="008711DE" w:rsidRDefault="00D676A6">
            <w:pPr>
              <w:jc w:val="center"/>
            </w:pPr>
            <w:r>
              <w:rPr>
                <w:sz w:val="24"/>
              </w:rPr>
              <w:t>353,469.56</w:t>
            </w:r>
          </w:p>
        </w:tc>
        <w:tc>
          <w:tcPr>
            <w:tcW w:w="1800" w:type="dxa"/>
            <w:vAlign w:val="center"/>
          </w:tcPr>
          <w:p w:rsidR="008711DE" w:rsidRDefault="00D676A6">
            <w:pPr>
              <w:jc w:val="center"/>
            </w:pPr>
            <w:r>
              <w:rPr>
                <w:sz w:val="24"/>
              </w:rPr>
              <w:t>14,072.37</w:t>
            </w:r>
          </w:p>
        </w:tc>
        <w:tc>
          <w:tcPr>
            <w:tcW w:w="1800" w:type="dxa"/>
            <w:vAlign w:val="center"/>
          </w:tcPr>
          <w:p w:rsidR="008711DE" w:rsidRDefault="00D676A6">
            <w:pPr>
              <w:jc w:val="center"/>
            </w:pPr>
            <w:r>
              <w:rPr>
                <w:sz w:val="24"/>
              </w:rPr>
              <w:t>1,231,336.74</w:t>
            </w:r>
          </w:p>
        </w:tc>
        <w:tc>
          <w:tcPr>
            <w:tcW w:w="1800" w:type="dxa"/>
            <w:vAlign w:val="center"/>
          </w:tcPr>
          <w:p w:rsidR="008711DE" w:rsidRDefault="00D676A6">
            <w:pPr>
              <w:jc w:val="center"/>
            </w:pPr>
            <w:r>
              <w:rPr>
                <w:sz w:val="24"/>
              </w:rPr>
              <w:t>47,555.11</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6D141C" w:rsidRPr="0061644B" w:rsidRDefault="006D141C" w:rsidP="00792A69">
      <w:pPr>
        <w:adjustRightInd w:val="0"/>
        <w:snapToGrid w:val="0"/>
        <w:spacing w:before="29" w:line="288" w:lineRule="auto"/>
        <w:rPr>
          <w:b/>
          <w:sz w:val="24"/>
        </w:rPr>
      </w:pPr>
      <w:r w:rsidRPr="0061644B">
        <w:rPr>
          <w:b/>
          <w:bCs/>
          <w:kern w:val="0"/>
          <w:sz w:val="24"/>
        </w:rPr>
        <w:t>6.4.8.7</w:t>
      </w:r>
      <w:r w:rsidRPr="0061644B">
        <w:rPr>
          <w:b/>
          <w:sz w:val="24"/>
        </w:rPr>
        <w:t>其他关联交易事项的说明</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本基金本报告期内及上年度可比期间无其他关联交易事项。</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2016</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lastRenderedPageBreak/>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本基金本报告期末无从事债券正回购交易形成的卖出回购证券款余额。</w:t>
      </w:r>
    </w:p>
    <w:p w:rsidR="006D141C" w:rsidRPr="0061644B" w:rsidRDefault="006D141C" w:rsidP="00792A69">
      <w:pPr>
        <w:spacing w:before="29" w:line="288" w:lineRule="auto"/>
        <w:rPr>
          <w:sz w:val="24"/>
        </w:rPr>
      </w:pPr>
    </w:p>
    <w:p w:rsidR="006D141C" w:rsidRPr="0061644B" w:rsidRDefault="002620BD" w:rsidP="00CE2B75">
      <w:pPr>
        <w:pStyle w:val="1"/>
        <w:keepNext/>
        <w:keepLines/>
        <w:widowControl w:val="0"/>
        <w:spacing w:beforeLines="100" w:before="312" w:afterLines="100" w:after="312" w:line="288" w:lineRule="auto"/>
        <w:jc w:val="center"/>
        <w:rPr>
          <w:b/>
          <w:bCs/>
          <w:szCs w:val="24"/>
          <w:lang w:val="en-US"/>
        </w:rPr>
      </w:pPr>
      <w:bookmarkStart w:id="13" w:name="_Toc331410101"/>
      <w:bookmarkStart w:id="14" w:name="_Toc225498272"/>
      <w:r w:rsidRPr="0061644B">
        <w:rPr>
          <w:b/>
          <w:bCs/>
          <w:szCs w:val="24"/>
          <w:lang w:val="en-US"/>
        </w:rPr>
        <w:t>7</w:t>
      </w:r>
      <w:r w:rsidR="006D141C" w:rsidRPr="0061644B">
        <w:rPr>
          <w:b/>
          <w:bCs/>
          <w:szCs w:val="24"/>
          <w:lang w:val="en-US"/>
        </w:rPr>
        <w:t>投资组合报告</w:t>
      </w:r>
      <w:bookmarkEnd w:id="13"/>
      <w:bookmarkEnd w:id="14"/>
    </w:p>
    <w:p w:rsidR="006D141C" w:rsidRPr="0061644B" w:rsidRDefault="006D141C" w:rsidP="00792A69">
      <w:pPr>
        <w:pStyle w:val="20"/>
        <w:spacing w:before="29" w:after="0" w:line="288" w:lineRule="auto"/>
        <w:rPr>
          <w:rFonts w:ascii="Times New Roman" w:hAnsi="Times New Roman" w:cs="Times New Roman"/>
          <w:kern w:val="0"/>
          <w:szCs w:val="24"/>
        </w:rPr>
      </w:pPr>
      <w:bookmarkStart w:id="15" w:name="_Toc331410102"/>
      <w:bookmarkStart w:id="16"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5"/>
      <w:bookmarkEnd w:id="16"/>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2,995,375.39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31.85</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2,995,375.39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31.85</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2C0AC9">
            <w:pPr>
              <w:spacing w:before="29" w:line="288" w:lineRule="auto"/>
              <w:ind w:leftChars="50" w:left="105" w:firstLineChars="300" w:firstLine="720"/>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6,353,469.56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67.56</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55,135.91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0.59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9,403,980.86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17" w:name="_Toc331410103"/>
      <w:bookmarkStart w:id="18" w:name="_Toc225498274"/>
      <w:bookmarkStart w:id="19" w:name="_GoBack"/>
      <w:bookmarkEnd w:id="19"/>
      <w:r w:rsidRPr="0061644B">
        <w:rPr>
          <w:rFonts w:ascii="Times New Roman" w:hAnsi="Times New Roman" w:cs="Times New Roman"/>
          <w:szCs w:val="24"/>
        </w:rPr>
        <w:t>7.2</w:t>
      </w:r>
      <w:bookmarkEnd w:id="17"/>
      <w:bookmarkEnd w:id="18"/>
      <w:r w:rsidR="00AF5FD2" w:rsidRPr="0061644B">
        <w:rPr>
          <w:rFonts w:ascii="Times New Roman" w:hAnsi="Times New Roman" w:cs="Times New Roman"/>
          <w:szCs w:val="24"/>
        </w:rPr>
        <w:t>债券回购融资情况</w:t>
      </w:r>
    </w:p>
    <w:p w:rsidR="00645501" w:rsidRPr="005E1AD8" w:rsidRDefault="00645501" w:rsidP="00645501">
      <w:pPr>
        <w:autoSpaceDE w:val="0"/>
        <w:autoSpaceDN w:val="0"/>
        <w:adjustRightInd w:val="0"/>
        <w:spacing w:before="29" w:line="288" w:lineRule="auto"/>
        <w:ind w:left="15"/>
        <w:jc w:val="right"/>
        <w:rPr>
          <w:sz w:val="24"/>
        </w:rPr>
      </w:pPr>
      <w:r w:rsidRPr="005E1AD8">
        <w:rPr>
          <w:sz w:val="24"/>
        </w:rPr>
        <w:t>金额单位：人民币元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45501" w:rsidRPr="005E1AD8" w:rsidTr="00A80842">
        <w:trPr>
          <w:trHeight w:val="390"/>
        </w:trPr>
        <w:tc>
          <w:tcPr>
            <w:tcW w:w="786" w:type="dxa"/>
            <w:vAlign w:val="center"/>
          </w:tcPr>
          <w:p w:rsidR="00645501" w:rsidRPr="005E1AD8" w:rsidRDefault="00645501" w:rsidP="00A80842">
            <w:pPr>
              <w:spacing w:before="29" w:line="288" w:lineRule="auto"/>
              <w:jc w:val="center"/>
              <w:rPr>
                <w:sz w:val="24"/>
              </w:rPr>
            </w:pPr>
            <w:r w:rsidRPr="005E1AD8">
              <w:rPr>
                <w:sz w:val="24"/>
              </w:rPr>
              <w:t>序号</w:t>
            </w:r>
          </w:p>
        </w:tc>
        <w:tc>
          <w:tcPr>
            <w:tcW w:w="3183" w:type="dxa"/>
            <w:tcMar>
              <w:top w:w="15" w:type="dxa"/>
              <w:left w:w="15" w:type="dxa"/>
              <w:bottom w:w="0" w:type="dxa"/>
              <w:right w:w="15" w:type="dxa"/>
            </w:tcMar>
            <w:vAlign w:val="center"/>
          </w:tcPr>
          <w:p w:rsidR="00645501" w:rsidRPr="005E1AD8" w:rsidRDefault="00645501" w:rsidP="00A80842">
            <w:pPr>
              <w:spacing w:before="29" w:line="288" w:lineRule="auto"/>
              <w:jc w:val="center"/>
              <w:rPr>
                <w:sz w:val="24"/>
              </w:rPr>
            </w:pPr>
            <w:r w:rsidRPr="005E1AD8">
              <w:rPr>
                <w:kern w:val="0"/>
                <w:sz w:val="24"/>
              </w:rPr>
              <w:t>项目</w:t>
            </w:r>
          </w:p>
        </w:tc>
        <w:tc>
          <w:tcPr>
            <w:tcW w:w="5132" w:type="dxa"/>
            <w:gridSpan w:val="3"/>
            <w:vAlign w:val="center"/>
          </w:tcPr>
          <w:p w:rsidR="00645501" w:rsidRPr="005E1AD8" w:rsidRDefault="00645501" w:rsidP="00A80842">
            <w:pPr>
              <w:spacing w:before="29" w:line="288" w:lineRule="auto"/>
              <w:jc w:val="center"/>
              <w:rPr>
                <w:sz w:val="24"/>
              </w:rPr>
            </w:pPr>
            <w:r w:rsidRPr="005E1AD8">
              <w:rPr>
                <w:sz w:val="24"/>
              </w:rPr>
              <w:t>占基金资产净值的比例（％）</w:t>
            </w:r>
          </w:p>
        </w:tc>
      </w:tr>
      <w:tr w:rsidR="00645501" w:rsidRPr="005E1AD8" w:rsidTr="00A80842">
        <w:trPr>
          <w:trHeight w:val="285"/>
        </w:trPr>
        <w:tc>
          <w:tcPr>
            <w:tcW w:w="786" w:type="dxa"/>
            <w:vMerge w:val="restart"/>
            <w:tcMar>
              <w:top w:w="15" w:type="dxa"/>
              <w:left w:w="15" w:type="dxa"/>
              <w:bottom w:w="0" w:type="dxa"/>
              <w:right w:w="15" w:type="dxa"/>
            </w:tcMar>
            <w:vAlign w:val="center"/>
          </w:tcPr>
          <w:p w:rsidR="00645501" w:rsidRPr="005E1AD8" w:rsidRDefault="00645501" w:rsidP="00A80842">
            <w:pPr>
              <w:spacing w:before="29" w:line="288" w:lineRule="auto"/>
              <w:jc w:val="center"/>
              <w:rPr>
                <w:sz w:val="24"/>
              </w:rPr>
            </w:pPr>
            <w:r w:rsidRPr="005E1AD8">
              <w:rPr>
                <w:sz w:val="24"/>
              </w:rPr>
              <w:t>1</w:t>
            </w:r>
          </w:p>
        </w:tc>
        <w:tc>
          <w:tcPr>
            <w:tcW w:w="3183" w:type="dxa"/>
            <w:tcMar>
              <w:top w:w="15" w:type="dxa"/>
              <w:left w:w="15" w:type="dxa"/>
              <w:bottom w:w="0" w:type="dxa"/>
              <w:right w:w="15" w:type="dxa"/>
            </w:tcMar>
            <w:vAlign w:val="center"/>
          </w:tcPr>
          <w:p w:rsidR="00645501" w:rsidRPr="005E1AD8" w:rsidRDefault="00645501" w:rsidP="00A80842">
            <w:pPr>
              <w:spacing w:before="29" w:line="288" w:lineRule="auto"/>
              <w:ind w:leftChars="50" w:left="105"/>
              <w:jc w:val="center"/>
              <w:rPr>
                <w:sz w:val="24"/>
              </w:rPr>
            </w:pPr>
            <w:r w:rsidRPr="005E1AD8">
              <w:rPr>
                <w:sz w:val="24"/>
              </w:rPr>
              <w:t>报告期内债券回购融资余额</w:t>
            </w:r>
          </w:p>
        </w:tc>
        <w:tc>
          <w:tcPr>
            <w:tcW w:w="5132" w:type="dxa"/>
            <w:gridSpan w:val="3"/>
            <w:vAlign w:val="center"/>
          </w:tcPr>
          <w:p w:rsidR="00645501" w:rsidRPr="005E1AD8" w:rsidRDefault="00645501" w:rsidP="00A80842">
            <w:pPr>
              <w:spacing w:before="29" w:line="288" w:lineRule="auto"/>
              <w:jc w:val="right"/>
              <w:rPr>
                <w:sz w:val="24"/>
              </w:rPr>
            </w:pPr>
            <w:r w:rsidRPr="005E1AD8">
              <w:rPr>
                <w:sz w:val="24"/>
              </w:rPr>
              <w:t>-</w:t>
            </w:r>
          </w:p>
        </w:tc>
      </w:tr>
      <w:tr w:rsidR="00645501" w:rsidRPr="005E1AD8" w:rsidTr="00A80842">
        <w:trPr>
          <w:trHeight w:val="285"/>
        </w:trPr>
        <w:tc>
          <w:tcPr>
            <w:tcW w:w="786" w:type="dxa"/>
            <w:vMerge/>
            <w:tcMar>
              <w:top w:w="15" w:type="dxa"/>
              <w:left w:w="15" w:type="dxa"/>
              <w:bottom w:w="0" w:type="dxa"/>
              <w:right w:w="15" w:type="dxa"/>
            </w:tcMar>
            <w:vAlign w:val="center"/>
          </w:tcPr>
          <w:p w:rsidR="00645501" w:rsidRPr="005E1AD8" w:rsidRDefault="00645501" w:rsidP="00A80842">
            <w:pPr>
              <w:spacing w:before="29" w:line="288" w:lineRule="auto"/>
              <w:jc w:val="center"/>
              <w:rPr>
                <w:sz w:val="24"/>
              </w:rPr>
            </w:pPr>
          </w:p>
        </w:tc>
        <w:tc>
          <w:tcPr>
            <w:tcW w:w="3183" w:type="dxa"/>
            <w:tcMar>
              <w:top w:w="15" w:type="dxa"/>
              <w:left w:w="15" w:type="dxa"/>
              <w:bottom w:w="0" w:type="dxa"/>
              <w:right w:w="15" w:type="dxa"/>
            </w:tcMar>
            <w:vAlign w:val="center"/>
          </w:tcPr>
          <w:p w:rsidR="00645501" w:rsidRPr="005E1AD8" w:rsidRDefault="00645501" w:rsidP="00A80842">
            <w:pPr>
              <w:spacing w:before="29" w:line="288" w:lineRule="auto"/>
              <w:ind w:leftChars="50" w:left="105"/>
              <w:jc w:val="center"/>
              <w:rPr>
                <w:sz w:val="24"/>
              </w:rPr>
            </w:pPr>
            <w:r w:rsidRPr="005E1AD8">
              <w:rPr>
                <w:sz w:val="24"/>
              </w:rPr>
              <w:t>其中：买断式回购融资</w:t>
            </w:r>
          </w:p>
        </w:tc>
        <w:tc>
          <w:tcPr>
            <w:tcW w:w="5132" w:type="dxa"/>
            <w:gridSpan w:val="3"/>
            <w:vAlign w:val="center"/>
          </w:tcPr>
          <w:p w:rsidR="00645501" w:rsidRPr="005E1AD8" w:rsidRDefault="00645501" w:rsidP="00A80842">
            <w:pPr>
              <w:spacing w:before="29" w:line="288" w:lineRule="auto"/>
              <w:jc w:val="right"/>
              <w:rPr>
                <w:sz w:val="24"/>
              </w:rPr>
            </w:pPr>
            <w:r w:rsidRPr="005E1AD8">
              <w:rPr>
                <w:sz w:val="24"/>
              </w:rPr>
              <w:t>-</w:t>
            </w:r>
          </w:p>
        </w:tc>
      </w:tr>
      <w:tr w:rsidR="00645501" w:rsidRPr="005E1AD8" w:rsidTr="00A80842">
        <w:trPr>
          <w:gridAfter w:val="1"/>
          <w:wAfter w:w="10" w:type="dxa"/>
          <w:trHeight w:val="285"/>
        </w:trPr>
        <w:tc>
          <w:tcPr>
            <w:tcW w:w="786" w:type="dxa"/>
            <w:tcMar>
              <w:top w:w="15" w:type="dxa"/>
              <w:left w:w="15" w:type="dxa"/>
              <w:bottom w:w="0" w:type="dxa"/>
              <w:right w:w="15" w:type="dxa"/>
            </w:tcMar>
            <w:vAlign w:val="center"/>
          </w:tcPr>
          <w:p w:rsidR="00645501" w:rsidRPr="005E1AD8" w:rsidRDefault="00645501" w:rsidP="00A80842">
            <w:pPr>
              <w:spacing w:before="29" w:line="288" w:lineRule="auto"/>
              <w:jc w:val="center"/>
              <w:rPr>
                <w:sz w:val="24"/>
              </w:rPr>
            </w:pPr>
            <w:r w:rsidRPr="005E1AD8">
              <w:rPr>
                <w:sz w:val="24"/>
              </w:rPr>
              <w:t>序号</w:t>
            </w:r>
          </w:p>
        </w:tc>
        <w:tc>
          <w:tcPr>
            <w:tcW w:w="3183" w:type="dxa"/>
            <w:tcMar>
              <w:top w:w="15" w:type="dxa"/>
              <w:left w:w="15" w:type="dxa"/>
              <w:bottom w:w="0" w:type="dxa"/>
              <w:right w:w="15" w:type="dxa"/>
            </w:tcMar>
            <w:vAlign w:val="center"/>
          </w:tcPr>
          <w:p w:rsidR="00645501" w:rsidRPr="005E1AD8" w:rsidRDefault="00645501" w:rsidP="00A80842">
            <w:pPr>
              <w:spacing w:before="29" w:line="288" w:lineRule="auto"/>
              <w:jc w:val="center"/>
              <w:rPr>
                <w:sz w:val="24"/>
              </w:rPr>
            </w:pPr>
            <w:r w:rsidRPr="005E1AD8">
              <w:rPr>
                <w:kern w:val="0"/>
                <w:sz w:val="24"/>
              </w:rPr>
              <w:t>项目</w:t>
            </w:r>
          </w:p>
        </w:tc>
        <w:tc>
          <w:tcPr>
            <w:tcW w:w="2901" w:type="dxa"/>
            <w:vAlign w:val="center"/>
          </w:tcPr>
          <w:p w:rsidR="00645501" w:rsidRPr="005E1AD8" w:rsidRDefault="00645501" w:rsidP="00A80842">
            <w:pPr>
              <w:spacing w:before="29" w:line="288" w:lineRule="auto"/>
              <w:jc w:val="center"/>
              <w:rPr>
                <w:sz w:val="24"/>
              </w:rPr>
            </w:pPr>
            <w:r w:rsidRPr="005E1AD8">
              <w:rPr>
                <w:kern w:val="0"/>
                <w:sz w:val="24"/>
              </w:rPr>
              <w:t>金额</w:t>
            </w:r>
          </w:p>
        </w:tc>
        <w:tc>
          <w:tcPr>
            <w:tcW w:w="2221" w:type="dxa"/>
            <w:tcMar>
              <w:top w:w="15" w:type="dxa"/>
              <w:left w:w="15" w:type="dxa"/>
              <w:bottom w:w="0" w:type="dxa"/>
              <w:right w:w="15" w:type="dxa"/>
            </w:tcMar>
            <w:vAlign w:val="center"/>
          </w:tcPr>
          <w:p w:rsidR="00645501" w:rsidRPr="005E1AD8" w:rsidRDefault="00645501" w:rsidP="00A80842">
            <w:pPr>
              <w:spacing w:before="29" w:line="288" w:lineRule="auto"/>
              <w:jc w:val="center"/>
              <w:rPr>
                <w:sz w:val="24"/>
              </w:rPr>
            </w:pPr>
            <w:r w:rsidRPr="005E1AD8">
              <w:rPr>
                <w:kern w:val="0"/>
                <w:sz w:val="24"/>
              </w:rPr>
              <w:t>占基金资产净值的比例（％）</w:t>
            </w:r>
          </w:p>
        </w:tc>
      </w:tr>
      <w:tr w:rsidR="00645501" w:rsidRPr="005E1AD8" w:rsidTr="00A80842">
        <w:trPr>
          <w:gridAfter w:val="1"/>
          <w:wAfter w:w="10" w:type="dxa"/>
          <w:trHeight w:val="285"/>
        </w:trPr>
        <w:tc>
          <w:tcPr>
            <w:tcW w:w="786" w:type="dxa"/>
            <w:vMerge w:val="restart"/>
            <w:tcMar>
              <w:top w:w="15" w:type="dxa"/>
              <w:left w:w="15" w:type="dxa"/>
              <w:bottom w:w="0" w:type="dxa"/>
              <w:right w:w="15" w:type="dxa"/>
            </w:tcMar>
            <w:vAlign w:val="center"/>
          </w:tcPr>
          <w:p w:rsidR="00645501" w:rsidRPr="005E1AD8" w:rsidRDefault="00645501" w:rsidP="00A80842">
            <w:pPr>
              <w:spacing w:before="29" w:line="288" w:lineRule="auto"/>
              <w:jc w:val="center"/>
              <w:rPr>
                <w:sz w:val="24"/>
              </w:rPr>
            </w:pPr>
            <w:r w:rsidRPr="005E1AD8">
              <w:rPr>
                <w:sz w:val="24"/>
              </w:rPr>
              <w:t>2</w:t>
            </w:r>
          </w:p>
        </w:tc>
        <w:tc>
          <w:tcPr>
            <w:tcW w:w="3183" w:type="dxa"/>
            <w:tcMar>
              <w:top w:w="15" w:type="dxa"/>
              <w:left w:w="15" w:type="dxa"/>
              <w:bottom w:w="0" w:type="dxa"/>
              <w:right w:w="15" w:type="dxa"/>
            </w:tcMar>
            <w:vAlign w:val="center"/>
          </w:tcPr>
          <w:p w:rsidR="00645501" w:rsidRPr="005E1AD8" w:rsidRDefault="00645501" w:rsidP="00A80842">
            <w:pPr>
              <w:spacing w:before="29" w:line="288" w:lineRule="auto"/>
              <w:jc w:val="center"/>
              <w:rPr>
                <w:sz w:val="24"/>
              </w:rPr>
            </w:pPr>
            <w:r w:rsidRPr="005E1AD8">
              <w:rPr>
                <w:sz w:val="24"/>
              </w:rPr>
              <w:t>报告期末债券回购融资余额</w:t>
            </w:r>
          </w:p>
        </w:tc>
        <w:tc>
          <w:tcPr>
            <w:tcW w:w="2901" w:type="dxa"/>
            <w:vAlign w:val="center"/>
          </w:tcPr>
          <w:p w:rsidR="00645501" w:rsidRPr="005E1AD8" w:rsidRDefault="00645501" w:rsidP="00A80842">
            <w:pPr>
              <w:spacing w:before="29" w:line="288" w:lineRule="auto"/>
              <w:jc w:val="right"/>
              <w:rPr>
                <w:sz w:val="24"/>
              </w:rPr>
            </w:pPr>
            <w:r w:rsidRPr="005E1AD8">
              <w:rPr>
                <w:sz w:val="24"/>
              </w:rPr>
              <w:t>-</w:t>
            </w:r>
          </w:p>
        </w:tc>
        <w:tc>
          <w:tcPr>
            <w:tcW w:w="2221" w:type="dxa"/>
            <w:tcMar>
              <w:top w:w="15" w:type="dxa"/>
              <w:left w:w="15" w:type="dxa"/>
              <w:bottom w:w="0" w:type="dxa"/>
              <w:right w:w="15" w:type="dxa"/>
            </w:tcMar>
            <w:vAlign w:val="center"/>
          </w:tcPr>
          <w:p w:rsidR="00645501" w:rsidRPr="005E1AD8" w:rsidRDefault="00645501" w:rsidP="00A80842">
            <w:pPr>
              <w:spacing w:before="29" w:line="288" w:lineRule="auto"/>
              <w:jc w:val="right"/>
              <w:rPr>
                <w:sz w:val="24"/>
              </w:rPr>
            </w:pPr>
            <w:r w:rsidRPr="005E1AD8">
              <w:rPr>
                <w:sz w:val="24"/>
              </w:rPr>
              <w:t>-</w:t>
            </w:r>
          </w:p>
        </w:tc>
      </w:tr>
      <w:tr w:rsidR="00645501" w:rsidRPr="005E1AD8" w:rsidTr="00A80842">
        <w:trPr>
          <w:gridAfter w:val="1"/>
          <w:wAfter w:w="10" w:type="dxa"/>
          <w:trHeight w:val="285"/>
        </w:trPr>
        <w:tc>
          <w:tcPr>
            <w:tcW w:w="786" w:type="dxa"/>
            <w:vMerge/>
            <w:tcMar>
              <w:top w:w="15" w:type="dxa"/>
              <w:left w:w="15" w:type="dxa"/>
              <w:bottom w:w="0" w:type="dxa"/>
              <w:right w:w="15" w:type="dxa"/>
            </w:tcMar>
            <w:vAlign w:val="center"/>
          </w:tcPr>
          <w:p w:rsidR="00645501" w:rsidRPr="005E1AD8" w:rsidRDefault="00645501" w:rsidP="00A80842">
            <w:pPr>
              <w:spacing w:before="29" w:line="288" w:lineRule="auto"/>
              <w:jc w:val="center"/>
              <w:rPr>
                <w:sz w:val="24"/>
              </w:rPr>
            </w:pPr>
          </w:p>
        </w:tc>
        <w:tc>
          <w:tcPr>
            <w:tcW w:w="3183" w:type="dxa"/>
            <w:tcMar>
              <w:top w:w="15" w:type="dxa"/>
              <w:left w:w="15" w:type="dxa"/>
              <w:bottom w:w="0" w:type="dxa"/>
              <w:right w:w="15" w:type="dxa"/>
            </w:tcMar>
            <w:vAlign w:val="center"/>
          </w:tcPr>
          <w:p w:rsidR="00645501" w:rsidRPr="005E1AD8" w:rsidRDefault="00645501" w:rsidP="00A80842">
            <w:pPr>
              <w:spacing w:before="29" w:line="288" w:lineRule="auto"/>
              <w:jc w:val="center"/>
              <w:rPr>
                <w:sz w:val="24"/>
              </w:rPr>
            </w:pPr>
            <w:r w:rsidRPr="005E1AD8">
              <w:rPr>
                <w:sz w:val="24"/>
              </w:rPr>
              <w:t>其中：买断式回购融资</w:t>
            </w:r>
          </w:p>
        </w:tc>
        <w:tc>
          <w:tcPr>
            <w:tcW w:w="2901" w:type="dxa"/>
            <w:vAlign w:val="center"/>
          </w:tcPr>
          <w:p w:rsidR="00645501" w:rsidRPr="005E1AD8" w:rsidRDefault="00645501" w:rsidP="00A80842">
            <w:pPr>
              <w:spacing w:before="29" w:line="288" w:lineRule="auto"/>
              <w:jc w:val="right"/>
              <w:rPr>
                <w:sz w:val="24"/>
              </w:rPr>
            </w:pPr>
            <w:r w:rsidRPr="005E1AD8">
              <w:rPr>
                <w:sz w:val="24"/>
              </w:rPr>
              <w:t>-</w:t>
            </w:r>
          </w:p>
        </w:tc>
        <w:tc>
          <w:tcPr>
            <w:tcW w:w="2221" w:type="dxa"/>
            <w:tcMar>
              <w:top w:w="15" w:type="dxa"/>
              <w:left w:w="15" w:type="dxa"/>
              <w:bottom w:w="0" w:type="dxa"/>
              <w:right w:w="15" w:type="dxa"/>
            </w:tcMar>
            <w:vAlign w:val="center"/>
          </w:tcPr>
          <w:p w:rsidR="00645501" w:rsidRPr="005E1AD8" w:rsidRDefault="00645501" w:rsidP="00A80842">
            <w:pPr>
              <w:spacing w:before="29" w:line="288" w:lineRule="auto"/>
              <w:jc w:val="right"/>
              <w:rPr>
                <w:sz w:val="24"/>
              </w:rPr>
            </w:pPr>
            <w:r w:rsidRPr="005E1AD8">
              <w:rPr>
                <w:sz w:val="24"/>
              </w:rPr>
              <w:t>-</w:t>
            </w:r>
          </w:p>
        </w:tc>
      </w:tr>
    </w:tbl>
    <w:p w:rsidR="006D141C" w:rsidRDefault="00645501" w:rsidP="00792A69">
      <w:pPr>
        <w:tabs>
          <w:tab w:val="left" w:pos="426"/>
        </w:tabs>
        <w:spacing w:before="29" w:line="288" w:lineRule="auto"/>
        <w:jc w:val="left"/>
        <w:rPr>
          <w:kern w:val="0"/>
          <w:sz w:val="24"/>
        </w:rPr>
      </w:pPr>
      <w:r w:rsidRPr="005E1AD8">
        <w:rPr>
          <w:kern w:val="0"/>
          <w:sz w:val="24"/>
        </w:rPr>
        <w:lastRenderedPageBreak/>
        <w:t>注：</w:t>
      </w:r>
      <w:r w:rsidR="006D141C" w:rsidRPr="0061644B">
        <w:rPr>
          <w:kern w:val="0"/>
          <w:sz w:val="24"/>
        </w:rPr>
        <w:t>报告期内债券回购融资余额占基金资产净值的比例为报告期内每个银行间市场交易日融资余额占资产净值比例的简单平均值。</w:t>
      </w:r>
    </w:p>
    <w:p w:rsidR="00645501" w:rsidRPr="0061644B" w:rsidRDefault="00645501" w:rsidP="00792A69">
      <w:pPr>
        <w:tabs>
          <w:tab w:val="left" w:pos="426"/>
        </w:tabs>
        <w:spacing w:before="29" w:line="288" w:lineRule="auto"/>
        <w:jc w:val="left"/>
        <w:rPr>
          <w:kern w:val="0"/>
          <w:sz w:val="24"/>
        </w:rPr>
      </w:pPr>
    </w:p>
    <w:p w:rsidR="002313DE" w:rsidRPr="0061644B" w:rsidRDefault="002313DE" w:rsidP="00792A69">
      <w:pPr>
        <w:autoSpaceDE w:val="0"/>
        <w:autoSpaceDN w:val="0"/>
        <w:adjustRightInd w:val="0"/>
        <w:spacing w:before="29" w:line="288" w:lineRule="auto"/>
        <w:rPr>
          <w:b/>
          <w:kern w:val="0"/>
          <w:sz w:val="24"/>
        </w:rPr>
      </w:pPr>
      <w:bookmarkStart w:id="20" w:name="_Toc247957040"/>
      <w:bookmarkStart w:id="21"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0"/>
      <w:bookmarkEnd w:id="21"/>
    </w:p>
    <w:p w:rsidR="002313DE" w:rsidRPr="0061644B" w:rsidRDefault="00985B68" w:rsidP="00792A69">
      <w:pPr>
        <w:tabs>
          <w:tab w:val="left" w:pos="426"/>
        </w:tabs>
        <w:spacing w:before="29" w:line="288" w:lineRule="auto"/>
        <w:jc w:val="left"/>
        <w:rPr>
          <w:kern w:val="0"/>
          <w:sz w:val="24"/>
        </w:rPr>
      </w:pPr>
      <w:r w:rsidRPr="0061644B">
        <w:rPr>
          <w:kern w:val="0"/>
          <w:sz w:val="24"/>
        </w:rPr>
        <w:t>本基金合同约定：</w:t>
      </w:r>
      <w:r w:rsidRPr="0061644B">
        <w:rPr>
          <w:kern w:val="0"/>
          <w:sz w:val="24"/>
        </w:rPr>
        <w:t>“</w:t>
      </w:r>
      <w:r w:rsidRPr="0061644B">
        <w:rPr>
          <w:kern w:val="0"/>
          <w:sz w:val="24"/>
        </w:rPr>
        <w:t>本基金进入全国银行间同业市场进行债券回购的资金余额不得超过基金资产净值的</w:t>
      </w:r>
      <w:r w:rsidRPr="0061644B">
        <w:rPr>
          <w:kern w:val="0"/>
          <w:sz w:val="24"/>
        </w:rPr>
        <w:t>40%”</w:t>
      </w:r>
      <w:r w:rsidRPr="0061644B">
        <w:rPr>
          <w:kern w:val="0"/>
          <w:sz w:val="24"/>
        </w:rPr>
        <w:t>。本报告期内，本基金未发生超标情况。</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2" w:name="_Toc275523745"/>
      <w:r w:rsidRPr="0061644B">
        <w:rPr>
          <w:b/>
          <w:bCs/>
          <w:sz w:val="24"/>
        </w:rPr>
        <w:t>7.3</w:t>
      </w:r>
      <w:bookmarkEnd w:id="22"/>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75</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99</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2</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w:t>
      </w:r>
      <w:r w:rsidR="00645501">
        <w:rPr>
          <w:rFonts w:hint="eastAsia"/>
          <w:b/>
          <w:sz w:val="24"/>
        </w:rPr>
        <w:t>8</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本基金合同约定：</w:t>
      </w:r>
      <w:r w:rsidRPr="00453908">
        <w:rPr>
          <w:rFonts w:eastAsiaTheme="minorEastAsia"/>
          <w:color w:val="000000" w:themeColor="text1"/>
          <w:sz w:val="24"/>
        </w:rPr>
        <w:t>“</w:t>
      </w:r>
      <w:r w:rsidRPr="00453908">
        <w:rPr>
          <w:rFonts w:eastAsiaTheme="minorEastAsia"/>
          <w:color w:val="000000" w:themeColor="text1"/>
          <w:sz w:val="24"/>
        </w:rPr>
        <w:t>本基金投资组合的平均剩余期限控制在</w:t>
      </w:r>
      <w:r w:rsidRPr="00453908">
        <w:rPr>
          <w:rFonts w:eastAsiaTheme="minorEastAsia"/>
          <w:color w:val="000000" w:themeColor="text1"/>
          <w:sz w:val="24"/>
        </w:rPr>
        <w:t xml:space="preserve">180 </w:t>
      </w:r>
      <w:r w:rsidRPr="00453908">
        <w:rPr>
          <w:rFonts w:eastAsiaTheme="minorEastAsia"/>
          <w:color w:val="000000" w:themeColor="text1"/>
          <w:sz w:val="24"/>
        </w:rPr>
        <w:t>天（含）以内。</w:t>
      </w:r>
      <w:r w:rsidRPr="00453908">
        <w:rPr>
          <w:rFonts w:eastAsiaTheme="minorEastAsia"/>
          <w:color w:val="000000" w:themeColor="text1"/>
          <w:sz w:val="24"/>
        </w:rPr>
        <w:t>”</w:t>
      </w:r>
      <w:r w:rsidRPr="00453908">
        <w:rPr>
          <w:rFonts w:eastAsiaTheme="minorEastAsia"/>
          <w:color w:val="000000" w:themeColor="text1"/>
          <w:sz w:val="24"/>
        </w:rPr>
        <w:t>本基金本报告期内投资组合平均剩余期限未超过</w:t>
      </w:r>
      <w:r w:rsidRPr="00453908">
        <w:rPr>
          <w:rFonts w:eastAsiaTheme="minorEastAsia"/>
          <w:color w:val="000000" w:themeColor="text1"/>
          <w:sz w:val="24"/>
        </w:rPr>
        <w:t>180</w:t>
      </w:r>
      <w:r w:rsidRPr="00453908">
        <w:rPr>
          <w:rFonts w:eastAsiaTheme="minorEastAsia"/>
          <w:color w:val="000000" w:themeColor="text1"/>
          <w:sz w:val="24"/>
        </w:rPr>
        <w:t>天。</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26"/>
        <w:gridCol w:w="2550"/>
        <w:gridCol w:w="2550"/>
      </w:tblGrid>
      <w:tr w:rsidR="006B4A69" w:rsidRPr="0061644B" w:rsidTr="00645501">
        <w:tc>
          <w:tcPr>
            <w:tcW w:w="993" w:type="dxa"/>
            <w:vAlign w:val="center"/>
          </w:tcPr>
          <w:p w:rsidR="004339AD" w:rsidRPr="0061644B" w:rsidRDefault="004339AD" w:rsidP="00792A69">
            <w:pPr>
              <w:spacing w:before="29" w:line="288" w:lineRule="auto"/>
              <w:jc w:val="center"/>
              <w:rPr>
                <w:sz w:val="24"/>
              </w:rPr>
            </w:pPr>
            <w:r w:rsidRPr="0061644B">
              <w:rPr>
                <w:sz w:val="24"/>
              </w:rPr>
              <w:t>序号</w:t>
            </w:r>
          </w:p>
        </w:tc>
        <w:tc>
          <w:tcPr>
            <w:tcW w:w="3126"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645501">
        <w:tc>
          <w:tcPr>
            <w:tcW w:w="993" w:type="dxa"/>
            <w:vAlign w:val="center"/>
          </w:tcPr>
          <w:p w:rsidR="004339AD" w:rsidRPr="0061644B" w:rsidRDefault="004339AD" w:rsidP="00792A69">
            <w:pPr>
              <w:spacing w:before="29" w:line="288" w:lineRule="auto"/>
              <w:jc w:val="center"/>
              <w:rPr>
                <w:sz w:val="24"/>
              </w:rPr>
            </w:pPr>
            <w:r w:rsidRPr="0061644B">
              <w:rPr>
                <w:sz w:val="24"/>
              </w:rPr>
              <w:t>1</w:t>
            </w:r>
          </w:p>
        </w:tc>
        <w:tc>
          <w:tcPr>
            <w:tcW w:w="3126"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35.96</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645501">
        <w:tc>
          <w:tcPr>
            <w:tcW w:w="993" w:type="dxa"/>
            <w:vAlign w:val="center"/>
          </w:tcPr>
          <w:p w:rsidR="004339AD" w:rsidRPr="0061644B" w:rsidRDefault="004339AD" w:rsidP="00792A69">
            <w:pPr>
              <w:spacing w:before="29" w:line="288" w:lineRule="auto"/>
              <w:jc w:val="center"/>
              <w:rPr>
                <w:sz w:val="24"/>
              </w:rPr>
            </w:pPr>
          </w:p>
        </w:tc>
        <w:tc>
          <w:tcPr>
            <w:tcW w:w="3126"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645501">
        <w:tc>
          <w:tcPr>
            <w:tcW w:w="993" w:type="dxa"/>
            <w:vAlign w:val="center"/>
          </w:tcPr>
          <w:p w:rsidR="004339AD" w:rsidRPr="0061644B" w:rsidRDefault="004339AD" w:rsidP="00792A69">
            <w:pPr>
              <w:spacing w:before="29" w:line="288" w:lineRule="auto"/>
              <w:jc w:val="center"/>
              <w:rPr>
                <w:sz w:val="24"/>
              </w:rPr>
            </w:pPr>
            <w:r w:rsidRPr="0061644B">
              <w:rPr>
                <w:sz w:val="24"/>
              </w:rPr>
              <w:t>2</w:t>
            </w:r>
          </w:p>
        </w:tc>
        <w:tc>
          <w:tcPr>
            <w:tcW w:w="3126"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32.17</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645501">
        <w:tc>
          <w:tcPr>
            <w:tcW w:w="993" w:type="dxa"/>
            <w:vAlign w:val="center"/>
          </w:tcPr>
          <w:p w:rsidR="004339AD" w:rsidRPr="0061644B" w:rsidRDefault="004339AD" w:rsidP="00792A69">
            <w:pPr>
              <w:spacing w:before="29" w:line="288" w:lineRule="auto"/>
              <w:jc w:val="center"/>
              <w:rPr>
                <w:sz w:val="24"/>
              </w:rPr>
            </w:pPr>
          </w:p>
        </w:tc>
        <w:tc>
          <w:tcPr>
            <w:tcW w:w="3126"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645501">
        <w:tc>
          <w:tcPr>
            <w:tcW w:w="993" w:type="dxa"/>
            <w:vAlign w:val="center"/>
          </w:tcPr>
          <w:p w:rsidR="004339AD" w:rsidRPr="0061644B" w:rsidRDefault="004339AD" w:rsidP="00792A69">
            <w:pPr>
              <w:spacing w:before="29" w:line="288" w:lineRule="auto"/>
              <w:jc w:val="center"/>
              <w:rPr>
                <w:sz w:val="24"/>
              </w:rPr>
            </w:pPr>
            <w:r w:rsidRPr="0061644B">
              <w:rPr>
                <w:sz w:val="24"/>
              </w:rPr>
              <w:t>3</w:t>
            </w:r>
          </w:p>
        </w:tc>
        <w:tc>
          <w:tcPr>
            <w:tcW w:w="3126"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645501">
        <w:tc>
          <w:tcPr>
            <w:tcW w:w="993" w:type="dxa"/>
            <w:vAlign w:val="center"/>
          </w:tcPr>
          <w:p w:rsidR="004339AD" w:rsidRPr="0061644B" w:rsidRDefault="004339AD" w:rsidP="00792A69">
            <w:pPr>
              <w:spacing w:before="29" w:line="288" w:lineRule="auto"/>
              <w:jc w:val="center"/>
              <w:rPr>
                <w:sz w:val="24"/>
              </w:rPr>
            </w:pPr>
          </w:p>
        </w:tc>
        <w:tc>
          <w:tcPr>
            <w:tcW w:w="3126"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645501">
        <w:tc>
          <w:tcPr>
            <w:tcW w:w="993" w:type="dxa"/>
            <w:vAlign w:val="center"/>
          </w:tcPr>
          <w:p w:rsidR="004339AD" w:rsidRPr="0061644B" w:rsidRDefault="004339AD" w:rsidP="00792A69">
            <w:pPr>
              <w:spacing w:before="29" w:line="288" w:lineRule="auto"/>
              <w:jc w:val="center"/>
              <w:rPr>
                <w:sz w:val="24"/>
              </w:rPr>
            </w:pPr>
            <w:r w:rsidRPr="0061644B">
              <w:rPr>
                <w:sz w:val="24"/>
              </w:rPr>
              <w:t>4</w:t>
            </w:r>
          </w:p>
        </w:tc>
        <w:tc>
          <w:tcPr>
            <w:tcW w:w="3126"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645501">
        <w:tc>
          <w:tcPr>
            <w:tcW w:w="993" w:type="dxa"/>
            <w:vAlign w:val="center"/>
          </w:tcPr>
          <w:p w:rsidR="004339AD" w:rsidRPr="0061644B" w:rsidRDefault="004339AD" w:rsidP="00792A69">
            <w:pPr>
              <w:spacing w:before="29" w:line="288" w:lineRule="auto"/>
              <w:jc w:val="center"/>
              <w:rPr>
                <w:sz w:val="24"/>
              </w:rPr>
            </w:pPr>
          </w:p>
        </w:tc>
        <w:tc>
          <w:tcPr>
            <w:tcW w:w="3126"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645501">
        <w:tc>
          <w:tcPr>
            <w:tcW w:w="993" w:type="dxa"/>
            <w:vAlign w:val="center"/>
          </w:tcPr>
          <w:p w:rsidR="00B258B8" w:rsidRPr="0061644B" w:rsidRDefault="00B258B8" w:rsidP="00792A69">
            <w:pPr>
              <w:spacing w:before="29" w:line="288" w:lineRule="auto"/>
              <w:jc w:val="center"/>
              <w:rPr>
                <w:sz w:val="24"/>
              </w:rPr>
            </w:pPr>
            <w:r w:rsidRPr="0061644B">
              <w:rPr>
                <w:sz w:val="24"/>
              </w:rPr>
              <w:t>5</w:t>
            </w:r>
          </w:p>
        </w:tc>
        <w:tc>
          <w:tcPr>
            <w:tcW w:w="3126"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32.12</w:t>
            </w:r>
          </w:p>
        </w:tc>
        <w:tc>
          <w:tcPr>
            <w:tcW w:w="2550" w:type="dxa"/>
          </w:tcPr>
          <w:p w:rsidR="00B258B8" w:rsidRPr="00B258B8" w:rsidRDefault="00B258B8" w:rsidP="00B258B8">
            <w:pPr>
              <w:rPr>
                <w:sz w:val="24"/>
              </w:rPr>
            </w:pPr>
            <w:r w:rsidRPr="00B258B8">
              <w:rPr>
                <w:sz w:val="24"/>
              </w:rPr>
              <w:t>-</w:t>
            </w:r>
          </w:p>
        </w:tc>
      </w:tr>
      <w:tr w:rsidR="006B4A69" w:rsidRPr="0061644B" w:rsidTr="00645501">
        <w:tc>
          <w:tcPr>
            <w:tcW w:w="993" w:type="dxa"/>
            <w:vAlign w:val="center"/>
          </w:tcPr>
          <w:p w:rsidR="004339AD" w:rsidRPr="0061644B" w:rsidRDefault="004339AD" w:rsidP="00792A69">
            <w:pPr>
              <w:spacing w:before="29" w:line="288" w:lineRule="auto"/>
              <w:jc w:val="center"/>
              <w:rPr>
                <w:sz w:val="24"/>
              </w:rPr>
            </w:pPr>
          </w:p>
        </w:tc>
        <w:tc>
          <w:tcPr>
            <w:tcW w:w="3126"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lastRenderedPageBreak/>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lastRenderedPageBreak/>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45501" w:rsidRPr="0061644B" w:rsidTr="00645501">
        <w:tc>
          <w:tcPr>
            <w:tcW w:w="993" w:type="dxa"/>
            <w:vAlign w:val="center"/>
          </w:tcPr>
          <w:p w:rsidR="00645501" w:rsidRPr="005E1AD8" w:rsidRDefault="00645501" w:rsidP="00A80842">
            <w:pPr>
              <w:spacing w:before="29" w:line="288" w:lineRule="auto"/>
              <w:jc w:val="center"/>
              <w:rPr>
                <w:sz w:val="24"/>
              </w:rPr>
            </w:pPr>
            <w:r w:rsidRPr="005E1AD8">
              <w:rPr>
                <w:sz w:val="24"/>
              </w:rPr>
              <w:lastRenderedPageBreak/>
              <w:t>6</w:t>
            </w:r>
          </w:p>
        </w:tc>
        <w:tc>
          <w:tcPr>
            <w:tcW w:w="3126" w:type="dxa"/>
            <w:vAlign w:val="center"/>
          </w:tcPr>
          <w:p w:rsidR="00645501" w:rsidRPr="005E1AD8" w:rsidRDefault="00645501" w:rsidP="00A80842">
            <w:pPr>
              <w:spacing w:before="29" w:line="288" w:lineRule="auto"/>
              <w:jc w:val="center"/>
              <w:rPr>
                <w:sz w:val="24"/>
              </w:rPr>
            </w:pPr>
            <w:r w:rsidRPr="005E1AD8">
              <w:rPr>
                <w:sz w:val="24"/>
              </w:rPr>
              <w:t>合计</w:t>
            </w:r>
          </w:p>
        </w:tc>
        <w:tc>
          <w:tcPr>
            <w:tcW w:w="2550" w:type="dxa"/>
            <w:vAlign w:val="center"/>
          </w:tcPr>
          <w:p w:rsidR="00645501" w:rsidRPr="0061644B" w:rsidRDefault="00645501" w:rsidP="00792A69">
            <w:pPr>
              <w:spacing w:before="29" w:line="288" w:lineRule="auto"/>
              <w:jc w:val="right"/>
              <w:rPr>
                <w:sz w:val="24"/>
              </w:rPr>
            </w:pPr>
            <w:r w:rsidRPr="0061644B">
              <w:rPr>
                <w:sz w:val="24"/>
              </w:rPr>
              <w:t>100.25</w:t>
            </w:r>
          </w:p>
        </w:tc>
        <w:tc>
          <w:tcPr>
            <w:tcW w:w="2550" w:type="dxa"/>
            <w:vAlign w:val="center"/>
          </w:tcPr>
          <w:p w:rsidR="00645501" w:rsidRPr="0061644B" w:rsidRDefault="00645501" w:rsidP="00792A69">
            <w:pPr>
              <w:spacing w:before="29" w:line="288" w:lineRule="auto"/>
              <w:jc w:val="right"/>
              <w:rPr>
                <w:sz w:val="24"/>
              </w:rPr>
            </w:pPr>
            <w:r w:rsidRPr="0061644B">
              <w:rPr>
                <w:sz w:val="24"/>
              </w:rPr>
              <w:t>-</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3" w:name="_Toc331410106"/>
      <w:bookmarkStart w:id="24"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3"/>
      <w:bookmarkEnd w:id="24"/>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2,995,375.39</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32.12</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2,995,375.39</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32.12</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2,995,375.39</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32.12</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5" w:name="_Toc331410107"/>
      <w:r w:rsidRPr="0061644B">
        <w:rPr>
          <w:rFonts w:ascii="Times New Roman" w:hAnsi="Times New Roman" w:cs="Times New Roman"/>
          <w:kern w:val="0"/>
          <w:szCs w:val="24"/>
        </w:rPr>
        <w:t>7.6</w:t>
      </w:r>
      <w:bookmarkEnd w:id="25"/>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8711DE">
        <w:tc>
          <w:tcPr>
            <w:tcW w:w="778" w:type="dxa"/>
            <w:vAlign w:val="center"/>
          </w:tcPr>
          <w:p w:rsidR="008711DE" w:rsidRDefault="00D676A6">
            <w:pPr>
              <w:jc w:val="center"/>
            </w:pPr>
            <w:r>
              <w:rPr>
                <w:sz w:val="24"/>
              </w:rPr>
              <w:t>1</w:t>
            </w:r>
          </w:p>
        </w:tc>
        <w:tc>
          <w:tcPr>
            <w:tcW w:w="1348" w:type="dxa"/>
            <w:vAlign w:val="center"/>
          </w:tcPr>
          <w:p w:rsidR="008711DE" w:rsidRDefault="00D676A6">
            <w:pPr>
              <w:jc w:val="center"/>
            </w:pPr>
            <w:r>
              <w:rPr>
                <w:sz w:val="24"/>
              </w:rPr>
              <w:t>160401</w:t>
            </w:r>
          </w:p>
        </w:tc>
        <w:tc>
          <w:tcPr>
            <w:tcW w:w="1787" w:type="dxa"/>
            <w:vAlign w:val="center"/>
          </w:tcPr>
          <w:p w:rsidR="008711DE" w:rsidRDefault="00D676A6">
            <w:pPr>
              <w:jc w:val="center"/>
            </w:pPr>
            <w:r>
              <w:rPr>
                <w:sz w:val="24"/>
              </w:rPr>
              <w:t>16</w:t>
            </w:r>
            <w:r>
              <w:rPr>
                <w:sz w:val="24"/>
              </w:rPr>
              <w:t>农发</w:t>
            </w:r>
            <w:r>
              <w:rPr>
                <w:sz w:val="24"/>
              </w:rPr>
              <w:t>01</w:t>
            </w:r>
          </w:p>
        </w:tc>
        <w:tc>
          <w:tcPr>
            <w:tcW w:w="1756" w:type="dxa"/>
            <w:vAlign w:val="center"/>
          </w:tcPr>
          <w:p w:rsidR="008711DE" w:rsidRDefault="00D676A6">
            <w:pPr>
              <w:jc w:val="center"/>
            </w:pPr>
            <w:r>
              <w:rPr>
                <w:sz w:val="24"/>
              </w:rPr>
              <w:t>30,000</w:t>
            </w:r>
          </w:p>
        </w:tc>
        <w:tc>
          <w:tcPr>
            <w:tcW w:w="2008" w:type="dxa"/>
            <w:vAlign w:val="center"/>
          </w:tcPr>
          <w:p w:rsidR="008711DE" w:rsidRDefault="00D676A6">
            <w:pPr>
              <w:jc w:val="center"/>
            </w:pPr>
            <w:r>
              <w:rPr>
                <w:sz w:val="24"/>
              </w:rPr>
              <w:t>2,995,375.39</w:t>
            </w:r>
          </w:p>
        </w:tc>
        <w:tc>
          <w:tcPr>
            <w:tcW w:w="1542" w:type="dxa"/>
            <w:vAlign w:val="center"/>
          </w:tcPr>
          <w:p w:rsidR="008711DE" w:rsidRDefault="00D676A6">
            <w:pPr>
              <w:jc w:val="center"/>
            </w:pPr>
            <w:r>
              <w:rPr>
                <w:sz w:val="24"/>
              </w:rPr>
              <w:t>32.12</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8"/>
      <w:r w:rsidRPr="0061644B">
        <w:rPr>
          <w:rFonts w:ascii="Times New Roman" w:hAnsi="Times New Roman" w:cs="Times New Roman"/>
          <w:kern w:val="0"/>
          <w:szCs w:val="24"/>
        </w:rPr>
        <w:t>7.7</w:t>
      </w:r>
      <w:bookmarkEnd w:id="26"/>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0.0623%</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0.0000%</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lastRenderedPageBreak/>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0.0241%</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D676A6">
      <w:pPr>
        <w:autoSpaceDE w:val="0"/>
        <w:autoSpaceDN w:val="0"/>
        <w:adjustRightInd w:val="0"/>
        <w:spacing w:line="360" w:lineRule="auto"/>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D676A6">
      <w:pPr>
        <w:autoSpaceDE w:val="0"/>
        <w:autoSpaceDN w:val="0"/>
        <w:adjustRightInd w:val="0"/>
        <w:spacing w:line="360" w:lineRule="auto"/>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7" w:name="_Toc331410109"/>
      <w:r w:rsidRPr="0061644B">
        <w:rPr>
          <w:rFonts w:ascii="Times New Roman" w:hAnsi="Times New Roman" w:cs="Times New Roman"/>
          <w:kern w:val="0"/>
          <w:szCs w:val="24"/>
        </w:rPr>
        <w:t>7.8</w:t>
      </w:r>
      <w:bookmarkEnd w:id="27"/>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Default="006D141C" w:rsidP="00792A69">
      <w:pPr>
        <w:tabs>
          <w:tab w:val="left" w:pos="426"/>
        </w:tabs>
        <w:spacing w:before="29" w:line="288" w:lineRule="auto"/>
        <w:jc w:val="left"/>
        <w:rPr>
          <w:kern w:val="0"/>
          <w:sz w:val="24"/>
        </w:rPr>
      </w:pPr>
      <w:r w:rsidRPr="0061644B">
        <w:rPr>
          <w:kern w:val="0"/>
          <w:sz w:val="24"/>
        </w:rPr>
        <w:t>本基金本报告期末未持有资产支持证券。</w:t>
      </w:r>
    </w:p>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55,135.91</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55,135.91</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EC034B" w:rsidRPr="0061644B">
        <w:rPr>
          <w:b/>
          <w:sz w:val="24"/>
        </w:rPr>
        <w:t>其他需说明的重要事项</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CE2B75">
      <w:pPr>
        <w:pStyle w:val="1"/>
        <w:keepNext/>
        <w:keepLines/>
        <w:widowControl w:val="0"/>
        <w:spacing w:beforeLines="100" w:before="312" w:afterLines="100" w:after="312" w:line="288" w:lineRule="auto"/>
        <w:jc w:val="center"/>
        <w:rPr>
          <w:b/>
          <w:bCs/>
          <w:szCs w:val="24"/>
          <w:lang w:val="en-US"/>
        </w:rPr>
      </w:pPr>
      <w:bookmarkStart w:id="28" w:name="_Toc331410111"/>
      <w:bookmarkStart w:id="29" w:name="_Toc225500050"/>
      <w:r w:rsidRPr="0061644B">
        <w:rPr>
          <w:b/>
          <w:bCs/>
          <w:szCs w:val="24"/>
          <w:lang w:val="en-US"/>
        </w:rPr>
        <w:t>8</w:t>
      </w:r>
      <w:r w:rsidR="006D141C" w:rsidRPr="0061644B">
        <w:rPr>
          <w:b/>
          <w:bCs/>
          <w:szCs w:val="24"/>
          <w:lang w:val="en-US"/>
        </w:rPr>
        <w:t>基金份额持有人信息</w:t>
      </w:r>
      <w:bookmarkEnd w:id="28"/>
      <w:bookmarkEnd w:id="29"/>
    </w:p>
    <w:p w:rsidR="008531F2" w:rsidRPr="0061644B" w:rsidRDefault="008531F2" w:rsidP="00792A69">
      <w:pPr>
        <w:pStyle w:val="20"/>
        <w:spacing w:before="29" w:after="0" w:line="288" w:lineRule="auto"/>
        <w:rPr>
          <w:rFonts w:ascii="Times New Roman" w:hAnsi="Times New Roman" w:cs="Times New Roman"/>
          <w:kern w:val="0"/>
          <w:szCs w:val="24"/>
        </w:rPr>
      </w:pPr>
      <w:bookmarkStart w:id="30" w:name="_Toc331410112"/>
      <w:bookmarkStart w:id="31"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0"/>
      <w:bookmarkEnd w:id="31"/>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790"/>
        <w:gridCol w:w="1176"/>
        <w:gridCol w:w="1278"/>
        <w:gridCol w:w="1534"/>
        <w:gridCol w:w="986"/>
        <w:gridCol w:w="1566"/>
        <w:gridCol w:w="95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交银理财</w:t>
            </w:r>
            <w:r w:rsidRPr="00495552">
              <w:rPr>
                <w:bCs/>
                <w:sz w:val="24"/>
              </w:rPr>
              <w:t>60</w:t>
            </w:r>
            <w:r w:rsidRPr="00495552">
              <w:rPr>
                <w:bCs/>
                <w:sz w:val="24"/>
              </w:rPr>
              <w:t>天债券</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204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45,716.13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3,929,119.07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42.13%</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5,396,971.78</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57.87%</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交银理财</w:t>
            </w:r>
            <w:r w:rsidRPr="00495552">
              <w:rPr>
                <w:bCs/>
                <w:sz w:val="24"/>
              </w:rPr>
              <w:t>60</w:t>
            </w:r>
            <w:r w:rsidRPr="00495552">
              <w:rPr>
                <w:bCs/>
                <w:sz w:val="24"/>
              </w:rPr>
              <w:t>天债券</w:t>
            </w:r>
            <w:r w:rsidRPr="00495552">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204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45,716.13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3,929,119.07</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42.13%</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5,396,971.78</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57.87%</w:t>
            </w:r>
          </w:p>
        </w:tc>
      </w:tr>
    </w:tbl>
    <w:p w:rsidR="008531F2" w:rsidRPr="002E74C6" w:rsidRDefault="008531F2"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2" w:name="_Toc331410113"/>
      <w:r w:rsidRPr="0061644B">
        <w:rPr>
          <w:rFonts w:ascii="Times New Roman" w:hAnsi="Times New Roman" w:cs="Times New Roman"/>
          <w:kern w:val="0"/>
          <w:szCs w:val="24"/>
        </w:rPr>
        <w:t>8.2</w:t>
      </w:r>
      <w:r w:rsidRPr="0061644B">
        <w:rPr>
          <w:rFonts w:ascii="Times New Roman" w:hAnsi="Times New Roman" w:cs="Times New Roman"/>
          <w:kern w:val="0"/>
          <w:szCs w:val="24"/>
        </w:rPr>
        <w:t>期末基金管理人的从业人员持有本基金的情况</w:t>
      </w:r>
      <w:bookmarkEnd w:id="32"/>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645501" w:rsidRPr="0061644B" w:rsidTr="00981E93">
        <w:tc>
          <w:tcPr>
            <w:tcW w:w="1560" w:type="dxa"/>
            <w:vMerge w:val="restart"/>
            <w:vAlign w:val="center"/>
          </w:tcPr>
          <w:p w:rsidR="00645501" w:rsidRPr="0061644B" w:rsidRDefault="00645501" w:rsidP="00792A69">
            <w:pPr>
              <w:spacing w:before="29" w:line="288" w:lineRule="auto"/>
              <w:rPr>
                <w:sz w:val="24"/>
              </w:rPr>
            </w:pPr>
            <w:r w:rsidRPr="0061644B">
              <w:rPr>
                <w:sz w:val="24"/>
              </w:rPr>
              <w:t>基金管理人所有从业人员持有本基金</w:t>
            </w:r>
          </w:p>
        </w:tc>
        <w:tc>
          <w:tcPr>
            <w:tcW w:w="2693" w:type="dxa"/>
            <w:vAlign w:val="center"/>
          </w:tcPr>
          <w:p w:rsidR="00645501" w:rsidRPr="0061644B" w:rsidRDefault="00645501" w:rsidP="00792A69">
            <w:pPr>
              <w:spacing w:before="29" w:line="288" w:lineRule="auto"/>
              <w:jc w:val="right"/>
              <w:rPr>
                <w:kern w:val="0"/>
                <w:sz w:val="24"/>
              </w:rPr>
            </w:pPr>
            <w:r w:rsidRPr="0061644B">
              <w:rPr>
                <w:sz w:val="24"/>
              </w:rPr>
              <w:t>交银理财</w:t>
            </w:r>
            <w:r w:rsidRPr="0061644B">
              <w:rPr>
                <w:sz w:val="24"/>
              </w:rPr>
              <w:t>60</w:t>
            </w:r>
            <w:r w:rsidRPr="0061644B">
              <w:rPr>
                <w:sz w:val="24"/>
              </w:rPr>
              <w:t>天债券</w:t>
            </w:r>
            <w:r w:rsidRPr="0061644B">
              <w:rPr>
                <w:sz w:val="24"/>
              </w:rPr>
              <w:t>A</w:t>
            </w:r>
          </w:p>
        </w:tc>
        <w:tc>
          <w:tcPr>
            <w:tcW w:w="2977" w:type="dxa"/>
            <w:vAlign w:val="center"/>
          </w:tcPr>
          <w:p w:rsidR="00645501" w:rsidRPr="005E1AD8" w:rsidRDefault="00645501" w:rsidP="00A80842">
            <w:pPr>
              <w:widowControl/>
              <w:spacing w:before="29" w:line="288" w:lineRule="auto"/>
              <w:jc w:val="right"/>
              <w:rPr>
                <w:kern w:val="0"/>
                <w:sz w:val="24"/>
              </w:rPr>
            </w:pPr>
            <w:r>
              <w:rPr>
                <w:rFonts w:hint="eastAsia"/>
                <w:kern w:val="0"/>
                <w:sz w:val="24"/>
              </w:rPr>
              <w:t>-</w:t>
            </w:r>
          </w:p>
        </w:tc>
        <w:tc>
          <w:tcPr>
            <w:tcW w:w="1768" w:type="dxa"/>
            <w:vAlign w:val="center"/>
          </w:tcPr>
          <w:p w:rsidR="00645501" w:rsidRPr="005E1AD8" w:rsidRDefault="00645501" w:rsidP="00A80842">
            <w:pPr>
              <w:widowControl/>
              <w:spacing w:before="29" w:line="288" w:lineRule="auto"/>
              <w:jc w:val="right"/>
              <w:rPr>
                <w:kern w:val="0"/>
                <w:sz w:val="24"/>
              </w:rPr>
            </w:pPr>
            <w:r>
              <w:rPr>
                <w:rFonts w:hint="eastAsia"/>
                <w:kern w:val="0"/>
                <w:sz w:val="24"/>
              </w:rPr>
              <w:t>-</w:t>
            </w:r>
          </w:p>
        </w:tc>
      </w:tr>
      <w:tr w:rsidR="00645501" w:rsidRPr="0061644B" w:rsidTr="00981E93">
        <w:tc>
          <w:tcPr>
            <w:tcW w:w="1560" w:type="dxa"/>
            <w:vMerge/>
            <w:vAlign w:val="center"/>
          </w:tcPr>
          <w:p w:rsidR="00645501" w:rsidRPr="0061644B" w:rsidRDefault="00645501" w:rsidP="00792A69">
            <w:pPr>
              <w:pStyle w:val="a0"/>
              <w:spacing w:before="29" w:line="288" w:lineRule="auto"/>
              <w:ind w:firstLineChars="0" w:firstLine="0"/>
              <w:rPr>
                <w:sz w:val="24"/>
              </w:rPr>
            </w:pPr>
          </w:p>
        </w:tc>
        <w:tc>
          <w:tcPr>
            <w:tcW w:w="2693" w:type="dxa"/>
            <w:vAlign w:val="center"/>
          </w:tcPr>
          <w:p w:rsidR="00645501" w:rsidRPr="0061644B" w:rsidRDefault="00645501" w:rsidP="00792A69">
            <w:pPr>
              <w:spacing w:before="29" w:line="288" w:lineRule="auto"/>
              <w:jc w:val="right"/>
              <w:rPr>
                <w:kern w:val="0"/>
                <w:sz w:val="24"/>
              </w:rPr>
            </w:pPr>
            <w:r w:rsidRPr="0061644B">
              <w:rPr>
                <w:sz w:val="24"/>
              </w:rPr>
              <w:t>交银理财</w:t>
            </w:r>
            <w:r w:rsidRPr="0061644B">
              <w:rPr>
                <w:sz w:val="24"/>
              </w:rPr>
              <w:t>60</w:t>
            </w:r>
            <w:r w:rsidRPr="0061644B">
              <w:rPr>
                <w:sz w:val="24"/>
              </w:rPr>
              <w:t>天债券</w:t>
            </w:r>
            <w:r w:rsidRPr="0061644B">
              <w:rPr>
                <w:sz w:val="24"/>
              </w:rPr>
              <w:t>B</w:t>
            </w:r>
          </w:p>
        </w:tc>
        <w:tc>
          <w:tcPr>
            <w:tcW w:w="2977" w:type="dxa"/>
            <w:vAlign w:val="center"/>
          </w:tcPr>
          <w:p w:rsidR="00645501" w:rsidRPr="005E1AD8" w:rsidRDefault="00645501" w:rsidP="00A80842">
            <w:pPr>
              <w:widowControl/>
              <w:spacing w:before="29" w:line="288" w:lineRule="auto"/>
              <w:jc w:val="right"/>
              <w:rPr>
                <w:kern w:val="0"/>
                <w:sz w:val="24"/>
              </w:rPr>
            </w:pPr>
            <w:r>
              <w:rPr>
                <w:rFonts w:hint="eastAsia"/>
                <w:kern w:val="0"/>
                <w:sz w:val="24"/>
              </w:rPr>
              <w:t>-</w:t>
            </w:r>
          </w:p>
        </w:tc>
        <w:tc>
          <w:tcPr>
            <w:tcW w:w="1768" w:type="dxa"/>
            <w:vAlign w:val="center"/>
          </w:tcPr>
          <w:p w:rsidR="00645501" w:rsidRPr="005E1AD8" w:rsidRDefault="00645501" w:rsidP="00A80842">
            <w:pPr>
              <w:widowControl/>
              <w:spacing w:before="29" w:line="288" w:lineRule="auto"/>
              <w:jc w:val="right"/>
              <w:rPr>
                <w:kern w:val="0"/>
                <w:sz w:val="24"/>
              </w:rPr>
            </w:pPr>
            <w:r>
              <w:rPr>
                <w:rFonts w:hint="eastAsia"/>
                <w:kern w:val="0"/>
                <w:sz w:val="24"/>
              </w:rPr>
              <w:t>-</w:t>
            </w:r>
          </w:p>
        </w:tc>
      </w:tr>
      <w:tr w:rsidR="00645501" w:rsidRPr="0061644B" w:rsidTr="00981E93">
        <w:tc>
          <w:tcPr>
            <w:tcW w:w="1560" w:type="dxa"/>
            <w:vMerge/>
            <w:vAlign w:val="center"/>
          </w:tcPr>
          <w:p w:rsidR="00645501" w:rsidRPr="0061644B" w:rsidRDefault="00645501" w:rsidP="00792A69">
            <w:pPr>
              <w:pStyle w:val="a0"/>
              <w:spacing w:before="29" w:line="288" w:lineRule="auto"/>
              <w:ind w:firstLineChars="0" w:firstLine="0"/>
              <w:rPr>
                <w:sz w:val="24"/>
              </w:rPr>
            </w:pPr>
          </w:p>
        </w:tc>
        <w:tc>
          <w:tcPr>
            <w:tcW w:w="2693" w:type="dxa"/>
            <w:vAlign w:val="center"/>
          </w:tcPr>
          <w:p w:rsidR="00645501" w:rsidRPr="0061644B" w:rsidRDefault="00645501" w:rsidP="00792A69">
            <w:pPr>
              <w:widowControl/>
              <w:spacing w:before="29" w:line="288" w:lineRule="auto"/>
              <w:jc w:val="center"/>
              <w:rPr>
                <w:kern w:val="0"/>
                <w:sz w:val="24"/>
              </w:rPr>
            </w:pPr>
            <w:r w:rsidRPr="0061644B">
              <w:rPr>
                <w:kern w:val="0"/>
                <w:sz w:val="24"/>
              </w:rPr>
              <w:t>合计</w:t>
            </w:r>
          </w:p>
        </w:tc>
        <w:tc>
          <w:tcPr>
            <w:tcW w:w="2977" w:type="dxa"/>
            <w:vAlign w:val="center"/>
          </w:tcPr>
          <w:p w:rsidR="00645501" w:rsidRPr="005E1AD8" w:rsidRDefault="00645501" w:rsidP="00A80842">
            <w:pPr>
              <w:widowControl/>
              <w:spacing w:before="29" w:line="288" w:lineRule="auto"/>
              <w:jc w:val="right"/>
              <w:rPr>
                <w:kern w:val="0"/>
                <w:sz w:val="24"/>
              </w:rPr>
            </w:pPr>
            <w:r>
              <w:rPr>
                <w:rFonts w:hint="eastAsia"/>
                <w:kern w:val="0"/>
                <w:sz w:val="24"/>
              </w:rPr>
              <w:t>-</w:t>
            </w:r>
          </w:p>
        </w:tc>
        <w:tc>
          <w:tcPr>
            <w:tcW w:w="1768" w:type="dxa"/>
            <w:vAlign w:val="center"/>
          </w:tcPr>
          <w:p w:rsidR="00645501" w:rsidRPr="005E1AD8" w:rsidRDefault="00645501" w:rsidP="00A80842">
            <w:pPr>
              <w:widowControl/>
              <w:spacing w:before="29" w:line="288" w:lineRule="auto"/>
              <w:jc w:val="right"/>
              <w:rPr>
                <w:kern w:val="0"/>
                <w:sz w:val="24"/>
              </w:rPr>
            </w:pPr>
            <w:r>
              <w:rPr>
                <w:rFonts w:hint="eastAsia"/>
                <w:kern w:val="0"/>
                <w:sz w:val="24"/>
              </w:rPr>
              <w:t>-</w:t>
            </w:r>
          </w:p>
        </w:tc>
      </w:tr>
    </w:tbl>
    <w:p w:rsidR="004A72D3" w:rsidRPr="0061644B" w:rsidRDefault="004A72D3"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B</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B</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CE2B75">
      <w:pPr>
        <w:pStyle w:val="1"/>
        <w:keepNext/>
        <w:keepLines/>
        <w:widowControl w:val="0"/>
        <w:spacing w:beforeLines="100" w:before="312" w:afterLines="100" w:after="312" w:line="288" w:lineRule="auto"/>
        <w:jc w:val="center"/>
        <w:rPr>
          <w:b/>
          <w:bCs/>
          <w:szCs w:val="24"/>
          <w:lang w:val="en-US"/>
        </w:rPr>
      </w:pPr>
      <w:bookmarkStart w:id="33" w:name="_Toc331410115"/>
      <w:bookmarkStart w:id="34" w:name="_Toc225500053"/>
      <w:r w:rsidRPr="0061644B">
        <w:rPr>
          <w:b/>
          <w:bCs/>
          <w:szCs w:val="24"/>
          <w:lang w:val="en-US"/>
        </w:rPr>
        <w:t>9</w:t>
      </w:r>
      <w:r w:rsidR="006D141C" w:rsidRPr="0061644B">
        <w:rPr>
          <w:b/>
          <w:bCs/>
          <w:szCs w:val="24"/>
          <w:lang w:val="en-US"/>
        </w:rPr>
        <w:t>开放式基金份额变动</w:t>
      </w:r>
      <w:bookmarkEnd w:id="33"/>
      <w:bookmarkEnd w:id="34"/>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B</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2013</w:t>
            </w:r>
            <w:r w:rsidRPr="0061644B">
              <w:rPr>
                <w:sz w:val="24"/>
              </w:rPr>
              <w:t>年</w:t>
            </w:r>
            <w:r w:rsidRPr="0061644B">
              <w:rPr>
                <w:sz w:val="24"/>
              </w:rPr>
              <w:t>3</w:t>
            </w:r>
            <w:r w:rsidRPr="0061644B">
              <w:rPr>
                <w:sz w:val="24"/>
              </w:rPr>
              <w:t>月</w:t>
            </w:r>
            <w:r w:rsidRPr="0061644B">
              <w:rPr>
                <w:sz w:val="24"/>
              </w:rPr>
              <w:t>13</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756,744,683.05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21,172,518.09</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11,104,428.92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30,352,509.92</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298,783.21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113,916.76</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2,077,121.28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30,466,426.68</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9,326,090.85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0.00</w:t>
            </w:r>
          </w:p>
        </w:tc>
      </w:tr>
    </w:tbl>
    <w:p w:rsidR="008711DE" w:rsidRDefault="00D676A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、如果本报告期间发生转换入、红利再投、份额类别调整业务，则总申购份额中包含该业务；</w:t>
      </w:r>
      <w:r>
        <w:rPr>
          <w:kern w:val="0"/>
          <w:sz w:val="24"/>
        </w:rPr>
        <w:t xml:space="preserve"> </w:t>
      </w:r>
    </w:p>
    <w:p w:rsidR="003F6F2B" w:rsidRPr="0061644B" w:rsidRDefault="003F6F2B" w:rsidP="00792A69">
      <w:pPr>
        <w:tabs>
          <w:tab w:val="left" w:pos="426"/>
        </w:tabs>
        <w:spacing w:before="29" w:line="288" w:lineRule="auto"/>
        <w:jc w:val="left"/>
        <w:rPr>
          <w:kern w:val="0"/>
          <w:sz w:val="24"/>
        </w:rPr>
      </w:pPr>
      <w:r w:rsidRPr="0061644B">
        <w:rPr>
          <w:kern w:val="0"/>
          <w:sz w:val="24"/>
        </w:rPr>
        <w:t xml:space="preserve">    2</w:t>
      </w:r>
      <w:r w:rsidRPr="0061644B">
        <w:rPr>
          <w:kern w:val="0"/>
          <w:sz w:val="24"/>
        </w:rPr>
        <w:t>、如果本报告期间发生转换出、份额类别调整业务，则总赎回份额中包含该业务。</w:t>
      </w:r>
    </w:p>
    <w:p w:rsidR="00F41287" w:rsidRPr="0061644B" w:rsidRDefault="00F41287" w:rsidP="00792A69">
      <w:pPr>
        <w:tabs>
          <w:tab w:val="left" w:pos="426"/>
        </w:tabs>
        <w:spacing w:before="29" w:line="288" w:lineRule="auto"/>
        <w:jc w:val="left"/>
        <w:rPr>
          <w:kern w:val="0"/>
          <w:sz w:val="24"/>
        </w:rPr>
      </w:pPr>
    </w:p>
    <w:p w:rsidR="006D141C" w:rsidRPr="0061644B" w:rsidRDefault="006D141C" w:rsidP="00CE2B75">
      <w:pPr>
        <w:pStyle w:val="1"/>
        <w:keepNext/>
        <w:keepLines/>
        <w:widowControl w:val="0"/>
        <w:spacing w:beforeLines="100" w:before="312" w:afterLines="100" w:after="312" w:line="288" w:lineRule="auto"/>
        <w:jc w:val="center"/>
        <w:rPr>
          <w:b/>
          <w:bCs/>
          <w:szCs w:val="24"/>
          <w:lang w:val="en-US"/>
        </w:rPr>
      </w:pPr>
      <w:bookmarkStart w:id="35" w:name="_Toc331410116"/>
      <w:bookmarkStart w:id="36" w:name="_Toc225500054"/>
      <w:r w:rsidRPr="0061644B">
        <w:rPr>
          <w:b/>
          <w:bCs/>
          <w:szCs w:val="24"/>
          <w:lang w:val="en-US"/>
        </w:rPr>
        <w:t>10</w:t>
      </w:r>
      <w:r w:rsidRPr="0061644B">
        <w:rPr>
          <w:b/>
          <w:bCs/>
          <w:szCs w:val="24"/>
          <w:lang w:val="en-US"/>
        </w:rPr>
        <w:t>重大事件揭示</w:t>
      </w:r>
      <w:bookmarkEnd w:id="35"/>
      <w:bookmarkEnd w:id="36"/>
    </w:p>
    <w:p w:rsidR="006D141C" w:rsidRPr="0061644B" w:rsidRDefault="00EE1CF9" w:rsidP="00792A69">
      <w:pPr>
        <w:pStyle w:val="20"/>
        <w:spacing w:before="29" w:after="0" w:line="288" w:lineRule="auto"/>
        <w:rPr>
          <w:rFonts w:ascii="Times New Roman" w:hAnsi="Times New Roman" w:cs="Times New Roman"/>
          <w:kern w:val="0"/>
          <w:szCs w:val="24"/>
        </w:rPr>
      </w:pPr>
      <w:bookmarkStart w:id="37" w:name="_Toc331410117"/>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.1</w:t>
      </w:r>
      <w:r w:rsidR="006D141C" w:rsidRPr="0061644B">
        <w:rPr>
          <w:rFonts w:ascii="Times New Roman" w:hAnsi="Times New Roman" w:cs="Times New Roman"/>
          <w:kern w:val="0"/>
          <w:szCs w:val="24"/>
        </w:rPr>
        <w:t>基金份额持有人大会决议</w:t>
      </w:r>
      <w:bookmarkEnd w:id="37"/>
    </w:p>
    <w:p w:rsidR="006D141C" w:rsidRDefault="006D141C" w:rsidP="00792A69">
      <w:pPr>
        <w:spacing w:before="29" w:line="288" w:lineRule="auto"/>
        <w:ind w:firstLineChars="200" w:firstLine="480"/>
        <w:rPr>
          <w:color w:val="000000"/>
          <w:sz w:val="24"/>
        </w:rPr>
      </w:pPr>
      <w:bookmarkStart w:id="38" w:name="_Toc331410118"/>
      <w:r w:rsidRPr="0061644B">
        <w:rPr>
          <w:color w:val="000000"/>
          <w:sz w:val="24"/>
        </w:rPr>
        <w:t>本基金本报告期内未召开基金份额持有人大会。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BC5F97" w:rsidRPr="0061644B">
        <w:rPr>
          <w:rFonts w:ascii="Times New Roman" w:hAnsi="Times New Roman" w:cs="Times New Roman"/>
          <w:kern w:val="0"/>
          <w:szCs w:val="24"/>
        </w:rPr>
        <w:t>.2</w:t>
      </w:r>
      <w:r w:rsidR="006D141C" w:rsidRPr="0061644B">
        <w:rPr>
          <w:rFonts w:ascii="Times New Roman" w:hAnsi="Times New Roman" w:cs="Times New Roman"/>
          <w:kern w:val="0"/>
          <w:szCs w:val="24"/>
        </w:rPr>
        <w:t>基金管理人、基金托管人的专门基金托管部门的重大人事变动</w:t>
      </w:r>
      <w:bookmarkEnd w:id="38"/>
    </w:p>
    <w:p w:rsidR="008711DE" w:rsidRDefault="00D676A6">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6D141C" w:rsidRDefault="006D141C" w:rsidP="00792A69">
      <w:pPr>
        <w:spacing w:before="29" w:line="288" w:lineRule="auto"/>
        <w:ind w:firstLineChars="200" w:firstLine="480"/>
        <w:rPr>
          <w:color w:val="000000"/>
          <w:sz w:val="24"/>
        </w:rPr>
      </w:pPr>
      <w:bookmarkStart w:id="39" w:name="_Toc331410119"/>
      <w:r w:rsidRPr="0061644B">
        <w:rPr>
          <w:color w:val="000000"/>
          <w:sz w:val="24"/>
        </w:rPr>
        <w:t>2</w:t>
      </w:r>
      <w:r w:rsidRPr="0061644B">
        <w:rPr>
          <w:color w:val="000000"/>
          <w:sz w:val="24"/>
        </w:rPr>
        <w:t>、基金托管人的基金托管部门的重大人事变动：本基金托管人的专门基金托管部门本报告期内未发生重大人事变动。</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.3 </w:t>
      </w:r>
      <w:r w:rsidR="006D141C" w:rsidRPr="0061644B">
        <w:rPr>
          <w:rFonts w:ascii="Times New Roman" w:hAnsi="Times New Roman" w:cs="Times New Roman"/>
          <w:kern w:val="0"/>
          <w:szCs w:val="24"/>
        </w:rPr>
        <w:t>涉及基金管理人、基金财产、基金托管业务的诉讼</w:t>
      </w:r>
      <w:bookmarkEnd w:id="39"/>
    </w:p>
    <w:p w:rsidR="006D141C" w:rsidRDefault="006D141C" w:rsidP="00792A69">
      <w:pPr>
        <w:spacing w:before="29" w:line="288" w:lineRule="auto"/>
        <w:ind w:firstLineChars="200" w:firstLine="480"/>
        <w:rPr>
          <w:color w:val="000000"/>
          <w:sz w:val="24"/>
        </w:rPr>
      </w:pPr>
      <w:bookmarkStart w:id="40" w:name="_Toc331410120"/>
      <w:r w:rsidRPr="0061644B">
        <w:rPr>
          <w:color w:val="000000"/>
          <w:sz w:val="24"/>
        </w:rPr>
        <w:t>本报告期内未发生涉及本基金管理人、基金财产、基金托管业务的诉讼事项。</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lastRenderedPageBreak/>
        <w:t>10</w:t>
      </w:r>
      <w:r w:rsidR="006D141C" w:rsidRPr="0061644B">
        <w:rPr>
          <w:rFonts w:ascii="Times New Roman" w:hAnsi="Times New Roman" w:cs="Times New Roman"/>
          <w:kern w:val="0"/>
          <w:szCs w:val="24"/>
        </w:rPr>
        <w:t xml:space="preserve">.4 </w:t>
      </w:r>
      <w:r w:rsidR="006D141C" w:rsidRPr="0061644B">
        <w:rPr>
          <w:rFonts w:ascii="Times New Roman" w:hAnsi="Times New Roman" w:cs="Times New Roman"/>
          <w:kern w:val="0"/>
          <w:szCs w:val="24"/>
        </w:rPr>
        <w:t>基金投资策略的改变</w:t>
      </w:r>
      <w:bookmarkEnd w:id="40"/>
    </w:p>
    <w:p w:rsidR="006D141C" w:rsidRDefault="006D141C" w:rsidP="00792A69">
      <w:pPr>
        <w:spacing w:before="29" w:line="288" w:lineRule="auto"/>
        <w:ind w:firstLineChars="200" w:firstLine="480"/>
        <w:rPr>
          <w:color w:val="000000"/>
          <w:sz w:val="24"/>
        </w:rPr>
      </w:pPr>
      <w:bookmarkStart w:id="41" w:name="_Toc331410121"/>
      <w:r w:rsidRPr="0061644B">
        <w:rPr>
          <w:color w:val="000000"/>
          <w:sz w:val="24"/>
        </w:rPr>
        <w:t>本基金本报告期内投资策略未发生改变。</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.5</w:t>
      </w:r>
      <w:bookmarkEnd w:id="41"/>
      <w:r w:rsidR="00B8313D" w:rsidRPr="0061644B">
        <w:rPr>
          <w:rFonts w:ascii="Times New Roman" w:hAnsi="Times New Roman" w:cs="Times New Roman"/>
          <w:kern w:val="0"/>
          <w:szCs w:val="24"/>
        </w:rPr>
        <w:t>报告期内改聘会计师事务所情况</w:t>
      </w:r>
    </w:p>
    <w:p w:rsidR="006D141C" w:rsidRDefault="006D141C" w:rsidP="00792A69">
      <w:pPr>
        <w:spacing w:before="29" w:line="288" w:lineRule="auto"/>
        <w:ind w:firstLineChars="200" w:firstLine="480"/>
        <w:rPr>
          <w:color w:val="000000"/>
          <w:sz w:val="24"/>
        </w:rPr>
      </w:pPr>
      <w:bookmarkStart w:id="42" w:name="OLE_LINK3"/>
      <w:bookmarkStart w:id="43" w:name="_Toc331410122"/>
      <w:r w:rsidRPr="0061644B">
        <w:rPr>
          <w:color w:val="000000"/>
          <w:sz w:val="24"/>
        </w:rPr>
        <w:t>本基金自基金合同生效日起聘请普华永道中天会计师事务所</w:t>
      </w:r>
      <w:r w:rsidRPr="0061644B">
        <w:rPr>
          <w:color w:val="000000"/>
          <w:sz w:val="24"/>
        </w:rPr>
        <w:t xml:space="preserve"> (</w:t>
      </w:r>
      <w:r w:rsidRPr="0061644B">
        <w:rPr>
          <w:color w:val="000000"/>
          <w:sz w:val="24"/>
        </w:rPr>
        <w:t>特殊普通合伙</w:t>
      </w:r>
      <w:r w:rsidRPr="0061644B">
        <w:rPr>
          <w:color w:val="000000"/>
          <w:sz w:val="24"/>
        </w:rPr>
        <w:t>)</w:t>
      </w:r>
      <w:r w:rsidRPr="0061644B">
        <w:rPr>
          <w:color w:val="000000"/>
          <w:sz w:val="24"/>
        </w:rPr>
        <w:t>为本基金提供审计服务。</w:t>
      </w:r>
    </w:p>
    <w:p w:rsidR="002E5491" w:rsidRPr="0061644B" w:rsidRDefault="002E5491" w:rsidP="00792A69">
      <w:pPr>
        <w:spacing w:before="29" w:line="288" w:lineRule="auto"/>
        <w:ind w:firstLineChars="200" w:firstLine="480"/>
        <w:rPr>
          <w:color w:val="000000"/>
          <w:sz w:val="24"/>
        </w:rPr>
      </w:pPr>
    </w:p>
    <w:bookmarkEnd w:id="42"/>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.6</w:t>
      </w:r>
      <w:r w:rsidR="00344A2F" w:rsidRPr="0060695C">
        <w:rPr>
          <w:rFonts w:ascii="Times New Roman" w:hAnsi="Times New Roman"/>
          <w:szCs w:val="24"/>
        </w:rPr>
        <w:t>管理人、托管人及其高级管理人员受</w:t>
      </w:r>
      <w:r w:rsidR="00344A2F" w:rsidRPr="006F041D">
        <w:rPr>
          <w:rFonts w:ascii="Times New Roman" w:hAnsi="Times New Roman" w:hint="eastAsia"/>
          <w:szCs w:val="24"/>
        </w:rPr>
        <w:t>稽查或处罚等情况</w:t>
      </w:r>
      <w:bookmarkEnd w:id="43"/>
    </w:p>
    <w:p w:rsidR="008711DE" w:rsidRDefault="00D676A6">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8711DE" w:rsidRDefault="00D676A6">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8711DE" w:rsidRDefault="00D676A6">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6D141C" w:rsidRDefault="006D141C" w:rsidP="00792A69">
      <w:pPr>
        <w:spacing w:before="29" w:line="288" w:lineRule="auto"/>
        <w:ind w:firstLineChars="200" w:firstLine="480"/>
        <w:rPr>
          <w:color w:val="000000"/>
          <w:sz w:val="24"/>
        </w:rPr>
      </w:pPr>
      <w:bookmarkStart w:id="44" w:name="_Toc331410123"/>
      <w:r w:rsidRPr="0061644B">
        <w:rPr>
          <w:color w:val="000000"/>
          <w:sz w:val="24"/>
        </w:rPr>
        <w:t>基金托管人及其高级管理人员本报告期内未受监管部门稽查或处罚。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.7 </w:t>
      </w:r>
      <w:r w:rsidR="006D141C" w:rsidRPr="0061644B">
        <w:rPr>
          <w:rFonts w:ascii="Times New Roman" w:hAnsi="Times New Roman" w:cs="Times New Roman"/>
          <w:kern w:val="0"/>
          <w:szCs w:val="24"/>
        </w:rPr>
        <w:t>基金租用证券公司交易单元的有关情况</w:t>
      </w:r>
      <w:bookmarkEnd w:id="44"/>
    </w:p>
    <w:p w:rsidR="006D141C" w:rsidRPr="0061644B" w:rsidRDefault="00EE1CF9" w:rsidP="00792A69">
      <w:pPr>
        <w:spacing w:before="29" w:line="288" w:lineRule="auto"/>
        <w:rPr>
          <w:b/>
          <w:sz w:val="24"/>
        </w:rPr>
      </w:pPr>
      <w:bookmarkStart w:id="45" w:name="_Toc249760070"/>
      <w:r w:rsidRPr="0061644B">
        <w:rPr>
          <w:b/>
          <w:sz w:val="24"/>
        </w:rPr>
        <w:t>10</w:t>
      </w:r>
      <w:r w:rsidR="006D141C" w:rsidRPr="0061644B">
        <w:rPr>
          <w:b/>
          <w:sz w:val="24"/>
        </w:rPr>
        <w:t>.7.1</w:t>
      </w:r>
      <w:r w:rsidR="006D141C" w:rsidRPr="0061644B">
        <w:rPr>
          <w:b/>
          <w:sz w:val="24"/>
        </w:rPr>
        <w:t>基金租用证券公司交易单元进行股票投资及佣金支付情况</w:t>
      </w:r>
      <w:bookmarkEnd w:id="45"/>
    </w:p>
    <w:p w:rsidR="006D141C" w:rsidRPr="0061644B" w:rsidRDefault="006D141C" w:rsidP="00792A69">
      <w:pPr>
        <w:pStyle w:val="a0"/>
        <w:spacing w:before="29" w:line="288" w:lineRule="auto"/>
        <w:ind w:firstLineChars="2600" w:firstLine="6240"/>
        <w:jc w:val="right"/>
        <w:rPr>
          <w:sz w:val="24"/>
        </w:rPr>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bookmarkStart w:id="46" w:name="_Toc249760071"/>
            <w:r w:rsidRPr="0061644B">
              <w:rPr>
                <w:sz w:val="24"/>
              </w:rPr>
              <w:t>券商名称</w:t>
            </w:r>
          </w:p>
          <w:p w:rsidR="00C70D3A" w:rsidRPr="0061644B"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备注</w:t>
            </w:r>
          </w:p>
        </w:tc>
      </w:tr>
      <w:tr w:rsidR="006B4A69" w:rsidRPr="0061644B"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r>
      <w:tr w:rsidR="008711DE">
        <w:tc>
          <w:tcPr>
            <w:tcW w:w="1559" w:type="dxa"/>
            <w:vAlign w:val="center"/>
          </w:tcPr>
          <w:p w:rsidR="008711DE" w:rsidRDefault="00D676A6">
            <w:pPr>
              <w:jc w:val="center"/>
            </w:pPr>
            <w:r>
              <w:rPr>
                <w:sz w:val="24"/>
              </w:rPr>
              <w:t>中信建投证券股份有限公司</w:t>
            </w:r>
          </w:p>
        </w:tc>
        <w:tc>
          <w:tcPr>
            <w:tcW w:w="779" w:type="dxa"/>
            <w:vAlign w:val="center"/>
          </w:tcPr>
          <w:p w:rsidR="008711DE" w:rsidRDefault="00D676A6">
            <w:pPr>
              <w:jc w:val="right"/>
            </w:pPr>
            <w:r>
              <w:rPr>
                <w:sz w:val="24"/>
              </w:rPr>
              <w:t>1</w:t>
            </w:r>
          </w:p>
        </w:tc>
        <w:tc>
          <w:tcPr>
            <w:tcW w:w="1800" w:type="dxa"/>
            <w:vAlign w:val="center"/>
          </w:tcPr>
          <w:p w:rsidR="008711DE" w:rsidRDefault="00D676A6">
            <w:pPr>
              <w:jc w:val="right"/>
            </w:pPr>
            <w:r>
              <w:rPr>
                <w:sz w:val="24"/>
              </w:rPr>
              <w:t>-</w:t>
            </w:r>
          </w:p>
        </w:tc>
        <w:tc>
          <w:tcPr>
            <w:tcW w:w="1080" w:type="dxa"/>
            <w:vAlign w:val="center"/>
          </w:tcPr>
          <w:p w:rsidR="008711DE" w:rsidRDefault="00D676A6">
            <w:pPr>
              <w:jc w:val="right"/>
            </w:pPr>
            <w:r>
              <w:rPr>
                <w:sz w:val="24"/>
              </w:rPr>
              <w:t>-</w:t>
            </w:r>
          </w:p>
        </w:tc>
        <w:tc>
          <w:tcPr>
            <w:tcW w:w="1620" w:type="dxa"/>
            <w:vAlign w:val="center"/>
          </w:tcPr>
          <w:p w:rsidR="008711DE" w:rsidRDefault="00D676A6">
            <w:pPr>
              <w:jc w:val="right"/>
            </w:pPr>
            <w:r>
              <w:rPr>
                <w:sz w:val="24"/>
              </w:rPr>
              <w:t>-</w:t>
            </w:r>
          </w:p>
        </w:tc>
        <w:tc>
          <w:tcPr>
            <w:tcW w:w="1080" w:type="dxa"/>
            <w:vAlign w:val="center"/>
          </w:tcPr>
          <w:p w:rsidR="008711DE" w:rsidRDefault="00D676A6">
            <w:pPr>
              <w:jc w:val="right"/>
            </w:pPr>
            <w:r>
              <w:rPr>
                <w:sz w:val="24"/>
              </w:rPr>
              <w:t>-</w:t>
            </w:r>
          </w:p>
        </w:tc>
        <w:tc>
          <w:tcPr>
            <w:tcW w:w="1080" w:type="dxa"/>
            <w:vAlign w:val="center"/>
          </w:tcPr>
          <w:p w:rsidR="008711DE" w:rsidRDefault="00D676A6">
            <w:pPr>
              <w:jc w:val="left"/>
            </w:pPr>
            <w:r>
              <w:rPr>
                <w:sz w:val="24"/>
              </w:rPr>
              <w:t>-</w:t>
            </w:r>
          </w:p>
        </w:tc>
      </w:tr>
      <w:tr w:rsidR="008711DE">
        <w:tc>
          <w:tcPr>
            <w:tcW w:w="1559" w:type="dxa"/>
            <w:vAlign w:val="center"/>
          </w:tcPr>
          <w:p w:rsidR="008711DE" w:rsidRDefault="00D676A6">
            <w:pPr>
              <w:jc w:val="center"/>
            </w:pPr>
            <w:r>
              <w:rPr>
                <w:sz w:val="24"/>
              </w:rPr>
              <w:t>申万宏源证券有限公司</w:t>
            </w:r>
          </w:p>
        </w:tc>
        <w:tc>
          <w:tcPr>
            <w:tcW w:w="779" w:type="dxa"/>
            <w:vAlign w:val="center"/>
          </w:tcPr>
          <w:p w:rsidR="008711DE" w:rsidRDefault="00D676A6">
            <w:pPr>
              <w:jc w:val="right"/>
            </w:pPr>
            <w:r>
              <w:rPr>
                <w:sz w:val="24"/>
              </w:rPr>
              <w:t>1</w:t>
            </w:r>
          </w:p>
        </w:tc>
        <w:tc>
          <w:tcPr>
            <w:tcW w:w="1800" w:type="dxa"/>
            <w:vAlign w:val="center"/>
          </w:tcPr>
          <w:p w:rsidR="008711DE" w:rsidRDefault="00D676A6">
            <w:pPr>
              <w:jc w:val="right"/>
            </w:pPr>
            <w:r>
              <w:rPr>
                <w:sz w:val="24"/>
              </w:rPr>
              <w:t>-</w:t>
            </w:r>
          </w:p>
        </w:tc>
        <w:tc>
          <w:tcPr>
            <w:tcW w:w="1080" w:type="dxa"/>
            <w:vAlign w:val="center"/>
          </w:tcPr>
          <w:p w:rsidR="008711DE" w:rsidRDefault="00D676A6">
            <w:pPr>
              <w:jc w:val="right"/>
            </w:pPr>
            <w:r>
              <w:rPr>
                <w:sz w:val="24"/>
              </w:rPr>
              <w:t>-</w:t>
            </w:r>
          </w:p>
        </w:tc>
        <w:tc>
          <w:tcPr>
            <w:tcW w:w="1620" w:type="dxa"/>
            <w:vAlign w:val="center"/>
          </w:tcPr>
          <w:p w:rsidR="008711DE" w:rsidRDefault="00D676A6">
            <w:pPr>
              <w:jc w:val="right"/>
            </w:pPr>
            <w:r>
              <w:rPr>
                <w:sz w:val="24"/>
              </w:rPr>
              <w:t>-</w:t>
            </w:r>
          </w:p>
        </w:tc>
        <w:tc>
          <w:tcPr>
            <w:tcW w:w="1080" w:type="dxa"/>
            <w:vAlign w:val="center"/>
          </w:tcPr>
          <w:p w:rsidR="008711DE" w:rsidRDefault="00D676A6">
            <w:pPr>
              <w:jc w:val="right"/>
            </w:pPr>
            <w:r>
              <w:rPr>
                <w:sz w:val="24"/>
              </w:rPr>
              <w:t>-</w:t>
            </w:r>
          </w:p>
        </w:tc>
        <w:tc>
          <w:tcPr>
            <w:tcW w:w="1080" w:type="dxa"/>
            <w:vAlign w:val="center"/>
          </w:tcPr>
          <w:p w:rsidR="008711DE" w:rsidRDefault="00D676A6">
            <w:pPr>
              <w:jc w:val="left"/>
            </w:pPr>
            <w:r>
              <w:rPr>
                <w:sz w:val="24"/>
              </w:rPr>
              <w:t>-</w:t>
            </w:r>
          </w:p>
        </w:tc>
      </w:tr>
    </w:tbl>
    <w:p w:rsidR="008711DE" w:rsidRDefault="00D676A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8711DE" w:rsidRDefault="00D676A6">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61644B" w:rsidRDefault="006D141C"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sz w:val="24"/>
        </w:rPr>
      </w:pPr>
      <w:r w:rsidRPr="0061644B">
        <w:rPr>
          <w:b/>
          <w:sz w:val="24"/>
        </w:rPr>
        <w:lastRenderedPageBreak/>
        <w:t>10.7.2</w:t>
      </w:r>
      <w:r w:rsidRPr="0061644B">
        <w:rPr>
          <w:b/>
          <w:sz w:val="24"/>
        </w:rPr>
        <w:t>基金租用证券公司交易单元进行其他证券投资的情况</w:t>
      </w:r>
      <w:bookmarkEnd w:id="46"/>
    </w:p>
    <w:p w:rsidR="006D141C" w:rsidRDefault="006D141C" w:rsidP="00792A69">
      <w:pPr>
        <w:tabs>
          <w:tab w:val="left" w:pos="426"/>
        </w:tabs>
        <w:spacing w:before="29" w:line="288" w:lineRule="auto"/>
        <w:jc w:val="left"/>
        <w:rPr>
          <w:kern w:val="0"/>
          <w:sz w:val="24"/>
        </w:rPr>
      </w:pPr>
      <w:r w:rsidRPr="0061644B">
        <w:rPr>
          <w:kern w:val="0"/>
          <w:sz w:val="24"/>
        </w:rPr>
        <w:t>无。</w:t>
      </w:r>
    </w:p>
    <w:p w:rsidR="00D676A6" w:rsidRPr="0061644B" w:rsidRDefault="00D676A6" w:rsidP="00792A69">
      <w:pPr>
        <w:tabs>
          <w:tab w:val="left" w:pos="426"/>
        </w:tabs>
        <w:spacing w:before="29" w:line="288" w:lineRule="auto"/>
        <w:jc w:val="left"/>
        <w:rPr>
          <w:kern w:val="0"/>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10.8</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本基金本报告期内未存在偏离度绝对值超过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sectPr w:rsidR="004F6F06" w:rsidRPr="0061644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DD7" w:rsidRDefault="00855DD7">
      <w:r>
        <w:separator/>
      </w:r>
    </w:p>
  </w:endnote>
  <w:endnote w:type="continuationSeparator" w:id="0">
    <w:p w:rsidR="00855DD7" w:rsidRDefault="00855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A609C8" w:rsidP="00C03B3A">
    <w:pPr>
      <w:pStyle w:val="a6"/>
      <w:framePr w:wrap="around" w:vAnchor="text" w:hAnchor="margin" w:xAlign="right" w:y="1"/>
      <w:rPr>
        <w:rStyle w:val="a7"/>
      </w:rPr>
    </w:pPr>
    <w:r>
      <w:rPr>
        <w:rStyle w:val="a7"/>
      </w:rPr>
      <w:fldChar w:fldCharType="begin"/>
    </w:r>
    <w:r w:rsidR="00B258B8">
      <w:rPr>
        <w:rStyle w:val="a7"/>
      </w:rPr>
      <w:instrText xml:space="preserve">PAGE  </w:instrText>
    </w:r>
    <w:r>
      <w:rPr>
        <w:rStyle w:val="a7"/>
      </w:rPr>
      <w:fldChar w:fldCharType="end"/>
    </w:r>
  </w:p>
  <w:p w:rsidR="00B258B8" w:rsidRDefault="00B258B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B258B8" w:rsidP="00C03B3A">
    <w:pPr>
      <w:pStyle w:val="a6"/>
      <w:ind w:right="360"/>
      <w:jc w:val="center"/>
    </w:pPr>
    <w:r>
      <w:rPr>
        <w:rFonts w:hint="eastAsia"/>
        <w:kern w:val="0"/>
        <w:szCs w:val="21"/>
      </w:rPr>
      <w:t>第</w:t>
    </w:r>
    <w:r w:rsidR="00A609C8">
      <w:rPr>
        <w:kern w:val="0"/>
        <w:szCs w:val="21"/>
      </w:rPr>
      <w:fldChar w:fldCharType="begin"/>
    </w:r>
    <w:r>
      <w:rPr>
        <w:kern w:val="0"/>
        <w:szCs w:val="21"/>
      </w:rPr>
      <w:instrText xml:space="preserve"> PAGE </w:instrText>
    </w:r>
    <w:r w:rsidR="00A609C8">
      <w:rPr>
        <w:kern w:val="0"/>
        <w:szCs w:val="21"/>
      </w:rPr>
      <w:fldChar w:fldCharType="separate"/>
    </w:r>
    <w:r w:rsidR="002C0AC9">
      <w:rPr>
        <w:noProof/>
        <w:kern w:val="0"/>
        <w:szCs w:val="21"/>
      </w:rPr>
      <w:t>20</w:t>
    </w:r>
    <w:r w:rsidR="00A609C8">
      <w:rPr>
        <w:kern w:val="0"/>
        <w:szCs w:val="21"/>
      </w:rPr>
      <w:fldChar w:fldCharType="end"/>
    </w:r>
    <w:r>
      <w:rPr>
        <w:rFonts w:hint="eastAsia"/>
        <w:kern w:val="0"/>
        <w:szCs w:val="21"/>
      </w:rPr>
      <w:t>页共</w:t>
    </w:r>
    <w:r w:rsidR="00A609C8">
      <w:rPr>
        <w:kern w:val="0"/>
        <w:szCs w:val="21"/>
      </w:rPr>
      <w:fldChar w:fldCharType="begin"/>
    </w:r>
    <w:r>
      <w:rPr>
        <w:kern w:val="0"/>
        <w:szCs w:val="21"/>
      </w:rPr>
      <w:instrText xml:space="preserve"> NUMPAGES </w:instrText>
    </w:r>
    <w:r w:rsidR="00A609C8">
      <w:rPr>
        <w:kern w:val="0"/>
        <w:szCs w:val="21"/>
      </w:rPr>
      <w:fldChar w:fldCharType="separate"/>
    </w:r>
    <w:r w:rsidR="002C0AC9">
      <w:rPr>
        <w:noProof/>
        <w:kern w:val="0"/>
        <w:szCs w:val="21"/>
      </w:rPr>
      <w:t>27</w:t>
    </w:r>
    <w:r w:rsidR="00A609C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DD7" w:rsidRDefault="00855DD7">
      <w:r>
        <w:separator/>
      </w:r>
    </w:p>
  </w:footnote>
  <w:footnote w:type="continuationSeparator" w:id="0">
    <w:p w:rsidR="00855DD7" w:rsidRDefault="00855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Pr="0023771C" w:rsidRDefault="00B258B8" w:rsidP="00C35130">
    <w:pPr>
      <w:pStyle w:val="a9"/>
      <w:pBdr>
        <w:bottom w:val="single" w:sz="6" w:space="0" w:color="auto"/>
      </w:pBdr>
      <w:jc w:val="right"/>
    </w:pPr>
    <w:r w:rsidRPr="0023771C">
      <w:rPr>
        <w:rFonts w:hint="eastAsia"/>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23771C">
      <w:rPr>
        <w:rFonts w:hint="eastAsia"/>
      </w:rPr>
      <w:t>交银施罗德理财</w:t>
    </w:r>
    <w:r w:rsidRPr="0023771C">
      <w:rPr>
        <w:rFonts w:hint="eastAsia"/>
      </w:rPr>
      <w:t>60</w:t>
    </w:r>
    <w:r w:rsidRPr="0023771C">
      <w:rPr>
        <w:rFonts w:hint="eastAsia"/>
      </w:rPr>
      <w:t>天债券型证券投资基金</w:t>
    </w:r>
    <w:r w:rsidRPr="0023771C">
      <w:rPr>
        <w:rFonts w:hint="eastAsia"/>
      </w:rPr>
      <w:t>2016</w:t>
    </w:r>
    <w:r w:rsidRPr="0023771C">
      <w:rPr>
        <w:rFonts w:hint="eastAsia"/>
      </w:rPr>
      <w:t>年半年度报告摘要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AFB"/>
    <w:rsid w:val="0026741D"/>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AC9"/>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1FB6"/>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5501"/>
    <w:rsid w:val="006468CB"/>
    <w:rsid w:val="00651B78"/>
    <w:rsid w:val="00651C95"/>
    <w:rsid w:val="00652263"/>
    <w:rsid w:val="0065238F"/>
    <w:rsid w:val="00652881"/>
    <w:rsid w:val="0065298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2D4"/>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5DD7"/>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11DE"/>
    <w:rsid w:val="00872299"/>
    <w:rsid w:val="00872757"/>
    <w:rsid w:val="00872A1F"/>
    <w:rsid w:val="00872CE4"/>
    <w:rsid w:val="00873AA4"/>
    <w:rsid w:val="00873CA8"/>
    <w:rsid w:val="00873F5D"/>
    <w:rsid w:val="0087570C"/>
    <w:rsid w:val="00875A8D"/>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9C8"/>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2B75"/>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6A6"/>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287"/>
    <w:rsid w:val="00F41B59"/>
    <w:rsid w:val="00F42099"/>
    <w:rsid w:val="00F423BD"/>
    <w:rsid w:val="00F431C5"/>
    <w:rsid w:val="00F432FF"/>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214"/>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1DBD00-3772-4EAE-8DB6-09D7292D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3A604-91F6-4734-9037-9C4CC076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1</Pages>
  <Words>2750</Words>
  <Characters>15677</Characters>
  <Application>Microsoft Office Word</Application>
  <DocSecurity>0</DocSecurity>
  <Lines>130</Lines>
  <Paragraphs>36</Paragraphs>
  <ScaleCrop>false</ScaleCrop>
  <Company/>
  <LinksUpToDate>false</LinksUpToDate>
  <CharactersWithSpaces>18391</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767</cp:revision>
  <cp:lastPrinted>2007-07-19T00:46:00Z</cp:lastPrinted>
  <dcterms:created xsi:type="dcterms:W3CDTF">2013-08-13T08:51:00Z</dcterms:created>
  <dcterms:modified xsi:type="dcterms:W3CDTF">2016-08-25T10:30:00Z</dcterms:modified>
</cp:coreProperties>
</file>