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交银施罗德丰硕收益债券型证券投资基金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2</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6</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二〇一六年七月二十一日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FE3180" w:rsidRDefault="0081536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E3180" w:rsidRDefault="0081536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E3180" w:rsidRDefault="0081536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E3180" w:rsidRDefault="0081536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E3180" w:rsidRDefault="00815360">
      <w:pPr>
        <w:spacing w:before="29" w:line="288" w:lineRule="auto"/>
        <w:ind w:firstLineChars="200" w:firstLine="480"/>
        <w:rPr>
          <w:rFonts w:eastAsiaTheme="minorEastAsia"/>
          <w:color w:val="000000"/>
          <w:sz w:val="24"/>
        </w:rPr>
      </w:pPr>
      <w:r>
        <w:rPr>
          <w:rFonts w:eastAsiaTheme="minorEastAsia"/>
          <w:color w:val="000000"/>
          <w:sz w:val="24"/>
        </w:rPr>
        <w:t>本</w:t>
      </w:r>
      <w:r>
        <w:rPr>
          <w:rFonts w:eastAsiaTheme="minorEastAsia"/>
          <w:color w:val="000000"/>
          <w:sz w:val="24"/>
        </w:rPr>
        <w:t>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交银丰硕收益债券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519758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519758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w:t>
            </w:r>
            <w:r w:rsidRPr="00405493">
              <w:rPr>
                <w:rFonts w:eastAsiaTheme="minorEastAsia"/>
                <w:color w:val="000000"/>
                <w:kern w:val="0"/>
                <w:sz w:val="24"/>
              </w:rPr>
              <w:t>,</w:t>
            </w:r>
            <w:r w:rsidRPr="00405493">
              <w:rPr>
                <w:rFonts w:eastAsiaTheme="minorEastAsia"/>
                <w:color w:val="000000"/>
                <w:kern w:val="0"/>
                <w:sz w:val="24"/>
              </w:rPr>
              <w:t>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11</w:t>
            </w:r>
            <w:r w:rsidRPr="00405493">
              <w:rPr>
                <w:rFonts w:eastAsiaTheme="minorEastAsia"/>
                <w:color w:val="000000"/>
                <w:kern w:val="0"/>
                <w:sz w:val="24"/>
              </w:rPr>
              <w:t>月</w:t>
            </w:r>
            <w:r w:rsidRPr="00405493">
              <w:rPr>
                <w:rFonts w:eastAsiaTheme="minorEastAsia"/>
                <w:color w:val="000000"/>
                <w:kern w:val="0"/>
                <w:sz w:val="24"/>
              </w:rPr>
              <w:t>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438,630,665.79</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在有效控制风险的前提下</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关系和收益率水平等，自下而上精选投资标的。</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4D2626" w:rsidRPr="00405493" w:rsidTr="004D2626">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4D2626" w:rsidRPr="00405493" w:rsidTr="004D2626">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3,011,147.32</w:t>
            </w:r>
          </w:p>
        </w:tc>
      </w:tr>
      <w:tr w:rsidR="004D2626" w:rsidRPr="00405493" w:rsidTr="004D2626">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-2,080,153.16</w:t>
            </w:r>
          </w:p>
        </w:tc>
      </w:tr>
      <w:tr w:rsidR="004D2626" w:rsidRPr="00405493" w:rsidTr="004D2626">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-0.0047</w:t>
            </w:r>
          </w:p>
        </w:tc>
      </w:tr>
      <w:tr w:rsidR="004D2626" w:rsidRPr="00405493" w:rsidTr="004D2626">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444,884,056.50</w:t>
            </w:r>
          </w:p>
        </w:tc>
      </w:tr>
      <w:tr w:rsidR="004D2626" w:rsidRPr="00405493" w:rsidTr="004D2626">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1.014</w:t>
            </w:r>
          </w:p>
        </w:tc>
      </w:tr>
    </w:tbl>
    <w:p w:rsidR="00FE3180" w:rsidRDefault="0081536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Pr="00405493">
        <w:rPr>
          <w:rFonts w:eastAsiaTheme="minorEastAsia"/>
          <w:color w:val="000000"/>
          <w:sz w:val="24"/>
        </w:rPr>
        <w:t xml:space="preserve">   </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FE3180">
        <w:trPr>
          <w:jc w:val="center"/>
        </w:trPr>
        <w:tc>
          <w:tcPr>
            <w:tcW w:w="1448" w:type="dxa"/>
            <w:vAlign w:val="center"/>
          </w:tcPr>
          <w:p w:rsidR="00FE3180" w:rsidRDefault="00815360">
            <w:pPr>
              <w:jc w:val="left"/>
            </w:pPr>
            <w:r>
              <w:rPr>
                <w:rFonts w:eastAsiaTheme="minorEastAsia"/>
                <w:color w:val="000000"/>
                <w:sz w:val="24"/>
              </w:rPr>
              <w:lastRenderedPageBreak/>
              <w:t>过去三个月</w:t>
            </w:r>
          </w:p>
        </w:tc>
        <w:tc>
          <w:tcPr>
            <w:tcW w:w="1134" w:type="dxa"/>
            <w:vAlign w:val="center"/>
          </w:tcPr>
          <w:p w:rsidR="00FE3180" w:rsidRDefault="00815360">
            <w:pPr>
              <w:jc w:val="center"/>
            </w:pPr>
            <w:r>
              <w:rPr>
                <w:rFonts w:eastAsiaTheme="minorEastAsia"/>
                <w:color w:val="000000"/>
                <w:sz w:val="24"/>
              </w:rPr>
              <w:t>-0.49%</w:t>
            </w:r>
          </w:p>
        </w:tc>
        <w:tc>
          <w:tcPr>
            <w:tcW w:w="1206" w:type="dxa"/>
            <w:vAlign w:val="center"/>
          </w:tcPr>
          <w:p w:rsidR="00FE3180" w:rsidRDefault="00815360">
            <w:pPr>
              <w:jc w:val="center"/>
            </w:pPr>
            <w:r>
              <w:rPr>
                <w:rFonts w:eastAsiaTheme="minorEastAsia"/>
                <w:color w:val="000000"/>
                <w:sz w:val="24"/>
              </w:rPr>
              <w:t>0.11%</w:t>
            </w:r>
          </w:p>
        </w:tc>
        <w:tc>
          <w:tcPr>
            <w:tcW w:w="1227" w:type="dxa"/>
            <w:vAlign w:val="center"/>
          </w:tcPr>
          <w:p w:rsidR="00FE3180" w:rsidRDefault="00815360">
            <w:pPr>
              <w:jc w:val="center"/>
            </w:pPr>
            <w:r>
              <w:rPr>
                <w:rFonts w:eastAsiaTheme="minorEastAsia"/>
                <w:color w:val="000000"/>
                <w:sz w:val="24"/>
              </w:rPr>
              <w:t>0.85%</w:t>
            </w:r>
          </w:p>
        </w:tc>
        <w:tc>
          <w:tcPr>
            <w:tcW w:w="1234" w:type="dxa"/>
            <w:vAlign w:val="center"/>
          </w:tcPr>
          <w:p w:rsidR="00FE3180" w:rsidRDefault="00815360">
            <w:pPr>
              <w:jc w:val="center"/>
            </w:pPr>
            <w:r>
              <w:rPr>
                <w:rFonts w:eastAsiaTheme="minorEastAsia"/>
                <w:color w:val="000000"/>
                <w:sz w:val="24"/>
              </w:rPr>
              <w:t>0.01%</w:t>
            </w:r>
          </w:p>
        </w:tc>
        <w:tc>
          <w:tcPr>
            <w:tcW w:w="1246" w:type="dxa"/>
            <w:vAlign w:val="center"/>
          </w:tcPr>
          <w:p w:rsidR="00FE3180" w:rsidRDefault="00815360">
            <w:pPr>
              <w:jc w:val="center"/>
            </w:pPr>
            <w:r>
              <w:rPr>
                <w:rFonts w:eastAsiaTheme="minorEastAsia"/>
                <w:color w:val="000000"/>
                <w:sz w:val="24"/>
              </w:rPr>
              <w:t>-1.34%</w:t>
            </w:r>
          </w:p>
        </w:tc>
        <w:tc>
          <w:tcPr>
            <w:tcW w:w="1373" w:type="dxa"/>
            <w:vAlign w:val="center"/>
          </w:tcPr>
          <w:p w:rsidR="00FE3180" w:rsidRDefault="00815360">
            <w:pPr>
              <w:jc w:val="center"/>
            </w:pPr>
            <w:r>
              <w:rPr>
                <w:rFonts w:eastAsiaTheme="minorEastAsia"/>
                <w:color w:val="000000"/>
                <w:sz w:val="24"/>
              </w:rPr>
              <w:t>0.10%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交银施罗德丰硕收益债券型证券投资基金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6</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11</w:t>
      </w:r>
      <w:r w:rsidRPr="00405493">
        <w:rPr>
          <w:rFonts w:eastAsiaTheme="minorEastAsia"/>
          <w:color w:val="000000"/>
          <w:sz w:val="24"/>
        </w:rPr>
        <w:t>月</w:t>
      </w:r>
      <w:r w:rsidRPr="00405493">
        <w:rPr>
          <w:rFonts w:eastAsiaTheme="minorEastAsia"/>
          <w:color w:val="000000"/>
          <w:sz w:val="24"/>
        </w:rPr>
        <w:t>9</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FE3180">
        <w:trPr>
          <w:jc w:val="center"/>
        </w:trPr>
        <w:tc>
          <w:tcPr>
            <w:tcW w:w="846" w:type="dxa"/>
            <w:vAlign w:val="center"/>
          </w:tcPr>
          <w:p w:rsidR="00FE3180" w:rsidRDefault="00815360">
            <w:pPr>
              <w:jc w:val="center"/>
            </w:pPr>
            <w:r>
              <w:rPr>
                <w:rFonts w:eastAsiaTheme="minorEastAsia"/>
                <w:color w:val="000000"/>
                <w:sz w:val="24"/>
              </w:rPr>
              <w:t>孙超</w:t>
            </w:r>
          </w:p>
        </w:tc>
        <w:tc>
          <w:tcPr>
            <w:tcW w:w="845" w:type="dxa"/>
            <w:vAlign w:val="center"/>
          </w:tcPr>
          <w:p w:rsidR="00FE3180" w:rsidRDefault="00815360">
            <w:pPr>
              <w:jc w:val="center"/>
            </w:pPr>
            <w:r>
              <w:rPr>
                <w:rFonts w:eastAsiaTheme="minorEastAsia"/>
                <w:color w:val="000000"/>
                <w:sz w:val="24"/>
              </w:rPr>
              <w:t>交银增利债券、交银纯债债券</w:t>
            </w:r>
            <w:r>
              <w:rPr>
                <w:rFonts w:eastAsiaTheme="minorEastAsia"/>
                <w:color w:val="000000"/>
                <w:sz w:val="24"/>
              </w:rPr>
              <w:lastRenderedPageBreak/>
              <w:t>发起、交银荣祥保本混合、交银荣泰保本混合、交银定期支付月月丰债券、交银强化回报债券、交银丰润收益债券、交银丰享收益债券、交银丰泽收益债券、交银丰硕收益债券、交银荣鑫保本混合的基金经理</w:t>
            </w:r>
          </w:p>
        </w:tc>
        <w:tc>
          <w:tcPr>
            <w:tcW w:w="1549" w:type="dxa"/>
            <w:vAlign w:val="center"/>
          </w:tcPr>
          <w:p w:rsidR="00FE3180" w:rsidRDefault="00815360">
            <w:pPr>
              <w:jc w:val="center"/>
            </w:pPr>
            <w:r>
              <w:rPr>
                <w:rFonts w:eastAsiaTheme="minorEastAsia"/>
                <w:color w:val="000000"/>
                <w:sz w:val="24"/>
              </w:rPr>
              <w:lastRenderedPageBreak/>
              <w:t>2015-11-09</w:t>
            </w:r>
          </w:p>
        </w:tc>
        <w:tc>
          <w:tcPr>
            <w:tcW w:w="1548" w:type="dxa"/>
            <w:vAlign w:val="center"/>
          </w:tcPr>
          <w:p w:rsidR="00FE3180" w:rsidRDefault="00815360">
            <w:pPr>
              <w:jc w:val="center"/>
            </w:pPr>
            <w:r>
              <w:rPr>
                <w:rFonts w:eastAsiaTheme="minorEastAsia"/>
                <w:color w:val="000000"/>
                <w:sz w:val="24"/>
              </w:rPr>
              <w:t>-</w:t>
            </w:r>
          </w:p>
        </w:tc>
        <w:tc>
          <w:tcPr>
            <w:tcW w:w="1407" w:type="dxa"/>
            <w:vAlign w:val="center"/>
          </w:tcPr>
          <w:p w:rsidR="00FE3180" w:rsidRDefault="00815360">
            <w:pPr>
              <w:jc w:val="center"/>
            </w:pPr>
            <w:r>
              <w:rPr>
                <w:rFonts w:eastAsiaTheme="minorEastAsia"/>
                <w:color w:val="000000"/>
                <w:sz w:val="24"/>
              </w:rPr>
              <w:t>5</w:t>
            </w:r>
            <w:r>
              <w:rPr>
                <w:rFonts w:eastAsiaTheme="minorEastAsia"/>
                <w:color w:val="000000"/>
                <w:sz w:val="24"/>
              </w:rPr>
              <w:t>年</w:t>
            </w:r>
          </w:p>
        </w:tc>
        <w:tc>
          <w:tcPr>
            <w:tcW w:w="2673" w:type="dxa"/>
            <w:vAlign w:val="center"/>
          </w:tcPr>
          <w:p w:rsidR="00FE3180" w:rsidRDefault="00815360">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w:t>
            </w:r>
            <w:r>
              <w:rPr>
                <w:rFonts w:eastAsiaTheme="minorEastAsia"/>
                <w:color w:val="000000"/>
                <w:sz w:val="24"/>
              </w:rPr>
              <w:lastRenderedPageBreak/>
              <w:t>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lastRenderedPageBreak/>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中国证监会于</w:t>
      </w:r>
      <w:r w:rsidRPr="00405493">
        <w:rPr>
          <w:rFonts w:eastAsiaTheme="minorEastAsia"/>
          <w:color w:val="000000"/>
          <w:sz w:val="24"/>
        </w:rPr>
        <w:t>2015</w:t>
      </w:r>
      <w:r w:rsidRPr="00405493">
        <w:rPr>
          <w:rFonts w:eastAsiaTheme="minorEastAsia"/>
          <w:color w:val="000000"/>
          <w:sz w:val="24"/>
        </w:rPr>
        <w:t>年对公司进行了</w:t>
      </w:r>
      <w:r w:rsidRPr="00405493">
        <w:rPr>
          <w:rFonts w:eastAsiaTheme="minorEastAsia"/>
          <w:color w:val="000000"/>
          <w:sz w:val="24"/>
        </w:rPr>
        <w:t>“</w:t>
      </w:r>
      <w:r w:rsidRPr="00405493">
        <w:rPr>
          <w:rFonts w:eastAsiaTheme="minorEastAsia"/>
          <w:color w:val="000000"/>
          <w:sz w:val="24"/>
        </w:rPr>
        <w:t>两加强两遏制</w:t>
      </w:r>
      <w:r w:rsidRPr="00405493">
        <w:rPr>
          <w:rFonts w:eastAsiaTheme="minorEastAsia"/>
          <w:color w:val="000000"/>
          <w:sz w:val="24"/>
        </w:rPr>
        <w:t>”</w:t>
      </w:r>
      <w:r w:rsidRPr="00405493">
        <w:rPr>
          <w:rFonts w:eastAsiaTheme="minorEastAsia"/>
          <w:color w:val="000000"/>
          <w:sz w:val="24"/>
        </w:rPr>
        <w:t>检查，后续并就公司内部控制提出了相应改进意见及采取责令改正的行政监管措施。公司已经完成了相关问题的整改，并已向监管部门上报了专项报告。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w:t>
      </w:r>
      <w:r>
        <w:rPr>
          <w:rFonts w:eastAsiaTheme="minorEastAsia"/>
          <w:color w:val="000000"/>
          <w:sz w:val="24"/>
        </w:rPr>
        <w:t>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w:t>
      </w:r>
      <w:r>
        <w:rPr>
          <w:rFonts w:eastAsiaTheme="minorEastAsia"/>
          <w:color w:val="000000"/>
          <w:sz w:val="24"/>
        </w:rPr>
        <w:t>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405493">
        <w:rPr>
          <w:rFonts w:eastAsiaTheme="minorEastAsia"/>
          <w:color w:val="000000"/>
          <w:sz w:val="24"/>
        </w:rPr>
        <w:t>5%</w:t>
      </w:r>
      <w:r w:rsidRPr="00405493">
        <w:rPr>
          <w:rFonts w:eastAsiaTheme="minorEastAsia"/>
          <w:color w:val="000000"/>
          <w:sz w:val="24"/>
        </w:rPr>
        <w:t>的情况有</w:t>
      </w:r>
      <w:r w:rsidRPr="00405493">
        <w:rPr>
          <w:rFonts w:eastAsiaTheme="minorEastAsia"/>
          <w:color w:val="000000"/>
          <w:sz w:val="24"/>
        </w:rPr>
        <w:t>1</w:t>
      </w:r>
      <w:r w:rsidRPr="00405493">
        <w:rPr>
          <w:rFonts w:eastAsiaTheme="minorEastAsia"/>
          <w:color w:val="000000"/>
          <w:sz w:val="24"/>
        </w:rPr>
        <w:t>次，是由于投资组合被动超标的合规调整需要而发生同日反向交易，未发现不公平交易和利益输送的情况。本基金与本公司管理的其他投资组合在不同时间窗下（如日内、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日内）同向交易的交易价差未发现异常。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经济增长动能仍然呈现较为疲弱态势。进出口和消费持续较弱，加上房地产投资开始放缓，基建投资依然上行，体现政府托底经济的意愿，但仅仅依靠基建很难拉动经济向上。通胀方面，随着蔬菜和猪肉价格回落，</w:t>
      </w:r>
      <w:r>
        <w:rPr>
          <w:rFonts w:eastAsiaTheme="minorEastAsia"/>
          <w:color w:val="000000"/>
          <w:sz w:val="24"/>
        </w:rPr>
        <w:t>2016</w:t>
      </w:r>
      <w:r>
        <w:rPr>
          <w:rFonts w:eastAsiaTheme="minorEastAsia"/>
          <w:color w:val="000000"/>
          <w:sz w:val="24"/>
        </w:rPr>
        <w:t>年</w:t>
      </w:r>
      <w:r>
        <w:rPr>
          <w:rFonts w:eastAsiaTheme="minorEastAsia"/>
          <w:color w:val="000000"/>
          <w:sz w:val="24"/>
        </w:rPr>
        <w:t>5</w:t>
      </w:r>
      <w:r>
        <w:rPr>
          <w:rFonts w:eastAsiaTheme="minorEastAsia"/>
          <w:color w:val="000000"/>
          <w:sz w:val="24"/>
        </w:rPr>
        <w:t>月份的</w:t>
      </w:r>
      <w:r>
        <w:rPr>
          <w:rFonts w:eastAsiaTheme="minorEastAsia"/>
          <w:color w:val="000000"/>
          <w:sz w:val="24"/>
        </w:rPr>
        <w:t>CPI</w:t>
      </w:r>
      <w:r>
        <w:rPr>
          <w:rFonts w:eastAsiaTheme="minorEastAsia"/>
          <w:color w:val="000000"/>
          <w:sz w:val="24"/>
        </w:rPr>
        <w:t>从</w:t>
      </w:r>
      <w:r>
        <w:rPr>
          <w:rFonts w:eastAsiaTheme="minorEastAsia"/>
          <w:color w:val="000000"/>
          <w:sz w:val="24"/>
        </w:rPr>
        <w:t>4</w:t>
      </w:r>
      <w:r>
        <w:rPr>
          <w:rFonts w:eastAsiaTheme="minorEastAsia"/>
          <w:color w:val="000000"/>
          <w:sz w:val="24"/>
        </w:rPr>
        <w:t>月份</w:t>
      </w:r>
      <w:r>
        <w:rPr>
          <w:rFonts w:eastAsiaTheme="minorEastAsia"/>
          <w:color w:val="000000"/>
          <w:sz w:val="24"/>
        </w:rPr>
        <w:lastRenderedPageBreak/>
        <w:t>的</w:t>
      </w:r>
      <w:r>
        <w:rPr>
          <w:rFonts w:eastAsiaTheme="minorEastAsia"/>
          <w:color w:val="000000"/>
          <w:sz w:val="24"/>
        </w:rPr>
        <w:t>2.3%</w:t>
      </w:r>
      <w:r>
        <w:rPr>
          <w:rFonts w:eastAsiaTheme="minorEastAsia"/>
          <w:color w:val="000000"/>
          <w:sz w:val="24"/>
        </w:rPr>
        <w:t>回到</w:t>
      </w:r>
      <w:r>
        <w:rPr>
          <w:rFonts w:eastAsiaTheme="minorEastAsia"/>
          <w:color w:val="000000"/>
          <w:sz w:val="24"/>
        </w:rPr>
        <w:t>2.0%</w:t>
      </w:r>
      <w:r>
        <w:rPr>
          <w:rFonts w:eastAsiaTheme="minorEastAsia"/>
          <w:color w:val="000000"/>
          <w:sz w:val="24"/>
        </w:rPr>
        <w:t>，对于通胀压力的担忧已经基本消除。同时，受原油等大宗商品价格上行</w:t>
      </w:r>
      <w:r>
        <w:rPr>
          <w:rFonts w:eastAsiaTheme="minorEastAsia"/>
          <w:color w:val="000000"/>
          <w:sz w:val="24"/>
        </w:rPr>
        <w:t>, PPI</w:t>
      </w:r>
      <w:r>
        <w:rPr>
          <w:rFonts w:eastAsiaTheme="minorEastAsia"/>
          <w:color w:val="000000"/>
          <w:sz w:val="24"/>
        </w:rPr>
        <w:t>和</w:t>
      </w:r>
      <w:r>
        <w:rPr>
          <w:rFonts w:eastAsiaTheme="minorEastAsia"/>
          <w:color w:val="000000"/>
          <w:sz w:val="24"/>
        </w:rPr>
        <w:t>CPI</w:t>
      </w:r>
      <w:r>
        <w:rPr>
          <w:rFonts w:eastAsiaTheme="minorEastAsia"/>
          <w:color w:val="000000"/>
          <w:sz w:val="24"/>
        </w:rPr>
        <w:t>的背离持续减小。</w:t>
      </w:r>
      <w:r>
        <w:rPr>
          <w:rFonts w:eastAsiaTheme="minorEastAsia"/>
          <w:color w:val="000000"/>
          <w:sz w:val="24"/>
        </w:rPr>
        <w:t>M1</w:t>
      </w:r>
      <w:r>
        <w:rPr>
          <w:rFonts w:eastAsiaTheme="minorEastAsia"/>
          <w:color w:val="000000"/>
          <w:sz w:val="24"/>
        </w:rPr>
        <w:t>与</w:t>
      </w:r>
      <w:r>
        <w:rPr>
          <w:rFonts w:eastAsiaTheme="minorEastAsia"/>
          <w:color w:val="000000"/>
          <w:sz w:val="24"/>
        </w:rPr>
        <w:t>M2</w:t>
      </w:r>
      <w:r>
        <w:rPr>
          <w:rFonts w:eastAsiaTheme="minorEastAsia"/>
          <w:color w:val="000000"/>
          <w:sz w:val="24"/>
        </w:rPr>
        <w:t>的剪刀差持续扩大，说明企业投资意愿仍然薄弱，稳健的货币政策并未转向，宽松暂时有所放缓。</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债券市场方面，</w:t>
      </w:r>
      <w:r>
        <w:rPr>
          <w:rFonts w:eastAsiaTheme="minorEastAsia"/>
          <w:color w:val="000000"/>
          <w:sz w:val="24"/>
        </w:rPr>
        <w:t>2016</w:t>
      </w:r>
      <w:r>
        <w:rPr>
          <w:rFonts w:eastAsiaTheme="minorEastAsia"/>
          <w:color w:val="000000"/>
          <w:sz w:val="24"/>
        </w:rPr>
        <w:t>年一季度基建和房地产投资向好，再加上巨量</w:t>
      </w:r>
      <w:r>
        <w:rPr>
          <w:rFonts w:eastAsiaTheme="minorEastAsia"/>
          <w:color w:val="000000"/>
          <w:sz w:val="24"/>
        </w:rPr>
        <w:t>信贷规模，体现了政策托底意向，</w:t>
      </w:r>
      <w:r>
        <w:rPr>
          <w:rFonts w:eastAsiaTheme="minorEastAsia"/>
          <w:color w:val="000000"/>
          <w:sz w:val="24"/>
        </w:rPr>
        <w:t>CPI</w:t>
      </w:r>
      <w:r>
        <w:rPr>
          <w:rFonts w:eastAsiaTheme="minorEastAsia"/>
          <w:color w:val="000000"/>
          <w:sz w:val="24"/>
        </w:rPr>
        <w:t>和</w:t>
      </w:r>
      <w:r>
        <w:rPr>
          <w:rFonts w:eastAsiaTheme="minorEastAsia"/>
          <w:color w:val="000000"/>
          <w:sz w:val="24"/>
        </w:rPr>
        <w:t>PPI</w:t>
      </w:r>
      <w:r>
        <w:rPr>
          <w:rFonts w:eastAsiaTheme="minorEastAsia"/>
          <w:color w:val="000000"/>
          <w:sz w:val="24"/>
        </w:rPr>
        <w:t>持续上升</w:t>
      </w:r>
      <w:r>
        <w:rPr>
          <w:rFonts w:eastAsiaTheme="minorEastAsia"/>
          <w:color w:val="000000"/>
          <w:sz w:val="24"/>
        </w:rPr>
        <w:t>,</w:t>
      </w:r>
      <w:r>
        <w:rPr>
          <w:rFonts w:eastAsiaTheme="minorEastAsia"/>
          <w:color w:val="000000"/>
          <w:sz w:val="24"/>
        </w:rPr>
        <w:t>部分投资者开始担心</w:t>
      </w:r>
      <w:r>
        <w:rPr>
          <w:rFonts w:eastAsiaTheme="minorEastAsia"/>
          <w:color w:val="000000"/>
          <w:sz w:val="24"/>
        </w:rPr>
        <w:t>“</w:t>
      </w:r>
      <w:r>
        <w:rPr>
          <w:rFonts w:eastAsiaTheme="minorEastAsia"/>
          <w:color w:val="000000"/>
          <w:sz w:val="24"/>
        </w:rPr>
        <w:t>滞胀</w:t>
      </w:r>
      <w:r>
        <w:rPr>
          <w:rFonts w:eastAsiaTheme="minorEastAsia"/>
          <w:color w:val="000000"/>
          <w:sz w:val="24"/>
        </w:rPr>
        <w:t>”</w:t>
      </w:r>
      <w:r>
        <w:rPr>
          <w:rFonts w:eastAsiaTheme="minorEastAsia"/>
          <w:color w:val="000000"/>
          <w:sz w:val="24"/>
        </w:rPr>
        <w:t>。</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月份以来，随着中铁物资信用事件爆发，市场情绪非常脆弱，再叠加营改增可能会对金融同业产生的负面影响，主力国开利率大幅上行，信用债尤其是中低等级的信用利差扩大明显。国债</w:t>
      </w:r>
      <w:r>
        <w:rPr>
          <w:rFonts w:eastAsiaTheme="minorEastAsia"/>
          <w:color w:val="000000"/>
          <w:sz w:val="24"/>
        </w:rPr>
        <w:t>10</w:t>
      </w:r>
      <w:r>
        <w:rPr>
          <w:rFonts w:eastAsiaTheme="minorEastAsia"/>
          <w:color w:val="000000"/>
          <w:sz w:val="24"/>
        </w:rPr>
        <w:t>年和</w:t>
      </w:r>
      <w:r>
        <w:rPr>
          <w:rFonts w:eastAsiaTheme="minorEastAsia"/>
          <w:color w:val="000000"/>
          <w:sz w:val="24"/>
        </w:rPr>
        <w:t>7</w:t>
      </w:r>
      <w:r>
        <w:rPr>
          <w:rFonts w:eastAsiaTheme="minorEastAsia"/>
          <w:color w:val="000000"/>
          <w:sz w:val="24"/>
        </w:rPr>
        <w:t>年曲线一度倒挂</w:t>
      </w:r>
      <w:r>
        <w:rPr>
          <w:rFonts w:eastAsiaTheme="minorEastAsia"/>
          <w:color w:val="000000"/>
          <w:sz w:val="24"/>
        </w:rPr>
        <w:t>12BP</w:t>
      </w:r>
      <w:r>
        <w:rPr>
          <w:rFonts w:eastAsiaTheme="minorEastAsia"/>
          <w:color w:val="000000"/>
          <w:sz w:val="24"/>
        </w:rPr>
        <w:t>，创下近十年的最大负利差。进入</w:t>
      </w:r>
      <w:r>
        <w:rPr>
          <w:rFonts w:eastAsiaTheme="minorEastAsia"/>
          <w:color w:val="000000"/>
          <w:sz w:val="24"/>
        </w:rPr>
        <w:t>5</w:t>
      </w:r>
      <w:r>
        <w:rPr>
          <w:rFonts w:eastAsiaTheme="minorEastAsia"/>
          <w:color w:val="000000"/>
          <w:sz w:val="24"/>
        </w:rPr>
        <w:t>月份后，</w:t>
      </w:r>
      <w:r>
        <w:rPr>
          <w:rFonts w:eastAsiaTheme="minorEastAsia"/>
          <w:color w:val="000000"/>
          <w:sz w:val="24"/>
        </w:rPr>
        <w:t>“</w:t>
      </w:r>
      <w:r>
        <w:rPr>
          <w:rFonts w:eastAsiaTheme="minorEastAsia"/>
          <w:color w:val="000000"/>
          <w:sz w:val="24"/>
        </w:rPr>
        <w:t>权威人士</w:t>
      </w:r>
      <w:r>
        <w:rPr>
          <w:rFonts w:eastAsiaTheme="minorEastAsia"/>
          <w:color w:val="000000"/>
          <w:sz w:val="24"/>
        </w:rPr>
        <w:t>”</w:t>
      </w:r>
      <w:r>
        <w:rPr>
          <w:rFonts w:eastAsiaTheme="minorEastAsia"/>
          <w:color w:val="000000"/>
          <w:sz w:val="24"/>
        </w:rPr>
        <w:t>讲话确定经济</w:t>
      </w:r>
      <w:r>
        <w:rPr>
          <w:rFonts w:eastAsiaTheme="minorEastAsia"/>
          <w:color w:val="000000"/>
          <w:sz w:val="24"/>
        </w:rPr>
        <w:t>“L</w:t>
      </w:r>
      <w:r>
        <w:rPr>
          <w:rFonts w:eastAsiaTheme="minorEastAsia"/>
          <w:color w:val="000000"/>
          <w:sz w:val="24"/>
        </w:rPr>
        <w:t>型底</w:t>
      </w:r>
      <w:r>
        <w:rPr>
          <w:rFonts w:eastAsiaTheme="minorEastAsia"/>
          <w:color w:val="000000"/>
          <w:sz w:val="24"/>
        </w:rPr>
        <w:t>”</w:t>
      </w:r>
      <w:r>
        <w:rPr>
          <w:rFonts w:eastAsiaTheme="minorEastAsia"/>
          <w:color w:val="000000"/>
          <w:sz w:val="24"/>
        </w:rPr>
        <w:t>，加上经济和通胀再度放缓，以及美联储</w:t>
      </w:r>
      <w:r>
        <w:rPr>
          <w:rFonts w:eastAsiaTheme="minorEastAsia"/>
          <w:color w:val="000000"/>
          <w:sz w:val="24"/>
        </w:rPr>
        <w:t>FOMC</w:t>
      </w:r>
      <w:r>
        <w:rPr>
          <w:rFonts w:eastAsiaTheme="minorEastAsia"/>
          <w:color w:val="000000"/>
          <w:sz w:val="24"/>
        </w:rPr>
        <w:t>会议、英国退欧等事件的影响，长端利率债震荡下行。本报告期内，中债总财富指数呈</w:t>
      </w:r>
      <w:r>
        <w:rPr>
          <w:rFonts w:eastAsiaTheme="minorEastAsia"/>
          <w:color w:val="000000"/>
          <w:sz w:val="24"/>
        </w:rPr>
        <w:t>V</w:t>
      </w:r>
      <w:r>
        <w:rPr>
          <w:rFonts w:eastAsiaTheme="minorEastAsia"/>
          <w:color w:val="000000"/>
          <w:sz w:val="24"/>
        </w:rPr>
        <w:t>型，整个</w:t>
      </w:r>
      <w:r>
        <w:rPr>
          <w:rFonts w:eastAsiaTheme="minorEastAsia"/>
          <w:color w:val="000000"/>
          <w:sz w:val="24"/>
        </w:rPr>
        <w:t>2016</w:t>
      </w:r>
      <w:r>
        <w:rPr>
          <w:rFonts w:eastAsiaTheme="minorEastAsia"/>
          <w:color w:val="000000"/>
          <w:sz w:val="24"/>
        </w:rPr>
        <w:t>年二季度指</w:t>
      </w:r>
      <w:r>
        <w:rPr>
          <w:rFonts w:eastAsiaTheme="minorEastAsia"/>
          <w:color w:val="000000"/>
          <w:sz w:val="24"/>
        </w:rPr>
        <w:t>数上涨</w:t>
      </w:r>
      <w:r>
        <w:rPr>
          <w:rFonts w:eastAsiaTheme="minorEastAsia"/>
          <w:color w:val="000000"/>
          <w:sz w:val="24"/>
        </w:rPr>
        <w:t>0.24%</w:t>
      </w:r>
      <w:r>
        <w:rPr>
          <w:rFonts w:eastAsiaTheme="minorEastAsia"/>
          <w:color w:val="000000"/>
          <w:sz w:val="24"/>
        </w:rPr>
        <w:t>。</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我们依旧相信经济内生的下行压力将长期存在，</w:t>
      </w:r>
      <w:r>
        <w:rPr>
          <w:rFonts w:eastAsiaTheme="minorEastAsia"/>
          <w:color w:val="000000"/>
          <w:sz w:val="24"/>
        </w:rPr>
        <w:t>“</w:t>
      </w:r>
      <w:r>
        <w:rPr>
          <w:rFonts w:eastAsiaTheme="minorEastAsia"/>
          <w:color w:val="000000"/>
          <w:sz w:val="24"/>
        </w:rPr>
        <w:t>供给侧改革</w:t>
      </w:r>
      <w:r>
        <w:rPr>
          <w:rFonts w:eastAsiaTheme="minorEastAsia"/>
          <w:color w:val="000000"/>
          <w:sz w:val="24"/>
        </w:rPr>
        <w:t>”</w:t>
      </w:r>
      <w:r>
        <w:rPr>
          <w:rFonts w:eastAsiaTheme="minorEastAsia"/>
          <w:color w:val="000000"/>
          <w:sz w:val="24"/>
        </w:rPr>
        <w:t>难以一蹴而就。经济下行期信用风险频发实属意料之中，公开评级下调低于预期并不意味着信用事件爆发将少于预期。我们一如既往地规避中低等级信用债、防范信用风险。本基金起始运作以来，债券投资品种上我们以利率债和中高等级信用债为主进行配置。股票方面，管理人坚持稳健优先，始终在安全垫内参与股票投资，即使遭遇</w:t>
      </w:r>
      <w:r>
        <w:rPr>
          <w:rFonts w:eastAsiaTheme="minorEastAsia"/>
          <w:color w:val="000000"/>
          <w:sz w:val="24"/>
        </w:rPr>
        <w:t>4</w:t>
      </w:r>
      <w:r>
        <w:rPr>
          <w:rFonts w:eastAsiaTheme="minorEastAsia"/>
          <w:color w:val="000000"/>
          <w:sz w:val="24"/>
        </w:rPr>
        <w:t>月底、</w:t>
      </w:r>
      <w:r>
        <w:rPr>
          <w:rFonts w:eastAsiaTheme="minorEastAsia"/>
          <w:color w:val="000000"/>
          <w:sz w:val="24"/>
        </w:rPr>
        <w:t>5</w:t>
      </w:r>
      <w:r>
        <w:rPr>
          <w:rFonts w:eastAsiaTheme="minorEastAsia"/>
          <w:color w:val="000000"/>
          <w:sz w:val="24"/>
        </w:rPr>
        <w:t>月初的市场调整，也确保了本报告期末基金份额净值高于</w:t>
      </w:r>
      <w:r>
        <w:rPr>
          <w:rFonts w:eastAsiaTheme="minorEastAsia"/>
          <w:color w:val="000000"/>
          <w:sz w:val="24"/>
        </w:rPr>
        <w:t>1</w:t>
      </w:r>
      <w:r>
        <w:rPr>
          <w:rFonts w:eastAsiaTheme="minorEastAsia"/>
          <w:color w:val="000000"/>
          <w:sz w:val="24"/>
        </w:rPr>
        <w:t>。</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405493">
        <w:rPr>
          <w:rFonts w:eastAsiaTheme="minorEastAsia"/>
          <w:color w:val="000000"/>
          <w:sz w:val="24"/>
        </w:rPr>
        <w:t>“</w:t>
      </w:r>
      <w:r w:rsidRPr="00405493">
        <w:rPr>
          <w:rFonts w:eastAsiaTheme="minorEastAsia"/>
          <w:color w:val="000000"/>
          <w:sz w:val="24"/>
        </w:rPr>
        <w:t>金融去杠杆</w:t>
      </w:r>
      <w:r w:rsidRPr="00405493">
        <w:rPr>
          <w:rFonts w:eastAsiaTheme="minorEastAsia"/>
          <w:color w:val="000000"/>
          <w:sz w:val="24"/>
        </w:rPr>
        <w:t>”</w:t>
      </w:r>
      <w:r w:rsidRPr="00405493">
        <w:rPr>
          <w:rFonts w:eastAsiaTheme="minorEastAsia"/>
          <w:color w:val="000000"/>
          <w:sz w:val="24"/>
        </w:rPr>
        <w:t>或会逐渐被投资者遗忘，但政策风险依旧是悬在市场之上的利剑，庞大、复杂、相互交错的</w:t>
      </w:r>
      <w:r w:rsidRPr="00405493">
        <w:rPr>
          <w:rFonts w:eastAsiaTheme="minorEastAsia"/>
          <w:color w:val="000000"/>
          <w:sz w:val="24"/>
        </w:rPr>
        <w:t>“</w:t>
      </w:r>
      <w:r w:rsidRPr="00405493">
        <w:rPr>
          <w:rFonts w:eastAsiaTheme="minorEastAsia"/>
          <w:color w:val="000000"/>
          <w:sz w:val="24"/>
        </w:rPr>
        <w:t>影子银行</w:t>
      </w:r>
      <w:r w:rsidRPr="00405493">
        <w:rPr>
          <w:rFonts w:eastAsiaTheme="minorEastAsia"/>
          <w:color w:val="000000"/>
          <w:sz w:val="24"/>
        </w:rPr>
        <w:t>”</w:t>
      </w:r>
      <w:r w:rsidRPr="00405493">
        <w:rPr>
          <w:rFonts w:eastAsiaTheme="minorEastAsia"/>
          <w:color w:val="000000"/>
          <w:sz w:val="24"/>
        </w:rPr>
        <w:t>体系并非不能治理，</w:t>
      </w:r>
      <w:r w:rsidRPr="00405493">
        <w:rPr>
          <w:rFonts w:eastAsiaTheme="minorEastAsia"/>
          <w:color w:val="000000"/>
          <w:sz w:val="24"/>
        </w:rPr>
        <w:t>“</w:t>
      </w:r>
      <w:r w:rsidRPr="00405493">
        <w:rPr>
          <w:rFonts w:eastAsiaTheme="minorEastAsia"/>
          <w:color w:val="000000"/>
          <w:sz w:val="24"/>
        </w:rPr>
        <w:t>投鼠忌器</w:t>
      </w:r>
      <w:r w:rsidRPr="00405493">
        <w:rPr>
          <w:rFonts w:eastAsiaTheme="minorEastAsia"/>
          <w:color w:val="000000"/>
          <w:sz w:val="24"/>
        </w:rPr>
        <w:t>”</w:t>
      </w:r>
      <w:r w:rsidRPr="00405493">
        <w:rPr>
          <w:rFonts w:eastAsiaTheme="minorEastAsia"/>
          <w:color w:val="000000"/>
          <w:sz w:val="24"/>
        </w:rPr>
        <w:t>只会是暂时的，走向更加规范、风险可控的未来才是大势所趋。我们将继续进一步扩大安全垫，并根据市场情况适时提高股票仓位，在安全边际内提高组合收益。</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1.014</w:t>
      </w:r>
      <w:r w:rsidRPr="00405493">
        <w:rPr>
          <w:rFonts w:eastAsiaTheme="minorEastAsia"/>
          <w:color w:val="000000"/>
          <w:sz w:val="24"/>
        </w:rPr>
        <w:t>元，本报告期份额净值增长率为</w:t>
      </w:r>
      <w:r w:rsidRPr="00405493">
        <w:rPr>
          <w:rFonts w:eastAsiaTheme="minorEastAsia"/>
          <w:color w:val="000000"/>
          <w:sz w:val="24"/>
        </w:rPr>
        <w:t>-0.49%</w:t>
      </w:r>
      <w:r w:rsidRPr="00405493">
        <w:rPr>
          <w:rFonts w:eastAsiaTheme="minorEastAsia"/>
          <w:color w:val="000000"/>
          <w:sz w:val="24"/>
        </w:rPr>
        <w:t>，同期业绩比较基准增长率为</w:t>
      </w:r>
      <w:r w:rsidRPr="00405493">
        <w:rPr>
          <w:rFonts w:eastAsiaTheme="minorEastAsia"/>
          <w:color w:val="000000"/>
          <w:sz w:val="24"/>
        </w:rPr>
        <w:t>0.85%</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723,215,372.00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96.99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665,215,372.00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89.21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58,000,000.00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7.78</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13,320,843.56</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1.79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9,127,524.07</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1.22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745,663,739.63</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4D2626" w:rsidRPr="004D2626" w:rsidRDefault="004D2626" w:rsidP="009D139A">
      <w:pPr>
        <w:autoSpaceDE w:val="0"/>
        <w:autoSpaceDN w:val="0"/>
        <w:adjustRightInd w:val="0"/>
        <w:spacing w:before="29" w:line="288" w:lineRule="auto"/>
        <w:jc w:val="left"/>
        <w:rPr>
          <w:rFonts w:eastAsiaTheme="minorEastAsia" w:hint="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9,999,000.00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2.25</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lastRenderedPageBreak/>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454,249,372.00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102.11</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90,017,000.00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20.23</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110,950,000.00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24.94</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665,215,372.00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149.53</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FE3180">
        <w:trPr>
          <w:jc w:val="center"/>
        </w:trPr>
        <w:tc>
          <w:tcPr>
            <w:tcW w:w="1302" w:type="dxa"/>
            <w:vAlign w:val="center"/>
          </w:tcPr>
          <w:p w:rsidR="00FE3180" w:rsidRDefault="00815360">
            <w:pPr>
              <w:jc w:val="center"/>
            </w:pPr>
            <w:r>
              <w:rPr>
                <w:rFonts w:eastAsiaTheme="minorEastAsia"/>
                <w:color w:val="000000"/>
                <w:sz w:val="24"/>
              </w:rPr>
              <w:t>1</w:t>
            </w:r>
          </w:p>
        </w:tc>
        <w:tc>
          <w:tcPr>
            <w:tcW w:w="1362" w:type="dxa"/>
            <w:vAlign w:val="center"/>
          </w:tcPr>
          <w:p w:rsidR="00FE3180" w:rsidRDefault="00815360">
            <w:pPr>
              <w:jc w:val="center"/>
            </w:pPr>
            <w:r>
              <w:rPr>
                <w:rFonts w:eastAsiaTheme="minorEastAsia"/>
                <w:color w:val="000000"/>
                <w:sz w:val="24"/>
              </w:rPr>
              <w:t>112312</w:t>
            </w:r>
          </w:p>
        </w:tc>
        <w:tc>
          <w:tcPr>
            <w:tcW w:w="1652" w:type="dxa"/>
            <w:vAlign w:val="center"/>
          </w:tcPr>
          <w:p w:rsidR="00FE3180" w:rsidRDefault="00815360">
            <w:pPr>
              <w:jc w:val="center"/>
            </w:pPr>
            <w:r>
              <w:rPr>
                <w:rFonts w:eastAsiaTheme="minorEastAsia"/>
                <w:color w:val="000000"/>
                <w:sz w:val="24"/>
              </w:rPr>
              <w:t>16</w:t>
            </w:r>
            <w:r>
              <w:rPr>
                <w:rFonts w:eastAsiaTheme="minorEastAsia"/>
                <w:color w:val="000000"/>
                <w:sz w:val="24"/>
              </w:rPr>
              <w:t>徐工</w:t>
            </w:r>
            <w:r>
              <w:rPr>
                <w:rFonts w:eastAsiaTheme="minorEastAsia"/>
                <w:color w:val="000000"/>
                <w:sz w:val="24"/>
              </w:rPr>
              <w:t>01</w:t>
            </w:r>
          </w:p>
        </w:tc>
        <w:tc>
          <w:tcPr>
            <w:tcW w:w="1417" w:type="dxa"/>
            <w:vAlign w:val="center"/>
          </w:tcPr>
          <w:p w:rsidR="00FE3180" w:rsidRDefault="00815360">
            <w:pPr>
              <w:jc w:val="right"/>
            </w:pPr>
            <w:r>
              <w:rPr>
                <w:rFonts w:eastAsiaTheme="minorEastAsia"/>
                <w:color w:val="000000"/>
                <w:sz w:val="24"/>
              </w:rPr>
              <w:t>400,000</w:t>
            </w:r>
          </w:p>
        </w:tc>
        <w:tc>
          <w:tcPr>
            <w:tcW w:w="1701" w:type="dxa"/>
            <w:vAlign w:val="center"/>
          </w:tcPr>
          <w:p w:rsidR="00FE3180" w:rsidRDefault="00815360">
            <w:pPr>
              <w:jc w:val="right"/>
            </w:pPr>
            <w:r>
              <w:rPr>
                <w:rFonts w:eastAsiaTheme="minorEastAsia"/>
                <w:color w:val="000000"/>
                <w:sz w:val="24"/>
              </w:rPr>
              <w:t>40,564,000.00</w:t>
            </w:r>
          </w:p>
        </w:tc>
        <w:tc>
          <w:tcPr>
            <w:tcW w:w="1434" w:type="dxa"/>
            <w:vAlign w:val="center"/>
          </w:tcPr>
          <w:p w:rsidR="00FE3180" w:rsidRDefault="00815360">
            <w:pPr>
              <w:jc w:val="right"/>
            </w:pPr>
            <w:r>
              <w:rPr>
                <w:rFonts w:eastAsiaTheme="minorEastAsia"/>
                <w:color w:val="000000"/>
                <w:sz w:val="24"/>
              </w:rPr>
              <w:t>9.12</w:t>
            </w:r>
          </w:p>
        </w:tc>
      </w:tr>
      <w:tr w:rsidR="00FE3180">
        <w:trPr>
          <w:jc w:val="center"/>
        </w:trPr>
        <w:tc>
          <w:tcPr>
            <w:tcW w:w="1302" w:type="dxa"/>
            <w:vAlign w:val="center"/>
          </w:tcPr>
          <w:p w:rsidR="00FE3180" w:rsidRDefault="00815360">
            <w:pPr>
              <w:jc w:val="center"/>
            </w:pPr>
            <w:r>
              <w:rPr>
                <w:rFonts w:eastAsiaTheme="minorEastAsia"/>
                <w:color w:val="000000"/>
                <w:sz w:val="24"/>
              </w:rPr>
              <w:t>2</w:t>
            </w:r>
          </w:p>
        </w:tc>
        <w:tc>
          <w:tcPr>
            <w:tcW w:w="1362" w:type="dxa"/>
            <w:vAlign w:val="center"/>
          </w:tcPr>
          <w:p w:rsidR="00FE3180" w:rsidRDefault="00815360">
            <w:pPr>
              <w:jc w:val="center"/>
            </w:pPr>
            <w:r>
              <w:rPr>
                <w:rFonts w:eastAsiaTheme="minorEastAsia"/>
                <w:color w:val="000000"/>
                <w:sz w:val="24"/>
              </w:rPr>
              <w:t>101562046</w:t>
            </w:r>
          </w:p>
        </w:tc>
        <w:tc>
          <w:tcPr>
            <w:tcW w:w="1652" w:type="dxa"/>
            <w:vAlign w:val="center"/>
          </w:tcPr>
          <w:p w:rsidR="00FE3180" w:rsidRDefault="00815360">
            <w:pPr>
              <w:jc w:val="center"/>
            </w:pPr>
            <w:r>
              <w:rPr>
                <w:rFonts w:eastAsiaTheme="minorEastAsia"/>
                <w:color w:val="000000"/>
                <w:sz w:val="24"/>
              </w:rPr>
              <w:t>15</w:t>
            </w:r>
            <w:r>
              <w:rPr>
                <w:rFonts w:eastAsiaTheme="minorEastAsia"/>
                <w:color w:val="000000"/>
                <w:sz w:val="24"/>
              </w:rPr>
              <w:t>东方</w:t>
            </w:r>
            <w:r>
              <w:rPr>
                <w:rFonts w:eastAsiaTheme="minorEastAsia"/>
                <w:color w:val="000000"/>
                <w:sz w:val="24"/>
              </w:rPr>
              <w:t>MTN003</w:t>
            </w:r>
          </w:p>
        </w:tc>
        <w:tc>
          <w:tcPr>
            <w:tcW w:w="1417" w:type="dxa"/>
            <w:vAlign w:val="center"/>
          </w:tcPr>
          <w:p w:rsidR="00FE3180" w:rsidRDefault="00815360">
            <w:pPr>
              <w:jc w:val="right"/>
            </w:pPr>
            <w:r>
              <w:rPr>
                <w:rFonts w:eastAsiaTheme="minorEastAsia"/>
                <w:color w:val="000000"/>
                <w:sz w:val="24"/>
              </w:rPr>
              <w:t>400,000</w:t>
            </w:r>
          </w:p>
        </w:tc>
        <w:tc>
          <w:tcPr>
            <w:tcW w:w="1701" w:type="dxa"/>
            <w:vAlign w:val="center"/>
          </w:tcPr>
          <w:p w:rsidR="00FE3180" w:rsidRDefault="00815360">
            <w:pPr>
              <w:jc w:val="right"/>
            </w:pPr>
            <w:r>
              <w:rPr>
                <w:rFonts w:eastAsiaTheme="minorEastAsia"/>
                <w:color w:val="000000"/>
                <w:sz w:val="24"/>
              </w:rPr>
              <w:t>40,336,000.00</w:t>
            </w:r>
          </w:p>
        </w:tc>
        <w:tc>
          <w:tcPr>
            <w:tcW w:w="1434" w:type="dxa"/>
            <w:vAlign w:val="center"/>
          </w:tcPr>
          <w:p w:rsidR="00FE3180" w:rsidRDefault="00815360">
            <w:pPr>
              <w:jc w:val="right"/>
            </w:pPr>
            <w:r>
              <w:rPr>
                <w:rFonts w:eastAsiaTheme="minorEastAsia"/>
                <w:color w:val="000000"/>
                <w:sz w:val="24"/>
              </w:rPr>
              <w:t>9.07</w:t>
            </w:r>
          </w:p>
        </w:tc>
      </w:tr>
      <w:tr w:rsidR="00FE3180">
        <w:trPr>
          <w:jc w:val="center"/>
        </w:trPr>
        <w:tc>
          <w:tcPr>
            <w:tcW w:w="1302" w:type="dxa"/>
            <w:vAlign w:val="center"/>
          </w:tcPr>
          <w:p w:rsidR="00FE3180" w:rsidRDefault="00815360">
            <w:pPr>
              <w:jc w:val="center"/>
            </w:pPr>
            <w:r>
              <w:rPr>
                <w:rFonts w:eastAsiaTheme="minorEastAsia"/>
                <w:color w:val="000000"/>
                <w:sz w:val="24"/>
              </w:rPr>
              <w:t>3</w:t>
            </w:r>
          </w:p>
        </w:tc>
        <w:tc>
          <w:tcPr>
            <w:tcW w:w="1362" w:type="dxa"/>
            <w:vAlign w:val="center"/>
          </w:tcPr>
          <w:p w:rsidR="00FE3180" w:rsidRDefault="00815360">
            <w:pPr>
              <w:jc w:val="center"/>
            </w:pPr>
            <w:r>
              <w:rPr>
                <w:rFonts w:eastAsiaTheme="minorEastAsia"/>
                <w:color w:val="000000"/>
                <w:sz w:val="24"/>
              </w:rPr>
              <w:t>136370</w:t>
            </w:r>
          </w:p>
        </w:tc>
        <w:tc>
          <w:tcPr>
            <w:tcW w:w="1652" w:type="dxa"/>
            <w:vAlign w:val="center"/>
          </w:tcPr>
          <w:p w:rsidR="00FE3180" w:rsidRDefault="00815360">
            <w:pPr>
              <w:jc w:val="center"/>
            </w:pPr>
            <w:r>
              <w:rPr>
                <w:rFonts w:eastAsiaTheme="minorEastAsia"/>
                <w:color w:val="000000"/>
                <w:sz w:val="24"/>
              </w:rPr>
              <w:t>16</w:t>
            </w:r>
            <w:r>
              <w:rPr>
                <w:rFonts w:eastAsiaTheme="minorEastAsia"/>
                <w:color w:val="000000"/>
                <w:sz w:val="24"/>
              </w:rPr>
              <w:t>宁开控</w:t>
            </w:r>
          </w:p>
        </w:tc>
        <w:tc>
          <w:tcPr>
            <w:tcW w:w="1417" w:type="dxa"/>
            <w:vAlign w:val="center"/>
          </w:tcPr>
          <w:p w:rsidR="00FE3180" w:rsidRDefault="00815360">
            <w:pPr>
              <w:jc w:val="right"/>
            </w:pPr>
            <w:r>
              <w:rPr>
                <w:rFonts w:eastAsiaTheme="minorEastAsia"/>
                <w:color w:val="000000"/>
                <w:sz w:val="24"/>
              </w:rPr>
              <w:t>400,000</w:t>
            </w:r>
          </w:p>
        </w:tc>
        <w:tc>
          <w:tcPr>
            <w:tcW w:w="1701" w:type="dxa"/>
            <w:vAlign w:val="center"/>
          </w:tcPr>
          <w:p w:rsidR="00FE3180" w:rsidRDefault="00815360">
            <w:pPr>
              <w:jc w:val="right"/>
            </w:pPr>
            <w:r>
              <w:rPr>
                <w:rFonts w:eastAsiaTheme="minorEastAsia"/>
                <w:color w:val="000000"/>
                <w:sz w:val="24"/>
              </w:rPr>
              <w:t>40,328,000.00</w:t>
            </w:r>
          </w:p>
        </w:tc>
        <w:tc>
          <w:tcPr>
            <w:tcW w:w="1434" w:type="dxa"/>
            <w:vAlign w:val="center"/>
          </w:tcPr>
          <w:p w:rsidR="00FE3180" w:rsidRDefault="00815360">
            <w:pPr>
              <w:jc w:val="right"/>
            </w:pPr>
            <w:r>
              <w:rPr>
                <w:rFonts w:eastAsiaTheme="minorEastAsia"/>
                <w:color w:val="000000"/>
                <w:sz w:val="24"/>
              </w:rPr>
              <w:t>9.06</w:t>
            </w:r>
          </w:p>
        </w:tc>
      </w:tr>
      <w:tr w:rsidR="00FE3180">
        <w:trPr>
          <w:jc w:val="center"/>
        </w:trPr>
        <w:tc>
          <w:tcPr>
            <w:tcW w:w="1302" w:type="dxa"/>
            <w:vAlign w:val="center"/>
          </w:tcPr>
          <w:p w:rsidR="00FE3180" w:rsidRDefault="00815360">
            <w:pPr>
              <w:jc w:val="center"/>
            </w:pPr>
            <w:r>
              <w:rPr>
                <w:rFonts w:eastAsiaTheme="minorEastAsia"/>
                <w:color w:val="000000"/>
                <w:sz w:val="24"/>
              </w:rPr>
              <w:t>4</w:t>
            </w:r>
          </w:p>
        </w:tc>
        <w:tc>
          <w:tcPr>
            <w:tcW w:w="1362" w:type="dxa"/>
            <w:vAlign w:val="center"/>
          </w:tcPr>
          <w:p w:rsidR="00FE3180" w:rsidRDefault="00815360">
            <w:pPr>
              <w:jc w:val="center"/>
            </w:pPr>
            <w:r>
              <w:rPr>
                <w:rFonts w:eastAsiaTheme="minorEastAsia"/>
                <w:color w:val="000000"/>
                <w:sz w:val="24"/>
              </w:rPr>
              <w:t>136449</w:t>
            </w:r>
          </w:p>
        </w:tc>
        <w:tc>
          <w:tcPr>
            <w:tcW w:w="1652" w:type="dxa"/>
            <w:vAlign w:val="center"/>
          </w:tcPr>
          <w:p w:rsidR="00FE3180" w:rsidRDefault="00815360">
            <w:pPr>
              <w:jc w:val="center"/>
            </w:pPr>
            <w:r>
              <w:rPr>
                <w:rFonts w:eastAsiaTheme="minorEastAsia"/>
                <w:color w:val="000000"/>
                <w:sz w:val="24"/>
              </w:rPr>
              <w:t>16</w:t>
            </w:r>
            <w:r>
              <w:rPr>
                <w:rFonts w:eastAsiaTheme="minorEastAsia"/>
                <w:color w:val="000000"/>
                <w:sz w:val="24"/>
              </w:rPr>
              <w:t>油服</w:t>
            </w:r>
            <w:r>
              <w:rPr>
                <w:rFonts w:eastAsiaTheme="minorEastAsia"/>
                <w:color w:val="000000"/>
                <w:sz w:val="24"/>
              </w:rPr>
              <w:t>01</w:t>
            </w:r>
          </w:p>
        </w:tc>
        <w:tc>
          <w:tcPr>
            <w:tcW w:w="1417" w:type="dxa"/>
            <w:vAlign w:val="center"/>
          </w:tcPr>
          <w:p w:rsidR="00FE3180" w:rsidRDefault="00815360">
            <w:pPr>
              <w:jc w:val="right"/>
            </w:pPr>
            <w:r>
              <w:rPr>
                <w:rFonts w:eastAsiaTheme="minorEastAsia"/>
                <w:color w:val="000000"/>
                <w:sz w:val="24"/>
              </w:rPr>
              <w:t>400,000</w:t>
            </w:r>
          </w:p>
        </w:tc>
        <w:tc>
          <w:tcPr>
            <w:tcW w:w="1701" w:type="dxa"/>
            <w:vAlign w:val="center"/>
          </w:tcPr>
          <w:p w:rsidR="00FE3180" w:rsidRDefault="00815360">
            <w:pPr>
              <w:jc w:val="right"/>
            </w:pPr>
            <w:r>
              <w:rPr>
                <w:rFonts w:eastAsiaTheme="minorEastAsia"/>
                <w:color w:val="000000"/>
                <w:sz w:val="24"/>
              </w:rPr>
              <w:t>40,288,000.00</w:t>
            </w:r>
          </w:p>
        </w:tc>
        <w:tc>
          <w:tcPr>
            <w:tcW w:w="1434" w:type="dxa"/>
            <w:vAlign w:val="center"/>
          </w:tcPr>
          <w:p w:rsidR="00FE3180" w:rsidRDefault="00815360">
            <w:pPr>
              <w:jc w:val="right"/>
            </w:pPr>
            <w:r>
              <w:rPr>
                <w:rFonts w:eastAsiaTheme="minorEastAsia"/>
                <w:color w:val="000000"/>
                <w:sz w:val="24"/>
              </w:rPr>
              <w:t>9.06</w:t>
            </w:r>
          </w:p>
        </w:tc>
      </w:tr>
      <w:tr w:rsidR="00FE3180">
        <w:trPr>
          <w:jc w:val="center"/>
        </w:trPr>
        <w:tc>
          <w:tcPr>
            <w:tcW w:w="1302" w:type="dxa"/>
            <w:vAlign w:val="center"/>
          </w:tcPr>
          <w:p w:rsidR="00FE3180" w:rsidRDefault="00815360">
            <w:pPr>
              <w:jc w:val="center"/>
            </w:pPr>
            <w:r>
              <w:rPr>
                <w:rFonts w:eastAsiaTheme="minorEastAsia"/>
                <w:color w:val="000000"/>
                <w:sz w:val="24"/>
              </w:rPr>
              <w:t>5</w:t>
            </w:r>
          </w:p>
        </w:tc>
        <w:tc>
          <w:tcPr>
            <w:tcW w:w="1362" w:type="dxa"/>
            <w:vAlign w:val="center"/>
          </w:tcPr>
          <w:p w:rsidR="00FE3180" w:rsidRDefault="00815360">
            <w:pPr>
              <w:jc w:val="center"/>
            </w:pPr>
            <w:r>
              <w:rPr>
                <w:rFonts w:eastAsiaTheme="minorEastAsia"/>
                <w:color w:val="000000"/>
                <w:sz w:val="24"/>
              </w:rPr>
              <w:t>011699773</w:t>
            </w:r>
          </w:p>
        </w:tc>
        <w:tc>
          <w:tcPr>
            <w:tcW w:w="1652" w:type="dxa"/>
            <w:vAlign w:val="center"/>
          </w:tcPr>
          <w:p w:rsidR="00FE3180" w:rsidRDefault="00815360">
            <w:pPr>
              <w:jc w:val="center"/>
            </w:pPr>
            <w:r>
              <w:rPr>
                <w:rFonts w:eastAsiaTheme="minorEastAsia"/>
                <w:color w:val="000000"/>
                <w:sz w:val="24"/>
              </w:rPr>
              <w:t>16</w:t>
            </w:r>
            <w:r>
              <w:rPr>
                <w:rFonts w:eastAsiaTheme="minorEastAsia"/>
                <w:color w:val="000000"/>
                <w:sz w:val="24"/>
              </w:rPr>
              <w:t>商飞</w:t>
            </w:r>
            <w:r>
              <w:rPr>
                <w:rFonts w:eastAsiaTheme="minorEastAsia"/>
                <w:color w:val="000000"/>
                <w:sz w:val="24"/>
              </w:rPr>
              <w:t>SCP002</w:t>
            </w:r>
          </w:p>
        </w:tc>
        <w:tc>
          <w:tcPr>
            <w:tcW w:w="1417" w:type="dxa"/>
            <w:vAlign w:val="center"/>
          </w:tcPr>
          <w:p w:rsidR="00FE3180" w:rsidRDefault="00815360">
            <w:pPr>
              <w:jc w:val="right"/>
            </w:pPr>
            <w:r>
              <w:rPr>
                <w:rFonts w:eastAsiaTheme="minorEastAsia"/>
                <w:color w:val="000000"/>
                <w:sz w:val="24"/>
              </w:rPr>
              <w:t>400,000</w:t>
            </w:r>
          </w:p>
        </w:tc>
        <w:tc>
          <w:tcPr>
            <w:tcW w:w="1701" w:type="dxa"/>
            <w:vAlign w:val="center"/>
          </w:tcPr>
          <w:p w:rsidR="00FE3180" w:rsidRDefault="00815360">
            <w:pPr>
              <w:jc w:val="right"/>
            </w:pPr>
            <w:r>
              <w:rPr>
                <w:rFonts w:eastAsiaTheme="minorEastAsia"/>
                <w:color w:val="000000"/>
                <w:sz w:val="24"/>
              </w:rPr>
              <w:t>40,032,000.00</w:t>
            </w:r>
          </w:p>
        </w:tc>
        <w:tc>
          <w:tcPr>
            <w:tcW w:w="1434" w:type="dxa"/>
            <w:vAlign w:val="center"/>
          </w:tcPr>
          <w:p w:rsidR="00FE3180" w:rsidRDefault="00815360">
            <w:pPr>
              <w:jc w:val="right"/>
            </w:pPr>
            <w:r>
              <w:rPr>
                <w:rFonts w:eastAsiaTheme="minorEastAsia"/>
                <w:color w:val="000000"/>
                <w:sz w:val="24"/>
              </w:rPr>
              <w:t>9.00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FE3180">
        <w:trPr>
          <w:jc w:val="center"/>
        </w:trPr>
        <w:tc>
          <w:tcPr>
            <w:tcW w:w="1286" w:type="dxa"/>
            <w:vAlign w:val="center"/>
          </w:tcPr>
          <w:p w:rsidR="00FE3180" w:rsidRDefault="00815360">
            <w:pPr>
              <w:jc w:val="center"/>
            </w:pPr>
            <w:r>
              <w:rPr>
                <w:rFonts w:eastAsiaTheme="minorEastAsia"/>
                <w:color w:val="000000"/>
                <w:sz w:val="24"/>
              </w:rPr>
              <w:t>1</w:t>
            </w:r>
          </w:p>
        </w:tc>
        <w:tc>
          <w:tcPr>
            <w:tcW w:w="1332" w:type="dxa"/>
            <w:vAlign w:val="center"/>
          </w:tcPr>
          <w:p w:rsidR="00FE3180" w:rsidRDefault="00815360">
            <w:pPr>
              <w:jc w:val="center"/>
            </w:pPr>
            <w:r>
              <w:rPr>
                <w:rFonts w:eastAsiaTheme="minorEastAsia"/>
                <w:color w:val="000000"/>
                <w:sz w:val="24"/>
              </w:rPr>
              <w:t>G0000G</w:t>
            </w:r>
          </w:p>
        </w:tc>
        <w:tc>
          <w:tcPr>
            <w:tcW w:w="1313" w:type="dxa"/>
            <w:vAlign w:val="center"/>
          </w:tcPr>
          <w:p w:rsidR="00FE3180" w:rsidRDefault="00815360">
            <w:pPr>
              <w:jc w:val="center"/>
            </w:pPr>
            <w:r>
              <w:rPr>
                <w:rFonts w:eastAsiaTheme="minorEastAsia"/>
                <w:color w:val="000000"/>
                <w:sz w:val="24"/>
              </w:rPr>
              <w:t>16</w:t>
            </w:r>
            <w:r>
              <w:rPr>
                <w:rFonts w:eastAsiaTheme="minorEastAsia"/>
                <w:color w:val="000000"/>
                <w:sz w:val="24"/>
              </w:rPr>
              <w:t>福碧</w:t>
            </w:r>
            <w:r>
              <w:rPr>
                <w:rFonts w:eastAsiaTheme="minorEastAsia"/>
                <w:color w:val="000000"/>
                <w:sz w:val="24"/>
              </w:rPr>
              <w:t>A2</w:t>
            </w:r>
          </w:p>
        </w:tc>
        <w:tc>
          <w:tcPr>
            <w:tcW w:w="1571" w:type="dxa"/>
            <w:vAlign w:val="center"/>
          </w:tcPr>
          <w:p w:rsidR="00FE3180" w:rsidRDefault="00815360">
            <w:pPr>
              <w:jc w:val="right"/>
            </w:pPr>
            <w:r>
              <w:rPr>
                <w:rFonts w:eastAsiaTheme="minorEastAsia"/>
                <w:color w:val="000000"/>
                <w:sz w:val="24"/>
              </w:rPr>
              <w:t>400,000</w:t>
            </w:r>
          </w:p>
        </w:tc>
        <w:tc>
          <w:tcPr>
            <w:tcW w:w="1670" w:type="dxa"/>
            <w:vAlign w:val="center"/>
          </w:tcPr>
          <w:p w:rsidR="00FE3180" w:rsidRDefault="00815360">
            <w:pPr>
              <w:jc w:val="right"/>
            </w:pPr>
            <w:r>
              <w:rPr>
                <w:rFonts w:eastAsiaTheme="minorEastAsia"/>
                <w:color w:val="000000"/>
                <w:sz w:val="24"/>
              </w:rPr>
              <w:t>40,000,000.00</w:t>
            </w:r>
          </w:p>
        </w:tc>
        <w:tc>
          <w:tcPr>
            <w:tcW w:w="1696" w:type="dxa"/>
            <w:vAlign w:val="center"/>
          </w:tcPr>
          <w:p w:rsidR="00FE3180" w:rsidRDefault="00815360">
            <w:pPr>
              <w:jc w:val="right"/>
            </w:pPr>
            <w:r>
              <w:rPr>
                <w:rFonts w:eastAsiaTheme="minorEastAsia"/>
                <w:color w:val="000000"/>
                <w:sz w:val="24"/>
              </w:rPr>
              <w:t>8.99</w:t>
            </w:r>
          </w:p>
        </w:tc>
      </w:tr>
      <w:tr w:rsidR="00FE3180">
        <w:trPr>
          <w:jc w:val="center"/>
        </w:trPr>
        <w:tc>
          <w:tcPr>
            <w:tcW w:w="1286" w:type="dxa"/>
            <w:vAlign w:val="center"/>
          </w:tcPr>
          <w:p w:rsidR="00FE3180" w:rsidRDefault="00815360">
            <w:pPr>
              <w:jc w:val="center"/>
            </w:pPr>
            <w:r>
              <w:rPr>
                <w:rFonts w:eastAsiaTheme="minorEastAsia"/>
                <w:color w:val="000000"/>
                <w:sz w:val="24"/>
              </w:rPr>
              <w:t>2</w:t>
            </w:r>
          </w:p>
        </w:tc>
        <w:tc>
          <w:tcPr>
            <w:tcW w:w="1332" w:type="dxa"/>
            <w:vAlign w:val="center"/>
          </w:tcPr>
          <w:p w:rsidR="00FE3180" w:rsidRDefault="00815360">
            <w:pPr>
              <w:jc w:val="center"/>
            </w:pPr>
            <w:r>
              <w:rPr>
                <w:rFonts w:eastAsiaTheme="minorEastAsia"/>
                <w:color w:val="000000"/>
                <w:sz w:val="24"/>
              </w:rPr>
              <w:t>131684</w:t>
            </w:r>
          </w:p>
        </w:tc>
        <w:tc>
          <w:tcPr>
            <w:tcW w:w="1313" w:type="dxa"/>
            <w:vAlign w:val="center"/>
          </w:tcPr>
          <w:p w:rsidR="00FE3180" w:rsidRDefault="00815360">
            <w:pPr>
              <w:jc w:val="center"/>
            </w:pPr>
            <w:r>
              <w:rPr>
                <w:rFonts w:eastAsiaTheme="minorEastAsia"/>
                <w:color w:val="000000"/>
                <w:sz w:val="24"/>
              </w:rPr>
              <w:t>汇金</w:t>
            </w:r>
            <w:r>
              <w:rPr>
                <w:rFonts w:eastAsiaTheme="minorEastAsia"/>
                <w:color w:val="000000"/>
                <w:sz w:val="24"/>
              </w:rPr>
              <w:t>1B</w:t>
            </w:r>
          </w:p>
        </w:tc>
        <w:tc>
          <w:tcPr>
            <w:tcW w:w="1571" w:type="dxa"/>
            <w:vAlign w:val="center"/>
          </w:tcPr>
          <w:p w:rsidR="00FE3180" w:rsidRDefault="00815360">
            <w:pPr>
              <w:jc w:val="right"/>
            </w:pPr>
            <w:r>
              <w:rPr>
                <w:rFonts w:eastAsiaTheme="minorEastAsia"/>
                <w:color w:val="000000"/>
                <w:sz w:val="24"/>
              </w:rPr>
              <w:t>180,000</w:t>
            </w:r>
          </w:p>
        </w:tc>
        <w:tc>
          <w:tcPr>
            <w:tcW w:w="1670" w:type="dxa"/>
            <w:vAlign w:val="center"/>
          </w:tcPr>
          <w:p w:rsidR="00FE3180" w:rsidRDefault="00815360">
            <w:pPr>
              <w:jc w:val="right"/>
            </w:pPr>
            <w:r>
              <w:rPr>
                <w:rFonts w:eastAsiaTheme="minorEastAsia"/>
                <w:color w:val="000000"/>
                <w:sz w:val="24"/>
              </w:rPr>
              <w:t>18,000,000.00</w:t>
            </w:r>
          </w:p>
        </w:tc>
        <w:tc>
          <w:tcPr>
            <w:tcW w:w="1696" w:type="dxa"/>
            <w:vAlign w:val="center"/>
          </w:tcPr>
          <w:p w:rsidR="00FE3180" w:rsidRDefault="00815360">
            <w:pPr>
              <w:jc w:val="right"/>
            </w:pPr>
            <w:r>
              <w:rPr>
                <w:rFonts w:eastAsiaTheme="minorEastAsia"/>
                <w:color w:val="000000"/>
                <w:sz w:val="24"/>
              </w:rPr>
              <w:t>4.05</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48,734.23</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9,078,789.84</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9,127,524.07</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lastRenderedPageBreak/>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4D2626" w:rsidRPr="00405493" w:rsidRDefault="004D2626" w:rsidP="009D139A">
      <w:pPr>
        <w:autoSpaceDE w:val="0"/>
        <w:autoSpaceDN w:val="0"/>
        <w:adjustRightInd w:val="0"/>
        <w:spacing w:line="288" w:lineRule="auto"/>
        <w:jc w:val="left"/>
        <w:rPr>
          <w:rFonts w:eastAsiaTheme="minorEastAsia" w:hint="eastAsia"/>
          <w:color w:val="000000"/>
          <w:sz w:val="24"/>
        </w:rPr>
      </w:pPr>
      <w:bookmarkStart w:id="0" w:name="_GoBack"/>
      <w:bookmarkEnd w:id="0"/>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、中国证监会准予交银施罗德丰硕收益债券型证券投资基金募集注册的文件；</w:t>
      </w:r>
      <w:r>
        <w:rPr>
          <w:rFonts w:eastAsiaTheme="minorEastAsia"/>
          <w:color w:val="000000"/>
          <w:sz w:val="24"/>
        </w:rPr>
        <w:t xml:space="preserve"> </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、《交银施罗德丰硕收益债券型证券投资基金基金合同》；</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、《交银施罗德丰硕收益债券型证券投资基金招募说明书》；</w:t>
      </w:r>
      <w:r>
        <w:rPr>
          <w:rFonts w:eastAsiaTheme="minorEastAsia"/>
          <w:color w:val="000000"/>
          <w:sz w:val="24"/>
        </w:rPr>
        <w:t xml:space="preserve"> </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、《交银施罗德丰硕收益债券型证券投资基金托管协议》；</w:t>
      </w:r>
      <w:r>
        <w:rPr>
          <w:rFonts w:eastAsiaTheme="minorEastAsia"/>
          <w:color w:val="000000"/>
          <w:sz w:val="24"/>
        </w:rPr>
        <w:t xml:space="preserve"> </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、关于申请募集注册交银施罗德丰硕收益债券型证券投资基金的法律意见书；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、报告期内交银施罗德丰硕收益债券型证券投资基金在指定报刊上各项公告的原稿。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FE3180" w:rsidRDefault="0081536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60" w:rsidRDefault="00815360">
      <w:r>
        <w:separator/>
      </w:r>
    </w:p>
  </w:endnote>
  <w:endnote w:type="continuationSeparator" w:id="0">
    <w:p w:rsidR="00815360" w:rsidRDefault="0081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4D2626">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4D2626">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60" w:rsidRDefault="00815360">
      <w:r>
        <w:separator/>
      </w:r>
    </w:p>
  </w:footnote>
  <w:footnote w:type="continuationSeparator" w:id="0">
    <w:p w:rsidR="00815360" w:rsidRDefault="00815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2626"/>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5360"/>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180"/>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11</Pages>
  <Words>1015</Words>
  <Characters>5792</Characters>
  <Application>Microsoft Office Word</Application>
  <DocSecurity>0</DocSecurity>
  <Lines>48</Lines>
  <Paragraphs>13</Paragraphs>
  <ScaleCrop>false</ScaleCrop>
  <Company>TRT. Ltd. Co.</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393</cp:revision>
  <cp:lastPrinted>2007-07-19T00:46:00Z</cp:lastPrinted>
  <dcterms:created xsi:type="dcterms:W3CDTF">2014-01-20T05:40:00Z</dcterms:created>
  <dcterms:modified xsi:type="dcterms:W3CDTF">2016-07-16T13:54:00Z</dcterms:modified>
</cp:coreProperties>
</file>