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337C" w:rsidRDefault="0053750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5337C" w:rsidRDefault="0053750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5337C" w:rsidRDefault="0053750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5337C" w:rsidRDefault="0053750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5337C" w:rsidRDefault="0053750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1,562,106,234.60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37507" w:rsidRPr="00414345" w:rsidTr="0053750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37507" w:rsidRPr="00414345" w:rsidTr="005375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-4,932,329.40</w:t>
            </w:r>
          </w:p>
        </w:tc>
      </w:tr>
      <w:tr w:rsidR="00537507" w:rsidRPr="00414345" w:rsidTr="005375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17,769,564.67</w:t>
            </w:r>
          </w:p>
        </w:tc>
      </w:tr>
      <w:tr w:rsidR="00537507" w:rsidRPr="00414345" w:rsidTr="005375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0.0112</w:t>
            </w:r>
          </w:p>
        </w:tc>
      </w:tr>
      <w:tr w:rsidR="00537507" w:rsidRPr="00414345" w:rsidTr="005375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1,450,183,206.96</w:t>
            </w:r>
          </w:p>
        </w:tc>
      </w:tr>
      <w:tr w:rsidR="00537507" w:rsidRPr="00414345" w:rsidTr="0053750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0.928</w:t>
            </w:r>
          </w:p>
        </w:tc>
      </w:tr>
    </w:tbl>
    <w:p w:rsidR="0035337C" w:rsidRDefault="005375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337C">
        <w:trPr>
          <w:jc w:val="center"/>
        </w:trPr>
        <w:tc>
          <w:tcPr>
            <w:tcW w:w="1701" w:type="dxa"/>
            <w:vAlign w:val="center"/>
          </w:tcPr>
          <w:p w:rsidR="0035337C" w:rsidRDefault="00537507">
            <w:pPr>
              <w:jc w:val="left"/>
            </w:pPr>
            <w:r>
              <w:rPr>
                <w:color w:val="000000"/>
                <w:sz w:val="24"/>
                <w:szCs w:val="24"/>
              </w:rPr>
              <w:t>过去三个月</w:t>
            </w:r>
          </w:p>
        </w:tc>
        <w:tc>
          <w:tcPr>
            <w:tcW w:w="1045" w:type="dxa"/>
            <w:vAlign w:val="center"/>
          </w:tcPr>
          <w:p w:rsidR="0035337C" w:rsidRDefault="00537507">
            <w:pPr>
              <w:jc w:val="center"/>
            </w:pPr>
            <w:r>
              <w:rPr>
                <w:color w:val="000000"/>
                <w:sz w:val="24"/>
                <w:szCs w:val="24"/>
              </w:rPr>
              <w:t>1.20%</w:t>
            </w:r>
          </w:p>
        </w:tc>
        <w:tc>
          <w:tcPr>
            <w:tcW w:w="1344" w:type="dxa"/>
            <w:vAlign w:val="center"/>
          </w:tcPr>
          <w:p w:rsidR="0035337C" w:rsidRDefault="00537507">
            <w:pPr>
              <w:jc w:val="center"/>
            </w:pPr>
            <w:r>
              <w:rPr>
                <w:color w:val="000000"/>
                <w:sz w:val="24"/>
                <w:szCs w:val="24"/>
              </w:rPr>
              <w:t>1.16%</w:t>
            </w:r>
          </w:p>
        </w:tc>
        <w:tc>
          <w:tcPr>
            <w:tcW w:w="1194" w:type="dxa"/>
            <w:vAlign w:val="center"/>
          </w:tcPr>
          <w:p w:rsidR="0035337C" w:rsidRDefault="00537507">
            <w:pPr>
              <w:jc w:val="center"/>
            </w:pPr>
            <w:r>
              <w:rPr>
                <w:color w:val="000000"/>
                <w:sz w:val="24"/>
                <w:szCs w:val="24"/>
              </w:rPr>
              <w:t>-0.97%</w:t>
            </w:r>
          </w:p>
        </w:tc>
        <w:tc>
          <w:tcPr>
            <w:tcW w:w="1492" w:type="dxa"/>
            <w:vAlign w:val="center"/>
          </w:tcPr>
          <w:p w:rsidR="0035337C" w:rsidRDefault="00537507">
            <w:pPr>
              <w:jc w:val="center"/>
            </w:pPr>
            <w:r>
              <w:rPr>
                <w:color w:val="000000"/>
                <w:sz w:val="24"/>
                <w:szCs w:val="24"/>
              </w:rPr>
              <w:t>0.61%</w:t>
            </w:r>
          </w:p>
        </w:tc>
        <w:tc>
          <w:tcPr>
            <w:tcW w:w="1194" w:type="dxa"/>
            <w:vAlign w:val="center"/>
          </w:tcPr>
          <w:p w:rsidR="0035337C" w:rsidRDefault="00537507">
            <w:pPr>
              <w:jc w:val="center"/>
            </w:pPr>
            <w:r>
              <w:rPr>
                <w:color w:val="000000"/>
                <w:sz w:val="24"/>
                <w:szCs w:val="24"/>
              </w:rPr>
              <w:t>2.17%</w:t>
            </w:r>
          </w:p>
        </w:tc>
        <w:tc>
          <w:tcPr>
            <w:tcW w:w="898" w:type="dxa"/>
            <w:vAlign w:val="center"/>
          </w:tcPr>
          <w:p w:rsidR="0035337C" w:rsidRDefault="00537507">
            <w:pPr>
              <w:jc w:val="center"/>
            </w:pPr>
            <w:r>
              <w:rPr>
                <w:color w:val="000000"/>
                <w:sz w:val="24"/>
                <w:szCs w:val="24"/>
              </w:rPr>
              <w:t>0.55%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10</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337C">
        <w:trPr>
          <w:jc w:val="center"/>
        </w:trPr>
        <w:tc>
          <w:tcPr>
            <w:tcW w:w="846" w:type="dxa"/>
            <w:vAlign w:val="center"/>
          </w:tcPr>
          <w:p w:rsidR="0035337C" w:rsidRDefault="00537507">
            <w:pPr>
              <w:jc w:val="center"/>
            </w:pPr>
            <w:r>
              <w:rPr>
                <w:color w:val="000000"/>
                <w:sz w:val="24"/>
                <w:szCs w:val="24"/>
              </w:rPr>
              <w:t>沈楠</w:t>
            </w:r>
          </w:p>
        </w:tc>
        <w:tc>
          <w:tcPr>
            <w:tcW w:w="845" w:type="dxa"/>
            <w:vAlign w:val="center"/>
          </w:tcPr>
          <w:p w:rsidR="0035337C" w:rsidRDefault="00537507">
            <w:pPr>
              <w:jc w:val="center"/>
            </w:pPr>
            <w:r>
              <w:rPr>
                <w:color w:val="000000"/>
                <w:sz w:val="24"/>
                <w:szCs w:val="24"/>
              </w:rPr>
              <w:t>交银主题优选混合、交银国企改革灵活配置混合的基金经理</w:t>
            </w:r>
          </w:p>
        </w:tc>
        <w:tc>
          <w:tcPr>
            <w:tcW w:w="1549" w:type="dxa"/>
            <w:vAlign w:val="center"/>
          </w:tcPr>
          <w:p w:rsidR="0035337C" w:rsidRDefault="00537507">
            <w:pPr>
              <w:jc w:val="center"/>
            </w:pPr>
            <w:r>
              <w:rPr>
                <w:color w:val="000000"/>
                <w:sz w:val="24"/>
                <w:szCs w:val="24"/>
              </w:rPr>
              <w:t>2015-06-10</w:t>
            </w:r>
          </w:p>
        </w:tc>
        <w:tc>
          <w:tcPr>
            <w:tcW w:w="1548" w:type="dxa"/>
            <w:vAlign w:val="center"/>
          </w:tcPr>
          <w:p w:rsidR="0035337C" w:rsidRDefault="00537507">
            <w:pPr>
              <w:jc w:val="center"/>
            </w:pPr>
            <w:r>
              <w:rPr>
                <w:color w:val="000000"/>
                <w:sz w:val="24"/>
                <w:szCs w:val="24"/>
              </w:rPr>
              <w:t>-</w:t>
            </w:r>
          </w:p>
        </w:tc>
        <w:tc>
          <w:tcPr>
            <w:tcW w:w="1407" w:type="dxa"/>
            <w:vAlign w:val="center"/>
          </w:tcPr>
          <w:p w:rsidR="0035337C" w:rsidRDefault="00537507">
            <w:pPr>
              <w:jc w:val="center"/>
            </w:pPr>
            <w:r>
              <w:rPr>
                <w:color w:val="000000"/>
                <w:sz w:val="24"/>
                <w:szCs w:val="24"/>
              </w:rPr>
              <w:t>7</w:t>
            </w:r>
            <w:r>
              <w:rPr>
                <w:color w:val="000000"/>
                <w:sz w:val="24"/>
                <w:szCs w:val="24"/>
              </w:rPr>
              <w:t>年</w:t>
            </w:r>
          </w:p>
        </w:tc>
        <w:tc>
          <w:tcPr>
            <w:tcW w:w="2673" w:type="dxa"/>
            <w:vAlign w:val="center"/>
          </w:tcPr>
          <w:p w:rsidR="0035337C" w:rsidRDefault="00537507">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35337C" w:rsidRDefault="00537507">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337C" w:rsidRDefault="0053750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5337C" w:rsidRDefault="0053750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337C" w:rsidRDefault="0053750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337C" w:rsidRDefault="00537507">
      <w:pPr>
        <w:spacing w:before="29" w:line="288" w:lineRule="auto"/>
        <w:ind w:firstLineChars="200" w:firstLine="480"/>
        <w:rPr>
          <w:color w:val="000000"/>
          <w:sz w:val="24"/>
          <w:szCs w:val="24"/>
        </w:rPr>
      </w:pPr>
      <w:r>
        <w:rPr>
          <w:color w:val="000000"/>
          <w:sz w:val="24"/>
          <w:szCs w:val="24"/>
        </w:rPr>
        <w:t>2016</w:t>
      </w:r>
      <w:r>
        <w:rPr>
          <w:color w:val="000000"/>
          <w:sz w:val="24"/>
          <w:szCs w:val="24"/>
        </w:rPr>
        <w:t>年二季度，宏观经济不温不火，通胀预期略有消退。目前货币政策进一步保持相对宽松的局面，但随着一线地产价格暴涨，以及部分食品价格的不断回升，流动性预期边际层面转向中性。监管部门对并购、重组、借壳的资本运作进一步规范并加强监管，但我们判断对于相对规范保守的国有企业改革重组而言，其影响并不太大。市场指数在底部较为狭窄的区间内震荡，但很多个股估值已经合理并具备一定投资价值。</w:t>
      </w:r>
      <w:r>
        <w:rPr>
          <w:color w:val="000000"/>
          <w:sz w:val="24"/>
          <w:szCs w:val="24"/>
        </w:rPr>
        <w:t>2016</w:t>
      </w:r>
      <w:r>
        <w:rPr>
          <w:color w:val="000000"/>
          <w:sz w:val="24"/>
          <w:szCs w:val="24"/>
        </w:rPr>
        <w:t>年下半年随着中央国有企业改革相关配套方案和地方具体指导意见的陆续推出，各地国企将持续加快推动改革进程。</w:t>
      </w:r>
    </w:p>
    <w:p w:rsidR="0035337C" w:rsidRDefault="00537507">
      <w:pPr>
        <w:spacing w:before="29" w:line="288" w:lineRule="auto"/>
        <w:ind w:firstLineChars="200" w:firstLine="480"/>
        <w:rPr>
          <w:color w:val="000000"/>
          <w:sz w:val="24"/>
          <w:szCs w:val="24"/>
        </w:rPr>
      </w:pPr>
      <w:r>
        <w:rPr>
          <w:color w:val="000000"/>
          <w:sz w:val="24"/>
          <w:szCs w:val="24"/>
        </w:rPr>
        <w:t>经历</w:t>
      </w:r>
      <w:r>
        <w:rPr>
          <w:color w:val="000000"/>
          <w:sz w:val="24"/>
          <w:szCs w:val="24"/>
        </w:rPr>
        <w:t>2016</w:t>
      </w:r>
      <w:r>
        <w:rPr>
          <w:color w:val="000000"/>
          <w:sz w:val="24"/>
          <w:szCs w:val="24"/>
        </w:rPr>
        <w:t>年年初熔断大幅下跌后，目前大量国企公司估值已经处于较低水平，因此整体基金在二季度保持中性较高仓位。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年下半年，我们认为国内产业创新方向不变，相关国企也将更多融入这一产业浪潮。国企改革顶层设计方案推出后，更多中央细则和地方配套有望逐步落实，其中蕴含着不少投资机会。我们对下半年整体</w:t>
      </w:r>
      <w:r w:rsidRPr="00414345">
        <w:rPr>
          <w:color w:val="000000"/>
          <w:sz w:val="24"/>
          <w:szCs w:val="24"/>
        </w:rPr>
        <w:t>A</w:t>
      </w:r>
      <w:r w:rsidRPr="00414345">
        <w:rPr>
          <w:color w:val="000000"/>
          <w:sz w:val="24"/>
          <w:szCs w:val="24"/>
        </w:rPr>
        <w:t>股市场保持谨慎乐观的看法。本基金将综合判断政策出台的节奏，以及可能的突破口，更多投资于公司管理出现积极变化、加大新产业发展投入、以及受益整体国企改革进程的上市公司。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0.928</w:t>
      </w:r>
      <w:r w:rsidRPr="00414345">
        <w:rPr>
          <w:color w:val="000000"/>
          <w:sz w:val="24"/>
          <w:szCs w:val="24"/>
        </w:rPr>
        <w:t>元，本报告期份额净值增长率为</w:t>
      </w:r>
      <w:r w:rsidRPr="00414345">
        <w:rPr>
          <w:color w:val="000000"/>
          <w:sz w:val="24"/>
          <w:szCs w:val="24"/>
        </w:rPr>
        <w:t>1.20%</w:t>
      </w:r>
      <w:r w:rsidRPr="00414345">
        <w:rPr>
          <w:color w:val="000000"/>
          <w:sz w:val="24"/>
          <w:szCs w:val="24"/>
        </w:rPr>
        <w:t>，同期业绩比较基准增长率为</w:t>
      </w:r>
      <w:r w:rsidRPr="00414345">
        <w:rPr>
          <w:color w:val="000000"/>
          <w:sz w:val="24"/>
          <w:szCs w:val="24"/>
        </w:rPr>
        <w:t>-0.97%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1,206,496,870.35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1,206,496,870.35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49,500,144.75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171,910,423.09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11.60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24,136,206.38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1,482,043,644.57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9,937,161.00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63,744,968.40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624,219,210.20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122,852,605.94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20,239,635.00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90,624,611.24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22,032,914.87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32,039,668.73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39,182,301.88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88,230,753.06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28,793,043.00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29,197,766.84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9,189,636.35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26,212,593.84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1,206,496,870.35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337C">
        <w:trPr>
          <w:jc w:val="center"/>
        </w:trPr>
        <w:tc>
          <w:tcPr>
            <w:tcW w:w="855" w:type="dxa"/>
            <w:vAlign w:val="center"/>
          </w:tcPr>
          <w:p w:rsidR="0035337C" w:rsidRDefault="00537507">
            <w:pPr>
              <w:jc w:val="center"/>
            </w:pPr>
            <w:r>
              <w:rPr>
                <w:color w:val="000000"/>
                <w:sz w:val="24"/>
                <w:szCs w:val="24"/>
              </w:rPr>
              <w:t>1</w:t>
            </w:r>
          </w:p>
        </w:tc>
        <w:tc>
          <w:tcPr>
            <w:tcW w:w="1334" w:type="dxa"/>
            <w:vAlign w:val="center"/>
          </w:tcPr>
          <w:p w:rsidR="0035337C" w:rsidRDefault="00537507">
            <w:pPr>
              <w:jc w:val="center"/>
            </w:pPr>
            <w:r>
              <w:rPr>
                <w:color w:val="000000"/>
                <w:sz w:val="24"/>
                <w:szCs w:val="24"/>
              </w:rPr>
              <w:t>300161</w:t>
            </w:r>
          </w:p>
        </w:tc>
        <w:tc>
          <w:tcPr>
            <w:tcW w:w="1777" w:type="dxa"/>
            <w:vAlign w:val="center"/>
          </w:tcPr>
          <w:p w:rsidR="0035337C" w:rsidRDefault="00537507">
            <w:pPr>
              <w:jc w:val="center"/>
            </w:pPr>
            <w:r>
              <w:rPr>
                <w:color w:val="000000"/>
                <w:sz w:val="24"/>
                <w:szCs w:val="24"/>
              </w:rPr>
              <w:t>华中数控</w:t>
            </w:r>
          </w:p>
        </w:tc>
        <w:tc>
          <w:tcPr>
            <w:tcW w:w="1334" w:type="dxa"/>
            <w:vAlign w:val="center"/>
          </w:tcPr>
          <w:p w:rsidR="0035337C" w:rsidRDefault="00537507">
            <w:pPr>
              <w:jc w:val="right"/>
            </w:pPr>
            <w:r>
              <w:rPr>
                <w:color w:val="000000"/>
                <w:sz w:val="24"/>
                <w:szCs w:val="24"/>
              </w:rPr>
              <w:t>2,469,316</w:t>
            </w:r>
          </w:p>
        </w:tc>
        <w:tc>
          <w:tcPr>
            <w:tcW w:w="1924" w:type="dxa"/>
            <w:vAlign w:val="center"/>
          </w:tcPr>
          <w:p w:rsidR="0035337C" w:rsidRDefault="00537507">
            <w:pPr>
              <w:jc w:val="right"/>
            </w:pPr>
            <w:r>
              <w:rPr>
                <w:color w:val="000000"/>
                <w:sz w:val="24"/>
                <w:szCs w:val="24"/>
              </w:rPr>
              <w:t>75,684,535.40</w:t>
            </w:r>
          </w:p>
        </w:tc>
        <w:tc>
          <w:tcPr>
            <w:tcW w:w="1644" w:type="dxa"/>
            <w:vAlign w:val="center"/>
          </w:tcPr>
          <w:p w:rsidR="0035337C" w:rsidRDefault="00537507">
            <w:pPr>
              <w:jc w:val="right"/>
            </w:pPr>
            <w:r>
              <w:rPr>
                <w:color w:val="000000"/>
                <w:sz w:val="24"/>
                <w:szCs w:val="24"/>
              </w:rPr>
              <w:t>5.22</w:t>
            </w:r>
          </w:p>
        </w:tc>
      </w:tr>
      <w:tr w:rsidR="0035337C">
        <w:trPr>
          <w:jc w:val="center"/>
        </w:trPr>
        <w:tc>
          <w:tcPr>
            <w:tcW w:w="855" w:type="dxa"/>
            <w:vAlign w:val="center"/>
          </w:tcPr>
          <w:p w:rsidR="0035337C" w:rsidRDefault="00537507">
            <w:pPr>
              <w:jc w:val="center"/>
            </w:pPr>
            <w:r>
              <w:rPr>
                <w:color w:val="000000"/>
                <w:sz w:val="24"/>
                <w:szCs w:val="24"/>
              </w:rPr>
              <w:t>2</w:t>
            </w:r>
          </w:p>
        </w:tc>
        <w:tc>
          <w:tcPr>
            <w:tcW w:w="1334" w:type="dxa"/>
            <w:vAlign w:val="center"/>
          </w:tcPr>
          <w:p w:rsidR="0035337C" w:rsidRDefault="00537507">
            <w:pPr>
              <w:jc w:val="center"/>
            </w:pPr>
            <w:r>
              <w:rPr>
                <w:color w:val="000000"/>
                <w:sz w:val="24"/>
                <w:szCs w:val="24"/>
              </w:rPr>
              <w:t>600674</w:t>
            </w:r>
          </w:p>
        </w:tc>
        <w:tc>
          <w:tcPr>
            <w:tcW w:w="1777" w:type="dxa"/>
            <w:vAlign w:val="center"/>
          </w:tcPr>
          <w:p w:rsidR="0035337C" w:rsidRDefault="00537507">
            <w:pPr>
              <w:jc w:val="center"/>
            </w:pPr>
            <w:r>
              <w:rPr>
                <w:color w:val="000000"/>
                <w:sz w:val="24"/>
                <w:szCs w:val="24"/>
              </w:rPr>
              <w:t>川投能源</w:t>
            </w:r>
          </w:p>
        </w:tc>
        <w:tc>
          <w:tcPr>
            <w:tcW w:w="1334" w:type="dxa"/>
            <w:vAlign w:val="center"/>
          </w:tcPr>
          <w:p w:rsidR="0035337C" w:rsidRDefault="00537507">
            <w:pPr>
              <w:jc w:val="right"/>
            </w:pPr>
            <w:r>
              <w:rPr>
                <w:color w:val="000000"/>
                <w:sz w:val="24"/>
                <w:szCs w:val="24"/>
              </w:rPr>
              <w:t>4,747,070</w:t>
            </w:r>
          </w:p>
        </w:tc>
        <w:tc>
          <w:tcPr>
            <w:tcW w:w="1924" w:type="dxa"/>
            <w:vAlign w:val="center"/>
          </w:tcPr>
          <w:p w:rsidR="0035337C" w:rsidRDefault="00537507">
            <w:pPr>
              <w:jc w:val="right"/>
            </w:pPr>
            <w:r>
              <w:rPr>
                <w:color w:val="000000"/>
                <w:sz w:val="24"/>
                <w:szCs w:val="24"/>
              </w:rPr>
              <w:t>39,210,798.20</w:t>
            </w:r>
          </w:p>
        </w:tc>
        <w:tc>
          <w:tcPr>
            <w:tcW w:w="1644" w:type="dxa"/>
            <w:vAlign w:val="center"/>
          </w:tcPr>
          <w:p w:rsidR="0035337C" w:rsidRDefault="00537507">
            <w:pPr>
              <w:jc w:val="right"/>
            </w:pPr>
            <w:r>
              <w:rPr>
                <w:color w:val="000000"/>
                <w:sz w:val="24"/>
                <w:szCs w:val="24"/>
              </w:rPr>
              <w:t>2.70</w:t>
            </w:r>
          </w:p>
        </w:tc>
      </w:tr>
      <w:tr w:rsidR="0035337C">
        <w:trPr>
          <w:jc w:val="center"/>
        </w:trPr>
        <w:tc>
          <w:tcPr>
            <w:tcW w:w="855" w:type="dxa"/>
            <w:vAlign w:val="center"/>
          </w:tcPr>
          <w:p w:rsidR="0035337C" w:rsidRDefault="00537507">
            <w:pPr>
              <w:jc w:val="center"/>
            </w:pPr>
            <w:r>
              <w:rPr>
                <w:color w:val="000000"/>
                <w:sz w:val="24"/>
                <w:szCs w:val="24"/>
              </w:rPr>
              <w:t>3</w:t>
            </w:r>
          </w:p>
        </w:tc>
        <w:tc>
          <w:tcPr>
            <w:tcW w:w="1334" w:type="dxa"/>
            <w:vAlign w:val="center"/>
          </w:tcPr>
          <w:p w:rsidR="0035337C" w:rsidRDefault="00537507">
            <w:pPr>
              <w:jc w:val="center"/>
            </w:pPr>
            <w:r>
              <w:rPr>
                <w:color w:val="000000"/>
                <w:sz w:val="24"/>
                <w:szCs w:val="24"/>
              </w:rPr>
              <w:t>600720</w:t>
            </w:r>
          </w:p>
        </w:tc>
        <w:tc>
          <w:tcPr>
            <w:tcW w:w="1777" w:type="dxa"/>
            <w:vAlign w:val="center"/>
          </w:tcPr>
          <w:p w:rsidR="0035337C" w:rsidRDefault="00537507">
            <w:pPr>
              <w:jc w:val="center"/>
            </w:pPr>
            <w:r>
              <w:rPr>
                <w:color w:val="000000"/>
                <w:sz w:val="24"/>
                <w:szCs w:val="24"/>
              </w:rPr>
              <w:t>祁连山</w:t>
            </w:r>
          </w:p>
        </w:tc>
        <w:tc>
          <w:tcPr>
            <w:tcW w:w="1334" w:type="dxa"/>
            <w:vAlign w:val="center"/>
          </w:tcPr>
          <w:p w:rsidR="0035337C" w:rsidRDefault="00537507">
            <w:pPr>
              <w:jc w:val="right"/>
            </w:pPr>
            <w:r>
              <w:rPr>
                <w:color w:val="000000"/>
                <w:sz w:val="24"/>
                <w:szCs w:val="24"/>
              </w:rPr>
              <w:t>5,535,576</w:t>
            </w:r>
          </w:p>
        </w:tc>
        <w:tc>
          <w:tcPr>
            <w:tcW w:w="1924" w:type="dxa"/>
            <w:vAlign w:val="center"/>
          </w:tcPr>
          <w:p w:rsidR="0035337C" w:rsidRDefault="00537507">
            <w:pPr>
              <w:jc w:val="right"/>
            </w:pPr>
            <w:r>
              <w:rPr>
                <w:color w:val="000000"/>
                <w:sz w:val="24"/>
                <w:szCs w:val="24"/>
              </w:rPr>
              <w:t>37,143,714.96</w:t>
            </w:r>
          </w:p>
        </w:tc>
        <w:tc>
          <w:tcPr>
            <w:tcW w:w="1644" w:type="dxa"/>
            <w:vAlign w:val="center"/>
          </w:tcPr>
          <w:p w:rsidR="0035337C" w:rsidRDefault="00537507">
            <w:pPr>
              <w:jc w:val="right"/>
            </w:pPr>
            <w:r>
              <w:rPr>
                <w:color w:val="000000"/>
                <w:sz w:val="24"/>
                <w:szCs w:val="24"/>
              </w:rPr>
              <w:t>2.56</w:t>
            </w:r>
          </w:p>
        </w:tc>
      </w:tr>
      <w:tr w:rsidR="0035337C">
        <w:trPr>
          <w:jc w:val="center"/>
        </w:trPr>
        <w:tc>
          <w:tcPr>
            <w:tcW w:w="855" w:type="dxa"/>
            <w:vAlign w:val="center"/>
          </w:tcPr>
          <w:p w:rsidR="0035337C" w:rsidRDefault="00537507">
            <w:pPr>
              <w:jc w:val="center"/>
            </w:pPr>
            <w:r>
              <w:rPr>
                <w:color w:val="000000"/>
                <w:sz w:val="24"/>
                <w:szCs w:val="24"/>
              </w:rPr>
              <w:t>4</w:t>
            </w:r>
          </w:p>
        </w:tc>
        <w:tc>
          <w:tcPr>
            <w:tcW w:w="1334" w:type="dxa"/>
            <w:vAlign w:val="center"/>
          </w:tcPr>
          <w:p w:rsidR="0035337C" w:rsidRDefault="00537507">
            <w:pPr>
              <w:jc w:val="center"/>
            </w:pPr>
            <w:r>
              <w:rPr>
                <w:color w:val="000000"/>
                <w:sz w:val="24"/>
                <w:szCs w:val="24"/>
              </w:rPr>
              <w:t>000538</w:t>
            </w:r>
          </w:p>
        </w:tc>
        <w:tc>
          <w:tcPr>
            <w:tcW w:w="1777" w:type="dxa"/>
            <w:vAlign w:val="center"/>
          </w:tcPr>
          <w:p w:rsidR="0035337C" w:rsidRDefault="00537507">
            <w:pPr>
              <w:jc w:val="center"/>
            </w:pPr>
            <w:r>
              <w:rPr>
                <w:color w:val="000000"/>
                <w:sz w:val="24"/>
                <w:szCs w:val="24"/>
              </w:rPr>
              <w:t>云南白药</w:t>
            </w:r>
          </w:p>
        </w:tc>
        <w:tc>
          <w:tcPr>
            <w:tcW w:w="1334" w:type="dxa"/>
            <w:vAlign w:val="center"/>
          </w:tcPr>
          <w:p w:rsidR="0035337C" w:rsidRDefault="00537507">
            <w:pPr>
              <w:jc w:val="right"/>
            </w:pPr>
            <w:r>
              <w:rPr>
                <w:color w:val="000000"/>
                <w:sz w:val="24"/>
                <w:szCs w:val="24"/>
              </w:rPr>
              <w:t>547,931</w:t>
            </w:r>
          </w:p>
        </w:tc>
        <w:tc>
          <w:tcPr>
            <w:tcW w:w="1924" w:type="dxa"/>
            <w:vAlign w:val="center"/>
          </w:tcPr>
          <w:p w:rsidR="0035337C" w:rsidRDefault="00537507">
            <w:pPr>
              <w:jc w:val="right"/>
            </w:pPr>
            <w:r>
              <w:rPr>
                <w:color w:val="000000"/>
                <w:sz w:val="24"/>
                <w:szCs w:val="24"/>
              </w:rPr>
              <w:t>35,231,963.30</w:t>
            </w:r>
          </w:p>
        </w:tc>
        <w:tc>
          <w:tcPr>
            <w:tcW w:w="1644" w:type="dxa"/>
            <w:vAlign w:val="center"/>
          </w:tcPr>
          <w:p w:rsidR="0035337C" w:rsidRDefault="00537507">
            <w:pPr>
              <w:jc w:val="right"/>
            </w:pPr>
            <w:r>
              <w:rPr>
                <w:color w:val="000000"/>
                <w:sz w:val="24"/>
                <w:szCs w:val="24"/>
              </w:rPr>
              <w:t>2.43</w:t>
            </w:r>
          </w:p>
        </w:tc>
      </w:tr>
      <w:tr w:rsidR="0035337C">
        <w:trPr>
          <w:jc w:val="center"/>
        </w:trPr>
        <w:tc>
          <w:tcPr>
            <w:tcW w:w="855" w:type="dxa"/>
            <w:vAlign w:val="center"/>
          </w:tcPr>
          <w:p w:rsidR="0035337C" w:rsidRDefault="00537507">
            <w:pPr>
              <w:jc w:val="center"/>
            </w:pPr>
            <w:r>
              <w:rPr>
                <w:color w:val="000000"/>
                <w:sz w:val="24"/>
                <w:szCs w:val="24"/>
              </w:rPr>
              <w:t>5</w:t>
            </w:r>
          </w:p>
        </w:tc>
        <w:tc>
          <w:tcPr>
            <w:tcW w:w="1334" w:type="dxa"/>
            <w:vAlign w:val="center"/>
          </w:tcPr>
          <w:p w:rsidR="0035337C" w:rsidRDefault="00537507">
            <w:pPr>
              <w:jc w:val="center"/>
            </w:pPr>
            <w:r>
              <w:rPr>
                <w:color w:val="000000"/>
                <w:sz w:val="24"/>
                <w:szCs w:val="24"/>
              </w:rPr>
              <w:t>600826</w:t>
            </w:r>
          </w:p>
        </w:tc>
        <w:tc>
          <w:tcPr>
            <w:tcW w:w="1777" w:type="dxa"/>
            <w:vAlign w:val="center"/>
          </w:tcPr>
          <w:p w:rsidR="0035337C" w:rsidRDefault="00537507">
            <w:pPr>
              <w:jc w:val="center"/>
            </w:pPr>
            <w:r>
              <w:rPr>
                <w:color w:val="000000"/>
                <w:sz w:val="24"/>
                <w:szCs w:val="24"/>
              </w:rPr>
              <w:t>兰生股份</w:t>
            </w:r>
          </w:p>
        </w:tc>
        <w:tc>
          <w:tcPr>
            <w:tcW w:w="1334" w:type="dxa"/>
            <w:vAlign w:val="center"/>
          </w:tcPr>
          <w:p w:rsidR="0035337C" w:rsidRDefault="00537507">
            <w:pPr>
              <w:jc w:val="right"/>
            </w:pPr>
            <w:r>
              <w:rPr>
                <w:color w:val="000000"/>
                <w:sz w:val="24"/>
                <w:szCs w:val="24"/>
              </w:rPr>
              <w:t>1,285,979</w:t>
            </w:r>
          </w:p>
        </w:tc>
        <w:tc>
          <w:tcPr>
            <w:tcW w:w="1924" w:type="dxa"/>
            <w:vAlign w:val="center"/>
          </w:tcPr>
          <w:p w:rsidR="0035337C" w:rsidRDefault="00537507">
            <w:pPr>
              <w:jc w:val="right"/>
            </w:pPr>
            <w:r>
              <w:rPr>
                <w:color w:val="000000"/>
                <w:sz w:val="24"/>
                <w:szCs w:val="24"/>
              </w:rPr>
              <w:t>33,666,930.22</w:t>
            </w:r>
          </w:p>
        </w:tc>
        <w:tc>
          <w:tcPr>
            <w:tcW w:w="1644" w:type="dxa"/>
            <w:vAlign w:val="center"/>
          </w:tcPr>
          <w:p w:rsidR="0035337C" w:rsidRDefault="00537507">
            <w:pPr>
              <w:jc w:val="right"/>
            </w:pPr>
            <w:r>
              <w:rPr>
                <w:color w:val="000000"/>
                <w:sz w:val="24"/>
                <w:szCs w:val="24"/>
              </w:rPr>
              <w:t>2.32</w:t>
            </w:r>
          </w:p>
        </w:tc>
      </w:tr>
      <w:tr w:rsidR="0035337C">
        <w:trPr>
          <w:jc w:val="center"/>
        </w:trPr>
        <w:tc>
          <w:tcPr>
            <w:tcW w:w="855" w:type="dxa"/>
            <w:vAlign w:val="center"/>
          </w:tcPr>
          <w:p w:rsidR="0035337C" w:rsidRDefault="00537507">
            <w:pPr>
              <w:jc w:val="center"/>
            </w:pPr>
            <w:r>
              <w:rPr>
                <w:color w:val="000000"/>
                <w:sz w:val="24"/>
                <w:szCs w:val="24"/>
              </w:rPr>
              <w:t>6</w:t>
            </w:r>
          </w:p>
        </w:tc>
        <w:tc>
          <w:tcPr>
            <w:tcW w:w="1334" w:type="dxa"/>
            <w:vAlign w:val="center"/>
          </w:tcPr>
          <w:p w:rsidR="0035337C" w:rsidRDefault="00537507">
            <w:pPr>
              <w:jc w:val="center"/>
            </w:pPr>
            <w:r>
              <w:rPr>
                <w:color w:val="000000"/>
                <w:sz w:val="24"/>
                <w:szCs w:val="24"/>
              </w:rPr>
              <w:t>600055</w:t>
            </w:r>
          </w:p>
        </w:tc>
        <w:tc>
          <w:tcPr>
            <w:tcW w:w="1777" w:type="dxa"/>
            <w:vAlign w:val="center"/>
          </w:tcPr>
          <w:p w:rsidR="0035337C" w:rsidRDefault="00537507">
            <w:pPr>
              <w:jc w:val="center"/>
            </w:pPr>
            <w:r>
              <w:rPr>
                <w:color w:val="000000"/>
                <w:sz w:val="24"/>
                <w:szCs w:val="24"/>
              </w:rPr>
              <w:t>华润万东</w:t>
            </w:r>
          </w:p>
        </w:tc>
        <w:tc>
          <w:tcPr>
            <w:tcW w:w="1334" w:type="dxa"/>
            <w:vAlign w:val="center"/>
          </w:tcPr>
          <w:p w:rsidR="0035337C" w:rsidRDefault="00537507">
            <w:pPr>
              <w:jc w:val="right"/>
            </w:pPr>
            <w:r>
              <w:rPr>
                <w:color w:val="000000"/>
                <w:sz w:val="24"/>
                <w:szCs w:val="24"/>
              </w:rPr>
              <w:t>1,669,323</w:t>
            </w:r>
          </w:p>
        </w:tc>
        <w:tc>
          <w:tcPr>
            <w:tcW w:w="1924" w:type="dxa"/>
            <w:vAlign w:val="center"/>
          </w:tcPr>
          <w:p w:rsidR="0035337C" w:rsidRDefault="00537507">
            <w:pPr>
              <w:jc w:val="right"/>
            </w:pPr>
            <w:r>
              <w:rPr>
                <w:color w:val="000000"/>
                <w:sz w:val="24"/>
                <w:szCs w:val="24"/>
              </w:rPr>
              <w:t>29,313,311.88</w:t>
            </w:r>
          </w:p>
        </w:tc>
        <w:tc>
          <w:tcPr>
            <w:tcW w:w="1644" w:type="dxa"/>
            <w:vAlign w:val="center"/>
          </w:tcPr>
          <w:p w:rsidR="0035337C" w:rsidRDefault="00537507">
            <w:pPr>
              <w:jc w:val="right"/>
            </w:pPr>
            <w:r>
              <w:rPr>
                <w:color w:val="000000"/>
                <w:sz w:val="24"/>
                <w:szCs w:val="24"/>
              </w:rPr>
              <w:t>2.02</w:t>
            </w:r>
          </w:p>
        </w:tc>
      </w:tr>
      <w:tr w:rsidR="0035337C">
        <w:trPr>
          <w:jc w:val="center"/>
        </w:trPr>
        <w:tc>
          <w:tcPr>
            <w:tcW w:w="855" w:type="dxa"/>
            <w:vAlign w:val="center"/>
          </w:tcPr>
          <w:p w:rsidR="0035337C" w:rsidRDefault="00537507">
            <w:pPr>
              <w:jc w:val="center"/>
            </w:pPr>
            <w:r>
              <w:rPr>
                <w:color w:val="000000"/>
                <w:sz w:val="24"/>
                <w:szCs w:val="24"/>
              </w:rPr>
              <w:t>7</w:t>
            </w:r>
          </w:p>
        </w:tc>
        <w:tc>
          <w:tcPr>
            <w:tcW w:w="1334" w:type="dxa"/>
            <w:vAlign w:val="center"/>
          </w:tcPr>
          <w:p w:rsidR="0035337C" w:rsidRDefault="00537507">
            <w:pPr>
              <w:jc w:val="center"/>
            </w:pPr>
            <w:r>
              <w:rPr>
                <w:color w:val="000000"/>
                <w:sz w:val="24"/>
                <w:szCs w:val="24"/>
              </w:rPr>
              <w:t>000807</w:t>
            </w:r>
          </w:p>
        </w:tc>
        <w:tc>
          <w:tcPr>
            <w:tcW w:w="1777" w:type="dxa"/>
            <w:vAlign w:val="center"/>
          </w:tcPr>
          <w:p w:rsidR="0035337C" w:rsidRDefault="00537507">
            <w:pPr>
              <w:jc w:val="center"/>
            </w:pPr>
            <w:r>
              <w:rPr>
                <w:color w:val="000000"/>
                <w:sz w:val="24"/>
                <w:szCs w:val="24"/>
              </w:rPr>
              <w:t>云铝股份</w:t>
            </w:r>
          </w:p>
        </w:tc>
        <w:tc>
          <w:tcPr>
            <w:tcW w:w="1334" w:type="dxa"/>
            <w:vAlign w:val="center"/>
          </w:tcPr>
          <w:p w:rsidR="0035337C" w:rsidRDefault="00537507">
            <w:pPr>
              <w:jc w:val="right"/>
            </w:pPr>
            <w:r>
              <w:rPr>
                <w:color w:val="000000"/>
                <w:sz w:val="24"/>
                <w:szCs w:val="24"/>
              </w:rPr>
              <w:t>4,412,602</w:t>
            </w:r>
          </w:p>
        </w:tc>
        <w:tc>
          <w:tcPr>
            <w:tcW w:w="1924" w:type="dxa"/>
            <w:vAlign w:val="center"/>
          </w:tcPr>
          <w:p w:rsidR="0035337C" w:rsidRDefault="00537507">
            <w:pPr>
              <w:jc w:val="right"/>
            </w:pPr>
            <w:r>
              <w:rPr>
                <w:color w:val="000000"/>
                <w:sz w:val="24"/>
                <w:szCs w:val="24"/>
              </w:rPr>
              <w:t>28,902,543.10</w:t>
            </w:r>
          </w:p>
        </w:tc>
        <w:tc>
          <w:tcPr>
            <w:tcW w:w="1644" w:type="dxa"/>
            <w:vAlign w:val="center"/>
          </w:tcPr>
          <w:p w:rsidR="0035337C" w:rsidRDefault="00537507">
            <w:pPr>
              <w:jc w:val="right"/>
            </w:pPr>
            <w:r>
              <w:rPr>
                <w:color w:val="000000"/>
                <w:sz w:val="24"/>
                <w:szCs w:val="24"/>
              </w:rPr>
              <w:t>1.99</w:t>
            </w:r>
          </w:p>
        </w:tc>
      </w:tr>
      <w:tr w:rsidR="0035337C">
        <w:trPr>
          <w:jc w:val="center"/>
        </w:trPr>
        <w:tc>
          <w:tcPr>
            <w:tcW w:w="855" w:type="dxa"/>
            <w:vAlign w:val="center"/>
          </w:tcPr>
          <w:p w:rsidR="0035337C" w:rsidRDefault="00537507">
            <w:pPr>
              <w:jc w:val="center"/>
            </w:pPr>
            <w:r>
              <w:rPr>
                <w:color w:val="000000"/>
                <w:sz w:val="24"/>
                <w:szCs w:val="24"/>
              </w:rPr>
              <w:t>8</w:t>
            </w:r>
          </w:p>
        </w:tc>
        <w:tc>
          <w:tcPr>
            <w:tcW w:w="1334" w:type="dxa"/>
            <w:vAlign w:val="center"/>
          </w:tcPr>
          <w:p w:rsidR="0035337C" w:rsidRDefault="00537507">
            <w:pPr>
              <w:jc w:val="center"/>
            </w:pPr>
            <w:r>
              <w:rPr>
                <w:color w:val="000000"/>
                <w:sz w:val="24"/>
                <w:szCs w:val="24"/>
              </w:rPr>
              <w:t>601801</w:t>
            </w:r>
          </w:p>
        </w:tc>
        <w:tc>
          <w:tcPr>
            <w:tcW w:w="1777" w:type="dxa"/>
            <w:vAlign w:val="center"/>
          </w:tcPr>
          <w:p w:rsidR="0035337C" w:rsidRDefault="00537507">
            <w:pPr>
              <w:jc w:val="center"/>
            </w:pPr>
            <w:r>
              <w:rPr>
                <w:color w:val="000000"/>
                <w:sz w:val="24"/>
                <w:szCs w:val="24"/>
              </w:rPr>
              <w:t>皖新传媒</w:t>
            </w:r>
          </w:p>
        </w:tc>
        <w:tc>
          <w:tcPr>
            <w:tcW w:w="1334" w:type="dxa"/>
            <w:vAlign w:val="center"/>
          </w:tcPr>
          <w:p w:rsidR="0035337C" w:rsidRDefault="00537507">
            <w:pPr>
              <w:jc w:val="right"/>
            </w:pPr>
            <w:r>
              <w:rPr>
                <w:color w:val="000000"/>
                <w:sz w:val="24"/>
                <w:szCs w:val="24"/>
              </w:rPr>
              <w:t>2,246,152</w:t>
            </w:r>
          </w:p>
        </w:tc>
        <w:tc>
          <w:tcPr>
            <w:tcW w:w="1924" w:type="dxa"/>
            <w:vAlign w:val="center"/>
          </w:tcPr>
          <w:p w:rsidR="0035337C" w:rsidRDefault="00537507">
            <w:pPr>
              <w:jc w:val="right"/>
            </w:pPr>
            <w:r>
              <w:rPr>
                <w:color w:val="000000"/>
                <w:sz w:val="24"/>
                <w:szCs w:val="24"/>
              </w:rPr>
              <w:t>26,212,593.84</w:t>
            </w:r>
          </w:p>
        </w:tc>
        <w:tc>
          <w:tcPr>
            <w:tcW w:w="1644" w:type="dxa"/>
            <w:vAlign w:val="center"/>
          </w:tcPr>
          <w:p w:rsidR="0035337C" w:rsidRDefault="00537507">
            <w:pPr>
              <w:jc w:val="right"/>
            </w:pPr>
            <w:r>
              <w:rPr>
                <w:color w:val="000000"/>
                <w:sz w:val="24"/>
                <w:szCs w:val="24"/>
              </w:rPr>
              <w:t>1.81</w:t>
            </w:r>
          </w:p>
        </w:tc>
      </w:tr>
      <w:tr w:rsidR="0035337C">
        <w:trPr>
          <w:jc w:val="center"/>
        </w:trPr>
        <w:tc>
          <w:tcPr>
            <w:tcW w:w="855" w:type="dxa"/>
            <w:vAlign w:val="center"/>
          </w:tcPr>
          <w:p w:rsidR="0035337C" w:rsidRDefault="00537507">
            <w:pPr>
              <w:jc w:val="center"/>
            </w:pPr>
            <w:r>
              <w:rPr>
                <w:color w:val="000000"/>
                <w:sz w:val="24"/>
                <w:szCs w:val="24"/>
              </w:rPr>
              <w:t>9</w:t>
            </w:r>
          </w:p>
        </w:tc>
        <w:tc>
          <w:tcPr>
            <w:tcW w:w="1334" w:type="dxa"/>
            <w:vAlign w:val="center"/>
          </w:tcPr>
          <w:p w:rsidR="0035337C" w:rsidRDefault="00537507">
            <w:pPr>
              <w:jc w:val="center"/>
            </w:pPr>
            <w:r>
              <w:rPr>
                <w:color w:val="000000"/>
                <w:sz w:val="24"/>
                <w:szCs w:val="24"/>
              </w:rPr>
              <w:t>600500</w:t>
            </w:r>
          </w:p>
        </w:tc>
        <w:tc>
          <w:tcPr>
            <w:tcW w:w="1777" w:type="dxa"/>
            <w:vAlign w:val="center"/>
          </w:tcPr>
          <w:p w:rsidR="0035337C" w:rsidRDefault="00537507">
            <w:pPr>
              <w:jc w:val="center"/>
            </w:pPr>
            <w:r>
              <w:rPr>
                <w:color w:val="000000"/>
                <w:sz w:val="24"/>
                <w:szCs w:val="24"/>
              </w:rPr>
              <w:t>中化国际</w:t>
            </w:r>
          </w:p>
        </w:tc>
        <w:tc>
          <w:tcPr>
            <w:tcW w:w="1334" w:type="dxa"/>
            <w:vAlign w:val="center"/>
          </w:tcPr>
          <w:p w:rsidR="0035337C" w:rsidRDefault="00537507">
            <w:pPr>
              <w:jc w:val="right"/>
            </w:pPr>
            <w:r>
              <w:rPr>
                <w:color w:val="000000"/>
                <w:sz w:val="24"/>
                <w:szCs w:val="24"/>
              </w:rPr>
              <w:t>2,854,700</w:t>
            </w:r>
          </w:p>
        </w:tc>
        <w:tc>
          <w:tcPr>
            <w:tcW w:w="1924" w:type="dxa"/>
            <w:vAlign w:val="center"/>
          </w:tcPr>
          <w:p w:rsidR="0035337C" w:rsidRDefault="00537507">
            <w:pPr>
              <w:jc w:val="right"/>
            </w:pPr>
            <w:r>
              <w:rPr>
                <w:color w:val="000000"/>
                <w:sz w:val="24"/>
                <w:szCs w:val="24"/>
              </w:rPr>
              <w:t>25,806,488.00</w:t>
            </w:r>
          </w:p>
        </w:tc>
        <w:tc>
          <w:tcPr>
            <w:tcW w:w="1644" w:type="dxa"/>
            <w:vAlign w:val="center"/>
          </w:tcPr>
          <w:p w:rsidR="0035337C" w:rsidRDefault="00537507">
            <w:pPr>
              <w:jc w:val="right"/>
            </w:pPr>
            <w:r>
              <w:rPr>
                <w:color w:val="000000"/>
                <w:sz w:val="24"/>
                <w:szCs w:val="24"/>
              </w:rPr>
              <w:t>1.78</w:t>
            </w:r>
          </w:p>
        </w:tc>
      </w:tr>
      <w:tr w:rsidR="0035337C">
        <w:trPr>
          <w:jc w:val="center"/>
        </w:trPr>
        <w:tc>
          <w:tcPr>
            <w:tcW w:w="855" w:type="dxa"/>
            <w:vAlign w:val="center"/>
          </w:tcPr>
          <w:p w:rsidR="0035337C" w:rsidRDefault="00537507">
            <w:pPr>
              <w:jc w:val="center"/>
            </w:pPr>
            <w:r>
              <w:rPr>
                <w:color w:val="000000"/>
                <w:sz w:val="24"/>
                <w:szCs w:val="24"/>
              </w:rPr>
              <w:t>10</w:t>
            </w:r>
          </w:p>
        </w:tc>
        <w:tc>
          <w:tcPr>
            <w:tcW w:w="1334" w:type="dxa"/>
            <w:vAlign w:val="center"/>
          </w:tcPr>
          <w:p w:rsidR="0035337C" w:rsidRDefault="00537507">
            <w:pPr>
              <w:jc w:val="center"/>
            </w:pPr>
            <w:r>
              <w:rPr>
                <w:color w:val="000000"/>
                <w:sz w:val="24"/>
                <w:szCs w:val="24"/>
              </w:rPr>
              <w:t>601688</w:t>
            </w:r>
          </w:p>
        </w:tc>
        <w:tc>
          <w:tcPr>
            <w:tcW w:w="1777" w:type="dxa"/>
            <w:vAlign w:val="center"/>
          </w:tcPr>
          <w:p w:rsidR="0035337C" w:rsidRDefault="00537507">
            <w:pPr>
              <w:jc w:val="center"/>
            </w:pPr>
            <w:r>
              <w:rPr>
                <w:color w:val="000000"/>
                <w:sz w:val="24"/>
                <w:szCs w:val="24"/>
              </w:rPr>
              <w:t>华泰证券</w:t>
            </w:r>
          </w:p>
        </w:tc>
        <w:tc>
          <w:tcPr>
            <w:tcW w:w="1334" w:type="dxa"/>
            <w:vAlign w:val="center"/>
          </w:tcPr>
          <w:p w:rsidR="0035337C" w:rsidRDefault="00537507">
            <w:pPr>
              <w:jc w:val="right"/>
            </w:pPr>
            <w:r>
              <w:rPr>
                <w:color w:val="000000"/>
                <w:sz w:val="24"/>
                <w:szCs w:val="24"/>
              </w:rPr>
              <w:t>1,321,739</w:t>
            </w:r>
          </w:p>
        </w:tc>
        <w:tc>
          <w:tcPr>
            <w:tcW w:w="1924" w:type="dxa"/>
            <w:vAlign w:val="center"/>
          </w:tcPr>
          <w:p w:rsidR="0035337C" w:rsidRDefault="00537507">
            <w:pPr>
              <w:jc w:val="right"/>
            </w:pPr>
            <w:r>
              <w:rPr>
                <w:color w:val="000000"/>
                <w:sz w:val="24"/>
                <w:szCs w:val="24"/>
              </w:rPr>
              <w:t>25,007,301.88</w:t>
            </w:r>
          </w:p>
        </w:tc>
        <w:tc>
          <w:tcPr>
            <w:tcW w:w="1644" w:type="dxa"/>
            <w:vAlign w:val="center"/>
          </w:tcPr>
          <w:p w:rsidR="0035337C" w:rsidRDefault="00537507">
            <w:pPr>
              <w:jc w:val="right"/>
            </w:pPr>
            <w:r>
              <w:rPr>
                <w:color w:val="000000"/>
                <w:sz w:val="24"/>
                <w:szCs w:val="24"/>
              </w:rPr>
              <w:t>1.72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5337C">
        <w:trPr>
          <w:jc w:val="center"/>
        </w:trPr>
        <w:tc>
          <w:tcPr>
            <w:tcW w:w="850" w:type="dxa"/>
            <w:vAlign w:val="center"/>
          </w:tcPr>
          <w:p w:rsidR="0035337C" w:rsidRDefault="00537507">
            <w:pPr>
              <w:jc w:val="center"/>
            </w:pPr>
            <w:r>
              <w:rPr>
                <w:color w:val="000000"/>
                <w:sz w:val="24"/>
                <w:szCs w:val="24"/>
              </w:rPr>
              <w:t>1</w:t>
            </w:r>
          </w:p>
        </w:tc>
        <w:tc>
          <w:tcPr>
            <w:tcW w:w="1475" w:type="dxa"/>
            <w:vAlign w:val="center"/>
          </w:tcPr>
          <w:p w:rsidR="0035337C" w:rsidRDefault="00537507">
            <w:pPr>
              <w:jc w:val="center"/>
            </w:pPr>
            <w:r>
              <w:rPr>
                <w:color w:val="000000"/>
                <w:sz w:val="24"/>
                <w:szCs w:val="24"/>
              </w:rPr>
              <w:t>150416</w:t>
            </w:r>
          </w:p>
        </w:tc>
        <w:tc>
          <w:tcPr>
            <w:tcW w:w="1769" w:type="dxa"/>
            <w:vAlign w:val="center"/>
          </w:tcPr>
          <w:p w:rsidR="0035337C" w:rsidRDefault="00537507">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35337C" w:rsidRDefault="00537507">
            <w:pPr>
              <w:jc w:val="right"/>
            </w:pPr>
            <w:r>
              <w:rPr>
                <w:color w:val="000000"/>
                <w:sz w:val="24"/>
                <w:szCs w:val="24"/>
              </w:rPr>
              <w:t>300,000</w:t>
            </w:r>
          </w:p>
        </w:tc>
        <w:tc>
          <w:tcPr>
            <w:tcW w:w="2150" w:type="dxa"/>
            <w:vAlign w:val="center"/>
          </w:tcPr>
          <w:p w:rsidR="0035337C" w:rsidRDefault="00537507">
            <w:pPr>
              <w:jc w:val="right"/>
            </w:pPr>
            <w:r>
              <w:rPr>
                <w:color w:val="000000"/>
                <w:sz w:val="24"/>
                <w:szCs w:val="24"/>
              </w:rPr>
              <w:t>30,000,000.00</w:t>
            </w:r>
          </w:p>
        </w:tc>
        <w:tc>
          <w:tcPr>
            <w:tcW w:w="1237" w:type="dxa"/>
            <w:vAlign w:val="center"/>
          </w:tcPr>
          <w:p w:rsidR="0035337C" w:rsidRDefault="00537507">
            <w:pPr>
              <w:jc w:val="right"/>
            </w:pPr>
            <w:r>
              <w:rPr>
                <w:color w:val="000000"/>
                <w:sz w:val="24"/>
                <w:szCs w:val="24"/>
              </w:rPr>
              <w:t>2.07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A96A94"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.9.1</w:t>
      </w:r>
      <w:r w:rsidR="008E1D74" w:rsidRPr="00414345">
        <w:rPr>
          <w:b/>
          <w:bCs/>
          <w:color w:val="000000"/>
          <w:kern w:val="0"/>
          <w:sz w:val="24"/>
          <w:szCs w:val="24"/>
        </w:rPr>
        <w:t xml:space="preserve"> </w:t>
      </w:r>
      <w:r w:rsidR="00A96A94" w:rsidRPr="00414345">
        <w:rPr>
          <w:b/>
          <w:bCs/>
          <w:color w:val="000000"/>
          <w:kern w:val="0"/>
          <w:sz w:val="24"/>
          <w:szCs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537507">
        <w:trPr>
          <w:trHeight w:val="105"/>
          <w:jc w:val="center"/>
        </w:trPr>
        <w:tc>
          <w:tcPr>
            <w:tcW w:w="1478"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80"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73"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35337C">
        <w:trPr>
          <w:jc w:val="center"/>
        </w:trPr>
        <w:tc>
          <w:tcPr>
            <w:tcW w:w="1478" w:type="dxa"/>
            <w:vAlign w:val="center"/>
          </w:tcPr>
          <w:p w:rsidR="0035337C" w:rsidRDefault="00537507">
            <w:pPr>
              <w:jc w:val="center"/>
            </w:pPr>
            <w:r>
              <w:t>IC1609</w:t>
            </w:r>
          </w:p>
        </w:tc>
        <w:tc>
          <w:tcPr>
            <w:tcW w:w="1479" w:type="dxa"/>
            <w:vAlign w:val="center"/>
          </w:tcPr>
          <w:p w:rsidR="0035337C" w:rsidRDefault="00537507">
            <w:pPr>
              <w:jc w:val="left"/>
            </w:pPr>
            <w:r>
              <w:t>IC1609</w:t>
            </w:r>
          </w:p>
        </w:tc>
        <w:tc>
          <w:tcPr>
            <w:tcW w:w="1479" w:type="dxa"/>
            <w:vAlign w:val="center"/>
          </w:tcPr>
          <w:p w:rsidR="0035337C" w:rsidRDefault="00537507">
            <w:pPr>
              <w:jc w:val="right"/>
            </w:pPr>
            <w:r>
              <w:t>45.00</w:t>
            </w:r>
          </w:p>
        </w:tc>
        <w:tc>
          <w:tcPr>
            <w:tcW w:w="1479" w:type="dxa"/>
            <w:vAlign w:val="center"/>
          </w:tcPr>
          <w:p w:rsidR="0035337C" w:rsidRDefault="00537507">
            <w:pPr>
              <w:jc w:val="right"/>
            </w:pPr>
            <w:r>
              <w:t>-52,831,800.00</w:t>
            </w:r>
          </w:p>
        </w:tc>
        <w:tc>
          <w:tcPr>
            <w:tcW w:w="1480" w:type="dxa"/>
            <w:vAlign w:val="center"/>
          </w:tcPr>
          <w:p w:rsidR="0035337C" w:rsidRDefault="00537507">
            <w:pPr>
              <w:jc w:val="right"/>
            </w:pPr>
            <w:r>
              <w:t>-1,931,840.00</w:t>
            </w:r>
          </w:p>
        </w:tc>
        <w:tc>
          <w:tcPr>
            <w:tcW w:w="1473" w:type="dxa"/>
            <w:vAlign w:val="center"/>
          </w:tcPr>
          <w:p w:rsidR="0035337C" w:rsidRDefault="00537507">
            <w:pPr>
              <w:jc w:val="left"/>
            </w:pPr>
            <w:r>
              <w:t>-</w:t>
            </w:r>
          </w:p>
        </w:tc>
      </w:tr>
      <w:tr w:rsidR="00275745" w:rsidRPr="00414345" w:rsidTr="00537507">
        <w:trPr>
          <w:trHeight w:val="105"/>
          <w:jc w:val="center"/>
        </w:trPr>
        <w:tc>
          <w:tcPr>
            <w:tcW w:w="7395"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73"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-1,931,840.00</w:t>
            </w:r>
          </w:p>
        </w:tc>
      </w:tr>
      <w:tr w:rsidR="00537507" w:rsidRPr="00414345" w:rsidTr="00537507">
        <w:trPr>
          <w:trHeight w:val="105"/>
          <w:jc w:val="center"/>
        </w:trPr>
        <w:tc>
          <w:tcPr>
            <w:tcW w:w="7395" w:type="dxa"/>
            <w:gridSpan w:val="5"/>
            <w:vAlign w:val="center"/>
          </w:tcPr>
          <w:p w:rsidR="00537507" w:rsidRPr="00414345" w:rsidRDefault="00537507" w:rsidP="00537507">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Pr="00414345">
              <w:rPr>
                <w:rFonts w:ascii="Times New Roman" w:hAnsi="Times New Roman" w:cs="Times New Roman"/>
              </w:rPr>
              <w:t>(</w:t>
            </w:r>
            <w:r w:rsidRPr="00414345">
              <w:rPr>
                <w:rFonts w:ascii="Times New Roman" w:hAnsi="Times New Roman" w:cs="Times New Roman"/>
              </w:rPr>
              <w:t>元</w:t>
            </w:r>
            <w:r w:rsidRPr="00414345">
              <w:rPr>
                <w:rFonts w:ascii="Times New Roman" w:hAnsi="Times New Roman" w:cs="Times New Roman"/>
              </w:rPr>
              <w:t>)</w:t>
            </w:r>
          </w:p>
        </w:tc>
        <w:tc>
          <w:tcPr>
            <w:tcW w:w="1473" w:type="dxa"/>
            <w:vAlign w:val="center"/>
          </w:tcPr>
          <w:p w:rsidR="00537507" w:rsidRPr="00537507" w:rsidRDefault="00537507" w:rsidP="00537507">
            <w:pPr>
              <w:pStyle w:val="Default"/>
              <w:spacing w:before="29" w:line="288" w:lineRule="auto"/>
              <w:jc w:val="right"/>
              <w:rPr>
                <w:rFonts w:ascii="Times New Roman" w:hAnsi="Times New Roman" w:cs="Times New Roman"/>
                <w:color w:val="auto"/>
              </w:rPr>
            </w:pPr>
            <w:bookmarkStart w:id="0" w:name="_GoBack"/>
            <w:r w:rsidRPr="006864BE">
              <w:rPr>
                <w:rFonts w:ascii="Times New Roman" w:hAnsi="Times New Roman" w:cs="Times New Roman"/>
                <w:color w:val="auto"/>
              </w:rPr>
              <w:t>512,760.00</w:t>
            </w:r>
            <w:bookmarkEnd w:id="0"/>
          </w:p>
        </w:tc>
      </w:tr>
      <w:tr w:rsidR="00537507" w:rsidRPr="00414345" w:rsidTr="00537507">
        <w:trPr>
          <w:trHeight w:val="105"/>
          <w:jc w:val="center"/>
        </w:trPr>
        <w:tc>
          <w:tcPr>
            <w:tcW w:w="7395" w:type="dxa"/>
            <w:gridSpan w:val="5"/>
            <w:vAlign w:val="center"/>
          </w:tcPr>
          <w:p w:rsidR="00537507" w:rsidRPr="00414345" w:rsidRDefault="00537507" w:rsidP="00537507">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Pr="00414345">
              <w:rPr>
                <w:rFonts w:ascii="Times New Roman" w:hAnsi="Times New Roman" w:cs="Times New Roman"/>
              </w:rPr>
              <w:t>(</w:t>
            </w:r>
            <w:r w:rsidRPr="00414345">
              <w:rPr>
                <w:rFonts w:ascii="Times New Roman" w:hAnsi="Times New Roman" w:cs="Times New Roman"/>
              </w:rPr>
              <w:t>元</w:t>
            </w:r>
            <w:r w:rsidRPr="00414345">
              <w:rPr>
                <w:rFonts w:ascii="Times New Roman" w:hAnsi="Times New Roman" w:cs="Times New Roman"/>
              </w:rPr>
              <w:t>)</w:t>
            </w:r>
          </w:p>
        </w:tc>
        <w:tc>
          <w:tcPr>
            <w:tcW w:w="1473" w:type="dxa"/>
            <w:vAlign w:val="center"/>
          </w:tcPr>
          <w:p w:rsidR="00537507" w:rsidRPr="00537507" w:rsidRDefault="00537507" w:rsidP="00537507">
            <w:pPr>
              <w:pStyle w:val="Default"/>
              <w:spacing w:before="29" w:line="288" w:lineRule="auto"/>
              <w:jc w:val="right"/>
              <w:rPr>
                <w:rFonts w:ascii="Times New Roman" w:hAnsi="Times New Roman" w:cs="Times New Roman"/>
                <w:color w:val="auto"/>
              </w:rPr>
            </w:pPr>
            <w:r w:rsidRPr="006864BE">
              <w:rPr>
                <w:rFonts w:ascii="Times New Roman" w:hAnsi="Times New Roman" w:cs="Times New Roman"/>
                <w:color w:val="auto"/>
              </w:rPr>
              <w:t>-1,520,800.00</w:t>
            </w:r>
          </w:p>
        </w:tc>
      </w:tr>
    </w:tbl>
    <w:p w:rsidR="00AA3A38" w:rsidRPr="00414345" w:rsidRDefault="00AA3A38" w:rsidP="00C15CAC">
      <w:pPr>
        <w:adjustRightInd w:val="0"/>
        <w:snapToGrid w:val="0"/>
        <w:spacing w:before="29" w:line="288" w:lineRule="auto"/>
        <w:rPr>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.9.2</w:t>
      </w:r>
      <w:r w:rsidR="0004308C" w:rsidRPr="00414345">
        <w:rPr>
          <w:b/>
          <w:bCs/>
          <w:color w:val="000000"/>
          <w:kern w:val="0"/>
          <w:sz w:val="24"/>
          <w:szCs w:val="24"/>
        </w:rPr>
        <w:t xml:space="preserve"> </w:t>
      </w:r>
      <w:r w:rsidR="00275745" w:rsidRPr="00414345">
        <w:rPr>
          <w:b/>
          <w:bCs/>
          <w:color w:val="000000"/>
          <w:kern w:val="0"/>
          <w:sz w:val="24"/>
          <w:szCs w:val="24"/>
        </w:rPr>
        <w:t>本基金投资股指期货的投资政策</w:t>
      </w:r>
    </w:p>
    <w:p w:rsidR="0035337C" w:rsidRDefault="00537507">
      <w:pPr>
        <w:spacing w:before="29" w:line="288" w:lineRule="auto"/>
        <w:ind w:firstLineChars="200" w:firstLine="480"/>
        <w:rPr>
          <w:color w:val="000000"/>
          <w:sz w:val="24"/>
          <w:szCs w:val="24"/>
        </w:rPr>
      </w:pPr>
      <w:r>
        <w:rPr>
          <w:color w:val="000000"/>
          <w:sz w:val="24"/>
          <w:szCs w:val="24"/>
        </w:rPr>
        <w:t>本基金参与股指期货投资根据风险管理的原则，以套期保值为主要目的。本基金在风险可控的前提下，本着谨慎原则，参与股指期货的投资，以管理投资组合的系统性风险，改善组合的风险收益特性。</w:t>
      </w:r>
    </w:p>
    <w:p w:rsidR="00275745" w:rsidRPr="00414345" w:rsidRDefault="00275745" w:rsidP="00C15CAC">
      <w:pPr>
        <w:spacing w:before="29" w:line="288" w:lineRule="auto"/>
        <w:ind w:firstLineChars="200" w:firstLine="480"/>
        <w:rPr>
          <w:color w:val="000000"/>
          <w:sz w:val="24"/>
          <w:szCs w:val="24"/>
        </w:rPr>
      </w:pPr>
      <w:r w:rsidRPr="00414345">
        <w:rPr>
          <w:color w:val="000000"/>
          <w:sz w:val="24"/>
          <w:szCs w:val="24"/>
        </w:rPr>
        <w:t>本基金的股指期货交易对基金总体风险影响不大，符合本基金的投资政策和投资目标。</w:t>
      </w:r>
    </w:p>
    <w:p w:rsidR="00275745" w:rsidRPr="00414345" w:rsidRDefault="00275745" w:rsidP="00C15CAC">
      <w:pPr>
        <w:autoSpaceDE w:val="0"/>
        <w:autoSpaceDN w:val="0"/>
        <w:adjustRightInd w:val="0"/>
        <w:spacing w:before="29" w:line="288" w:lineRule="auto"/>
        <w:jc w:val="left"/>
        <w:rPr>
          <w:color w:val="000000"/>
          <w:kern w:val="0"/>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12,183,103.53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10,833,669.24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851,445.67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267,987.94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24,136,206.38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1,600,334,821.15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18,098,287.63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56,326,874.18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1,562,106,234.60</w:t>
            </w:r>
          </w:p>
        </w:tc>
      </w:tr>
    </w:tbl>
    <w:p w:rsidR="0035337C" w:rsidRDefault="0053750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5337C" w:rsidRDefault="0053750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35337C" w:rsidRDefault="0053750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35337C" w:rsidRDefault="0053750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35337C" w:rsidRDefault="0053750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35337C" w:rsidRDefault="00537507">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35337C" w:rsidRDefault="00537507">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35337C" w:rsidRDefault="00537507">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5337C" w:rsidRDefault="0053750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864BE">
      <w:rPr>
        <w:noProof/>
        <w:kern w:val="0"/>
        <w:szCs w:val="21"/>
      </w:rPr>
      <w:t>9</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864BE">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37C"/>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37507"/>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864BE"/>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19302-D19D-4F36-83DB-E95BC0EB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1887</TotalTime>
  <Pages>12</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563</cp:revision>
  <dcterms:created xsi:type="dcterms:W3CDTF">2012-10-16T06:07:00Z</dcterms:created>
  <dcterms:modified xsi:type="dcterms:W3CDTF">2016-07-19T06:56:00Z</dcterms:modified>
</cp:coreProperties>
</file>