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交银施罗德国证新能源指数分级证券投资基金</w:t>
      </w: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2016</w:t>
      </w:r>
      <w:r w:rsidRPr="005E324A">
        <w:rPr>
          <w:rFonts w:eastAsiaTheme="minorEastAsia"/>
          <w:b/>
          <w:sz w:val="36"/>
          <w:szCs w:val="36"/>
        </w:rPr>
        <w:t>年第</w:t>
      </w:r>
      <w:r w:rsidRPr="005E324A">
        <w:rPr>
          <w:rFonts w:eastAsiaTheme="minorEastAsia"/>
          <w:b/>
          <w:sz w:val="36"/>
          <w:szCs w:val="36"/>
        </w:rPr>
        <w:t>2</w:t>
      </w:r>
      <w:r w:rsidRPr="005E324A">
        <w:rPr>
          <w:rFonts w:eastAsiaTheme="minorEastAsia"/>
          <w:b/>
          <w:sz w:val="36"/>
          <w:szCs w:val="36"/>
        </w:rPr>
        <w:t>季度报告</w:t>
      </w:r>
    </w:p>
    <w:p w:rsidR="00074E9F" w:rsidRPr="005E324A" w:rsidRDefault="001B64E7" w:rsidP="007951F3">
      <w:pPr>
        <w:spacing w:line="360" w:lineRule="auto"/>
        <w:jc w:val="center"/>
        <w:rPr>
          <w:rFonts w:eastAsiaTheme="minorEastAsia"/>
          <w:b/>
          <w:sz w:val="36"/>
          <w:szCs w:val="36"/>
        </w:rPr>
      </w:pPr>
      <w:r w:rsidRPr="005E324A">
        <w:rPr>
          <w:rFonts w:eastAsiaTheme="minorEastAsia"/>
          <w:b/>
          <w:sz w:val="36"/>
          <w:szCs w:val="36"/>
        </w:rPr>
        <w:t>2016</w:t>
      </w:r>
      <w:r w:rsidRPr="005E324A">
        <w:rPr>
          <w:rFonts w:eastAsiaTheme="minorEastAsia"/>
          <w:b/>
          <w:sz w:val="36"/>
          <w:szCs w:val="36"/>
        </w:rPr>
        <w:t>年</w:t>
      </w:r>
      <w:r w:rsidRPr="005E324A">
        <w:rPr>
          <w:rFonts w:eastAsiaTheme="minorEastAsia"/>
          <w:b/>
          <w:sz w:val="36"/>
          <w:szCs w:val="36"/>
        </w:rPr>
        <w:t>6</w:t>
      </w:r>
      <w:r w:rsidRPr="005E324A">
        <w:rPr>
          <w:rFonts w:eastAsiaTheme="minorEastAsia"/>
          <w:b/>
          <w:sz w:val="36"/>
          <w:szCs w:val="36"/>
        </w:rPr>
        <w:t>月</w:t>
      </w:r>
      <w:r w:rsidRPr="005E324A">
        <w:rPr>
          <w:rFonts w:eastAsiaTheme="minorEastAsia"/>
          <w:b/>
          <w:sz w:val="36"/>
          <w:szCs w:val="36"/>
        </w:rPr>
        <w:t>30</w:t>
      </w:r>
      <w:r w:rsidRPr="005E324A">
        <w:rPr>
          <w:rFonts w:eastAsiaTheme="minorEastAsia"/>
          <w:b/>
          <w:sz w:val="36"/>
          <w:szCs w:val="36"/>
        </w:rPr>
        <w:t>日</w:t>
      </w: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rPr>
          <w:rFonts w:eastAsiaTheme="minorEastAsia"/>
          <w:b/>
          <w:color w:val="000000"/>
          <w:sz w:val="24"/>
        </w:rPr>
      </w:pP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基金管理人：</w:t>
      </w:r>
      <w:r w:rsidR="008A4909" w:rsidRPr="005E324A">
        <w:rPr>
          <w:rFonts w:eastAsiaTheme="minorEastAsia"/>
          <w:b/>
          <w:color w:val="000000"/>
          <w:sz w:val="24"/>
        </w:rPr>
        <w:t>交银施罗德基金管理有限公司</w:t>
      </w: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基金托管人：</w:t>
      </w:r>
      <w:r w:rsidR="008A4909" w:rsidRPr="005E324A">
        <w:rPr>
          <w:rFonts w:eastAsiaTheme="minorEastAsia"/>
          <w:b/>
          <w:color w:val="000000"/>
          <w:sz w:val="24"/>
        </w:rPr>
        <w:t>中国建设银行股份有限公司</w:t>
      </w:r>
    </w:p>
    <w:p w:rsidR="00074E9F" w:rsidRPr="005E324A" w:rsidRDefault="00074E9F" w:rsidP="007951F3">
      <w:pPr>
        <w:spacing w:line="360" w:lineRule="auto"/>
        <w:ind w:firstLineChars="900" w:firstLine="2168"/>
        <w:rPr>
          <w:rFonts w:eastAsiaTheme="minorEastAsia"/>
          <w:b/>
          <w:color w:val="000000"/>
          <w:sz w:val="24"/>
        </w:rPr>
        <w:sectPr w:rsidR="00074E9F" w:rsidRPr="005E324A" w:rsidSect="00230A66">
          <w:headerReference w:type="default" r:id="rId7"/>
          <w:footerReference w:type="default" r:id="rId8"/>
          <w:pgSz w:w="11926" w:h="15840"/>
          <w:pgMar w:top="1418" w:right="1418" w:bottom="851" w:left="1418" w:header="851" w:footer="992" w:gutter="0"/>
          <w:cols w:space="720"/>
          <w:noEndnote/>
        </w:sectPr>
      </w:pPr>
      <w:r w:rsidRPr="005E324A">
        <w:rPr>
          <w:rFonts w:eastAsiaTheme="minorEastAsia"/>
          <w:b/>
          <w:color w:val="000000"/>
          <w:sz w:val="24"/>
        </w:rPr>
        <w:t>报告送出日期：</w:t>
      </w:r>
      <w:r w:rsidR="007D1C16" w:rsidRPr="005E324A">
        <w:rPr>
          <w:rFonts w:eastAsiaTheme="minorEastAsia"/>
          <w:b/>
          <w:color w:val="000000"/>
          <w:sz w:val="24"/>
        </w:rPr>
        <w:t>二〇一六年七月二十一日</w:t>
      </w:r>
    </w:p>
    <w:p w:rsidR="00220542" w:rsidRPr="005E324A" w:rsidRDefault="00220542" w:rsidP="003D6B62">
      <w:pPr>
        <w:pStyle w:val="1"/>
        <w:spacing w:beforeLines="100" w:before="312" w:afterLines="100" w:after="312" w:line="360" w:lineRule="auto"/>
        <w:jc w:val="center"/>
        <w:rPr>
          <w:rFonts w:eastAsiaTheme="minorEastAsia"/>
          <w:b w:val="0"/>
          <w:color w:val="000000"/>
          <w:kern w:val="0"/>
          <w:sz w:val="24"/>
          <w:szCs w:val="24"/>
        </w:rPr>
      </w:pPr>
      <w:r w:rsidRPr="005E324A">
        <w:rPr>
          <w:rFonts w:eastAsiaTheme="minorEastAsia"/>
          <w:color w:val="000000"/>
          <w:kern w:val="0"/>
          <w:sz w:val="24"/>
          <w:szCs w:val="24"/>
        </w:rPr>
        <w:lastRenderedPageBreak/>
        <w:t xml:space="preserve">§1  </w:t>
      </w:r>
      <w:r w:rsidRPr="005E324A">
        <w:rPr>
          <w:rFonts w:eastAsiaTheme="minorEastAsia"/>
          <w:color w:val="000000"/>
          <w:kern w:val="0"/>
          <w:sz w:val="24"/>
          <w:szCs w:val="24"/>
        </w:rPr>
        <w:t>重要提示</w:t>
      </w:r>
    </w:p>
    <w:p w:rsidR="00794A76" w:rsidRDefault="003B2589">
      <w:pPr>
        <w:spacing w:line="360"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794A76" w:rsidRDefault="003B2589">
      <w:pPr>
        <w:spacing w:line="360"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794A76" w:rsidRDefault="003B2589">
      <w:pPr>
        <w:spacing w:line="360"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794A76" w:rsidRDefault="003B2589">
      <w:pPr>
        <w:spacing w:line="360"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794A76" w:rsidRDefault="003B2589">
      <w:pPr>
        <w:spacing w:line="360"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220542" w:rsidRPr="005E324A" w:rsidRDefault="008A4909" w:rsidP="007951F3">
      <w:pPr>
        <w:spacing w:line="360" w:lineRule="auto"/>
        <w:ind w:firstLineChars="200" w:firstLine="480"/>
        <w:rPr>
          <w:rFonts w:eastAsiaTheme="minorEastAsia"/>
          <w:color w:val="000000"/>
          <w:sz w:val="24"/>
        </w:rPr>
      </w:pPr>
      <w:r w:rsidRPr="005E324A">
        <w:rPr>
          <w:rFonts w:eastAsiaTheme="minorEastAsia"/>
          <w:color w:val="000000"/>
          <w:sz w:val="24"/>
        </w:rPr>
        <w:t>本报告期自</w:t>
      </w:r>
      <w:r w:rsidRPr="005E324A">
        <w:rPr>
          <w:rFonts w:eastAsiaTheme="minorEastAsia"/>
          <w:color w:val="000000"/>
          <w:sz w:val="24"/>
        </w:rPr>
        <w:t>2016</w:t>
      </w:r>
      <w:r w:rsidRPr="005E324A">
        <w:rPr>
          <w:rFonts w:eastAsiaTheme="minorEastAsia"/>
          <w:color w:val="000000"/>
          <w:sz w:val="24"/>
        </w:rPr>
        <w:t>年</w:t>
      </w:r>
      <w:r w:rsidRPr="005E324A">
        <w:rPr>
          <w:rFonts w:eastAsiaTheme="minorEastAsia"/>
          <w:color w:val="000000"/>
          <w:sz w:val="24"/>
        </w:rPr>
        <w:t>4</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日起至</w:t>
      </w:r>
      <w:r w:rsidRPr="005E324A">
        <w:rPr>
          <w:rFonts w:eastAsiaTheme="minorEastAsia"/>
          <w:color w:val="000000"/>
          <w:sz w:val="24"/>
        </w:rPr>
        <w:t>6</w:t>
      </w:r>
      <w:r w:rsidRPr="005E324A">
        <w:rPr>
          <w:rFonts w:eastAsiaTheme="minorEastAsia"/>
          <w:color w:val="000000"/>
          <w:sz w:val="24"/>
        </w:rPr>
        <w:t>月</w:t>
      </w:r>
      <w:r w:rsidRPr="005E324A">
        <w:rPr>
          <w:rFonts w:eastAsiaTheme="minorEastAsia"/>
          <w:color w:val="000000"/>
          <w:sz w:val="24"/>
        </w:rPr>
        <w:t>30</w:t>
      </w:r>
      <w:r w:rsidRPr="005E324A">
        <w:rPr>
          <w:rFonts w:eastAsiaTheme="minorEastAsia"/>
          <w:color w:val="000000"/>
          <w:sz w:val="24"/>
        </w:rPr>
        <w:t>日止。</w:t>
      </w:r>
    </w:p>
    <w:p w:rsidR="00220542" w:rsidRPr="005E324A" w:rsidRDefault="00220542" w:rsidP="003D6B62">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§2  </w:t>
      </w:r>
      <w:r w:rsidRPr="005E324A">
        <w:rPr>
          <w:rFonts w:eastAsiaTheme="minor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826"/>
        <w:gridCol w:w="1826"/>
        <w:gridCol w:w="1827"/>
      </w:tblGrid>
      <w:tr w:rsidR="008A4909" w:rsidRPr="005E324A" w:rsidTr="007A6BEA">
        <w:tc>
          <w:tcPr>
            <w:tcW w:w="2835" w:type="dxa"/>
          </w:tcPr>
          <w:p w:rsidR="008A4909" w:rsidRPr="005E324A" w:rsidRDefault="008A4909" w:rsidP="007A6BEA">
            <w:pPr>
              <w:adjustRightInd w:val="0"/>
              <w:spacing w:before="29" w:line="360" w:lineRule="auto"/>
              <w:ind w:left="17"/>
              <w:jc w:val="left"/>
              <w:rPr>
                <w:rFonts w:eastAsiaTheme="minorEastAsia"/>
                <w:kern w:val="0"/>
                <w:sz w:val="24"/>
              </w:rPr>
            </w:pPr>
            <w:r w:rsidRPr="005E324A">
              <w:rPr>
                <w:rFonts w:eastAsiaTheme="minorEastAsia"/>
                <w:kern w:val="0"/>
                <w:sz w:val="24"/>
              </w:rPr>
              <w:t>基金简称</w:t>
            </w:r>
          </w:p>
        </w:tc>
        <w:tc>
          <w:tcPr>
            <w:tcW w:w="5479" w:type="dxa"/>
            <w:gridSpan w:val="3"/>
          </w:tcPr>
          <w:p w:rsidR="008A4909" w:rsidRPr="005E324A" w:rsidRDefault="008A4909"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交银国证新能源指数分级</w:t>
            </w:r>
          </w:p>
        </w:tc>
      </w:tr>
      <w:tr w:rsidR="00161BBC" w:rsidRPr="005E324A" w:rsidTr="008B6481">
        <w:trPr>
          <w:trHeight w:val="513"/>
        </w:trPr>
        <w:tc>
          <w:tcPr>
            <w:tcW w:w="2835" w:type="dxa"/>
            <w:vAlign w:val="center"/>
          </w:tcPr>
          <w:p w:rsidR="00161BBC" w:rsidRPr="005E324A" w:rsidRDefault="00161BBC" w:rsidP="00161BBC">
            <w:pPr>
              <w:rPr>
                <w:sz w:val="24"/>
              </w:rPr>
            </w:pPr>
            <w:r w:rsidRPr="005E324A">
              <w:rPr>
                <w:sz w:val="24"/>
              </w:rPr>
              <w:t>场内简称</w:t>
            </w:r>
          </w:p>
        </w:tc>
        <w:tc>
          <w:tcPr>
            <w:tcW w:w="5479" w:type="dxa"/>
            <w:gridSpan w:val="3"/>
            <w:vAlign w:val="center"/>
          </w:tcPr>
          <w:p w:rsidR="00161BBC" w:rsidRPr="005E324A" w:rsidRDefault="00161BBC" w:rsidP="00161BBC">
            <w:pPr>
              <w:rPr>
                <w:sz w:val="24"/>
              </w:rPr>
            </w:pPr>
            <w:r w:rsidRPr="005E324A">
              <w:rPr>
                <w:sz w:val="24"/>
              </w:rPr>
              <w:t>交银新能</w:t>
            </w:r>
          </w:p>
        </w:tc>
      </w:tr>
      <w:tr w:rsidR="002A44F9" w:rsidRPr="005E324A" w:rsidTr="002A44F9">
        <w:tc>
          <w:tcPr>
            <w:tcW w:w="2835" w:type="dxa"/>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kern w:val="0"/>
                <w:sz w:val="24"/>
              </w:rPr>
            </w:pPr>
            <w:r w:rsidRPr="005E324A">
              <w:rPr>
                <w:rFonts w:eastAsiaTheme="minorEastAsia"/>
                <w:kern w:val="0"/>
                <w:sz w:val="24"/>
              </w:rPr>
              <w:t>基金主代码</w:t>
            </w:r>
          </w:p>
        </w:tc>
        <w:tc>
          <w:tcPr>
            <w:tcW w:w="5479" w:type="dxa"/>
            <w:gridSpan w:val="3"/>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164905</w:t>
            </w:r>
          </w:p>
        </w:tc>
      </w:tr>
      <w:tr w:rsidR="00134868" w:rsidRPr="005E324A" w:rsidTr="002A44F9">
        <w:tc>
          <w:tcPr>
            <w:tcW w:w="2835" w:type="dxa"/>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kern w:val="0"/>
                <w:sz w:val="24"/>
              </w:rPr>
            </w:pPr>
            <w:r w:rsidRPr="005E324A">
              <w:rPr>
                <w:rFonts w:eastAsiaTheme="minorEastAsia"/>
                <w:kern w:val="0"/>
                <w:sz w:val="24"/>
              </w:rPr>
              <w:t>交易代码</w:t>
            </w:r>
          </w:p>
        </w:tc>
        <w:tc>
          <w:tcPr>
            <w:tcW w:w="5479" w:type="dxa"/>
            <w:gridSpan w:val="3"/>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164905</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基金运作方式</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契约型开放式</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基金合同生效日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3</w:t>
            </w:r>
            <w:r w:rsidRPr="005E324A">
              <w:rPr>
                <w:rFonts w:eastAsiaTheme="minorEastAsia"/>
                <w:color w:val="000000"/>
                <w:kern w:val="0"/>
                <w:sz w:val="24"/>
              </w:rPr>
              <w:t>月</w:t>
            </w:r>
            <w:r w:rsidRPr="005E324A">
              <w:rPr>
                <w:rFonts w:eastAsiaTheme="minorEastAsia"/>
                <w:color w:val="000000"/>
                <w:kern w:val="0"/>
                <w:sz w:val="24"/>
              </w:rPr>
              <w:t>26</w:t>
            </w:r>
            <w:r w:rsidRPr="005E324A">
              <w:rPr>
                <w:rFonts w:eastAsiaTheme="minorEastAsia"/>
                <w:color w:val="000000"/>
                <w:kern w:val="0"/>
                <w:sz w:val="24"/>
              </w:rPr>
              <w:t>日</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报告期末基金份额总额</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1,532,704,818.43</w:t>
            </w:r>
            <w:r w:rsidRPr="005E324A">
              <w:rPr>
                <w:rFonts w:eastAsiaTheme="minorEastAsia"/>
                <w:color w:val="000000"/>
                <w:kern w:val="0"/>
                <w:sz w:val="24"/>
              </w:rPr>
              <w:t>份</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投资目标</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本基金采用指数化投资，紧密跟踪标的指数，追求跟踪偏离度与跟踪误差最小化。本基金力争控制本基金日均跟踪偏离度的绝对值不超过</w:t>
            </w:r>
            <w:r w:rsidRPr="005E324A">
              <w:rPr>
                <w:rFonts w:eastAsiaTheme="minorEastAsia"/>
                <w:color w:val="000000"/>
                <w:kern w:val="0"/>
                <w:sz w:val="24"/>
              </w:rPr>
              <w:t>0.35%</w:t>
            </w:r>
            <w:r w:rsidRPr="005E324A">
              <w:rPr>
                <w:rFonts w:eastAsiaTheme="minorEastAsia"/>
                <w:color w:val="000000"/>
                <w:kern w:val="0"/>
                <w:sz w:val="24"/>
              </w:rPr>
              <w:t>，年跟踪误差不超过</w:t>
            </w:r>
            <w:r w:rsidRPr="005E324A">
              <w:rPr>
                <w:rFonts w:eastAsiaTheme="minorEastAsia"/>
                <w:color w:val="000000"/>
                <w:kern w:val="0"/>
                <w:sz w:val="24"/>
              </w:rPr>
              <w:t>4%</w:t>
            </w:r>
            <w:r w:rsidRPr="005E324A">
              <w:rPr>
                <w:rFonts w:eastAsiaTheme="minorEastAsia"/>
                <w:color w:val="000000"/>
                <w:kern w:val="0"/>
                <w:sz w:val="24"/>
              </w:rPr>
              <w:t>。</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投资策略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本基金为指数型基金，绝大部分资产采用完全复制标的指数的方法跟踪标的指数，即按照国证新能源</w:t>
            </w:r>
            <w:r w:rsidRPr="005E324A">
              <w:rPr>
                <w:rFonts w:eastAsiaTheme="minorEastAsia"/>
                <w:color w:val="000000"/>
                <w:kern w:val="0"/>
                <w:sz w:val="24"/>
              </w:rPr>
              <w:lastRenderedPageBreak/>
              <w:t>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lastRenderedPageBreak/>
              <w:t>业绩比较基准</w:t>
            </w:r>
          </w:p>
        </w:tc>
        <w:tc>
          <w:tcPr>
            <w:tcW w:w="5479" w:type="dxa"/>
            <w:gridSpan w:val="3"/>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国证新能源指数收益率</w:t>
            </w:r>
            <w:r w:rsidRPr="005E324A">
              <w:rPr>
                <w:rFonts w:eastAsiaTheme="minorEastAsia"/>
                <w:color w:val="000000"/>
                <w:kern w:val="0"/>
                <w:sz w:val="24"/>
              </w:rPr>
              <w:t>×95%</w:t>
            </w:r>
            <w:r w:rsidRPr="005E324A">
              <w:rPr>
                <w:rFonts w:eastAsiaTheme="minorEastAsia"/>
                <w:color w:val="000000"/>
                <w:kern w:val="0"/>
                <w:sz w:val="24"/>
              </w:rPr>
              <w:t>＋银行活期存款利率（税后）</w:t>
            </w:r>
            <w:r w:rsidRPr="005E324A">
              <w:rPr>
                <w:rFonts w:eastAsiaTheme="minorEastAsia"/>
                <w:color w:val="000000"/>
                <w:kern w:val="0"/>
                <w:sz w:val="24"/>
              </w:rPr>
              <w:t>×5%</w:t>
            </w:r>
          </w:p>
        </w:tc>
      </w:tr>
      <w:tr w:rsidR="00134868" w:rsidRPr="005E324A" w:rsidTr="00A008DA">
        <w:tc>
          <w:tcPr>
            <w:tcW w:w="2835" w:type="dxa"/>
          </w:tcPr>
          <w:p w:rsidR="00134868" w:rsidRPr="005E324A" w:rsidRDefault="00134868" w:rsidP="00A008DA">
            <w:pPr>
              <w:adjustRightInd w:val="0"/>
              <w:spacing w:before="29" w:line="360" w:lineRule="auto"/>
              <w:ind w:left="17"/>
              <w:jc w:val="left"/>
              <w:rPr>
                <w:rFonts w:eastAsiaTheme="minorEastAsia"/>
                <w:sz w:val="24"/>
              </w:rPr>
            </w:pPr>
            <w:r w:rsidRPr="005E324A">
              <w:rPr>
                <w:rFonts w:eastAsiaTheme="minorEastAsia"/>
                <w:kern w:val="0"/>
                <w:sz w:val="24"/>
              </w:rPr>
              <w:t>风险收益特征</w:t>
            </w:r>
          </w:p>
        </w:tc>
        <w:tc>
          <w:tcPr>
            <w:tcW w:w="5479" w:type="dxa"/>
            <w:gridSpan w:val="3"/>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份额具有低预期风险、预期收益相对稳定的特征；交银新能源</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基金管理人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交银施罗德基金管理有限公司</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基金托管人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中国建设银行股份有限公司</w:t>
            </w:r>
          </w:p>
        </w:tc>
      </w:tr>
      <w:tr w:rsidR="00134868" w:rsidRPr="005E324A" w:rsidTr="000B5208">
        <w:tc>
          <w:tcPr>
            <w:tcW w:w="2835" w:type="dxa"/>
          </w:tcPr>
          <w:p w:rsidR="00134868" w:rsidRPr="005E324A" w:rsidRDefault="00134868" w:rsidP="005F621F">
            <w:pPr>
              <w:adjustRightInd w:val="0"/>
              <w:spacing w:before="29" w:line="360" w:lineRule="auto"/>
              <w:ind w:left="17"/>
              <w:jc w:val="left"/>
              <w:rPr>
                <w:rFonts w:eastAsiaTheme="minorEastAsia"/>
                <w:kern w:val="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级基金的基金简称</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交银新能</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新能源</w:t>
            </w:r>
            <w:r w:rsidRPr="005E324A">
              <w:rPr>
                <w:rFonts w:eastAsiaTheme="minorEastAsia"/>
                <w:sz w:val="24"/>
              </w:rPr>
              <w:t>A</w:t>
            </w:r>
          </w:p>
        </w:tc>
        <w:tc>
          <w:tcPr>
            <w:tcW w:w="1827" w:type="dxa"/>
            <w:vAlign w:val="center"/>
          </w:tcPr>
          <w:p w:rsidR="00134868" w:rsidRPr="005E324A" w:rsidRDefault="00134868" w:rsidP="000B5208">
            <w:pPr>
              <w:rPr>
                <w:rFonts w:eastAsiaTheme="minorEastAsia"/>
                <w:sz w:val="24"/>
              </w:rPr>
            </w:pPr>
            <w:r w:rsidRPr="005E324A">
              <w:rPr>
                <w:rFonts w:eastAsiaTheme="minorEastAsia"/>
                <w:sz w:val="24"/>
              </w:rPr>
              <w:t>新能源</w:t>
            </w:r>
            <w:r w:rsidRPr="005E324A">
              <w:rPr>
                <w:rFonts w:eastAsiaTheme="minorEastAsia"/>
                <w:sz w:val="24"/>
              </w:rPr>
              <w:t>B</w:t>
            </w:r>
          </w:p>
        </w:tc>
      </w:tr>
      <w:tr w:rsidR="00C136F5" w:rsidRPr="005E324A" w:rsidTr="000B5208">
        <w:tc>
          <w:tcPr>
            <w:tcW w:w="2835" w:type="dxa"/>
          </w:tcPr>
          <w:p w:rsidR="00C136F5" w:rsidRPr="005E324A" w:rsidRDefault="00C136F5"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级基金的场内简称</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交银新能</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新能源</w:t>
            </w:r>
            <w:r w:rsidRPr="005E324A">
              <w:rPr>
                <w:sz w:val="24"/>
              </w:rPr>
              <w:t>A</w:t>
            </w:r>
          </w:p>
        </w:tc>
        <w:tc>
          <w:tcPr>
            <w:tcW w:w="1827" w:type="dxa"/>
            <w:vAlign w:val="center"/>
          </w:tcPr>
          <w:p w:rsidR="00C136F5" w:rsidRPr="005E324A" w:rsidRDefault="00C136F5" w:rsidP="000B5208">
            <w:pPr>
              <w:rPr>
                <w:rFonts w:eastAsiaTheme="minorEastAsia"/>
                <w:color w:val="000000"/>
                <w:kern w:val="0"/>
                <w:sz w:val="24"/>
              </w:rPr>
            </w:pPr>
            <w:r w:rsidRPr="005E324A">
              <w:rPr>
                <w:sz w:val="24"/>
              </w:rPr>
              <w:t>新能源</w:t>
            </w:r>
            <w:r w:rsidRPr="005E324A">
              <w:rPr>
                <w:sz w:val="24"/>
              </w:rPr>
              <w:t>B</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级基金的交易代码</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164905</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150217</w:t>
            </w:r>
          </w:p>
        </w:tc>
        <w:tc>
          <w:tcPr>
            <w:tcW w:w="1827"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150218</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报告期末下属</w:t>
            </w:r>
            <w:r w:rsidR="005F621F" w:rsidRPr="005E324A">
              <w:rPr>
                <w:rFonts w:eastAsiaTheme="minorEastAsia"/>
                <w:color w:val="000000"/>
                <w:sz w:val="24"/>
              </w:rPr>
              <w:t>分</w:t>
            </w:r>
            <w:r w:rsidRPr="005E324A">
              <w:rPr>
                <w:rFonts w:eastAsiaTheme="minorEastAsia"/>
                <w:color w:val="000000"/>
                <w:sz w:val="24"/>
              </w:rPr>
              <w:t>级基金的份额总额</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654,604,418.43</w:t>
            </w:r>
            <w:r w:rsidRPr="005E324A">
              <w:rPr>
                <w:rFonts w:eastAsiaTheme="minorEastAsia"/>
                <w:color w:val="000000"/>
                <w:kern w:val="0"/>
                <w:sz w:val="24"/>
              </w:rPr>
              <w:t>份</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439,050,200.00</w:t>
            </w:r>
            <w:r w:rsidRPr="005E324A">
              <w:rPr>
                <w:rFonts w:eastAsiaTheme="minorEastAsia"/>
                <w:color w:val="000000"/>
                <w:kern w:val="0"/>
                <w:sz w:val="24"/>
              </w:rPr>
              <w:t>份</w:t>
            </w:r>
          </w:p>
        </w:tc>
        <w:tc>
          <w:tcPr>
            <w:tcW w:w="1827"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439,050,200.00</w:t>
            </w:r>
            <w:r w:rsidRPr="005E324A">
              <w:rPr>
                <w:rFonts w:eastAsiaTheme="minorEastAsia"/>
                <w:color w:val="000000"/>
                <w:kern w:val="0"/>
                <w:sz w:val="24"/>
              </w:rPr>
              <w:t>份</w:t>
            </w:r>
          </w:p>
        </w:tc>
      </w:tr>
      <w:tr w:rsidR="00134868" w:rsidRPr="005E324A" w:rsidTr="00EB3E72">
        <w:tc>
          <w:tcPr>
            <w:tcW w:w="2835" w:type="dxa"/>
          </w:tcPr>
          <w:p w:rsidR="00134868" w:rsidRPr="005E324A" w:rsidRDefault="00307735" w:rsidP="00A008DA">
            <w:pPr>
              <w:adjustRightInd w:val="0"/>
              <w:spacing w:before="29" w:line="360" w:lineRule="auto"/>
              <w:ind w:left="17"/>
              <w:jc w:val="left"/>
              <w:rPr>
                <w:rFonts w:eastAsiaTheme="minorEastAsia"/>
                <w:sz w:val="24"/>
              </w:rPr>
            </w:pPr>
            <w:r w:rsidRPr="005E324A">
              <w:rPr>
                <w:sz w:val="24"/>
              </w:rPr>
              <w:t>下属分级基金的</w:t>
            </w:r>
            <w:r w:rsidR="00134868" w:rsidRPr="005E324A">
              <w:rPr>
                <w:rFonts w:eastAsiaTheme="minorEastAsia"/>
                <w:kern w:val="0"/>
                <w:sz w:val="24"/>
              </w:rPr>
              <w:t>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交银新能源份额具有与标的指数、以及标的指数所代表的股票市场相似的风险收益特征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交银新能源</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w:t>
            </w:r>
          </w:p>
        </w:tc>
        <w:tc>
          <w:tcPr>
            <w:tcW w:w="1827"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交银新能源</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bl>
    <w:p w:rsidR="00220542" w:rsidRPr="005E324A" w:rsidRDefault="00220542" w:rsidP="003D6B62">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§3  </w:t>
      </w:r>
      <w:r w:rsidRPr="005E324A">
        <w:rPr>
          <w:rFonts w:eastAsiaTheme="minorEastAsia"/>
          <w:color w:val="000000"/>
          <w:kern w:val="0"/>
          <w:sz w:val="24"/>
          <w:szCs w:val="24"/>
        </w:rPr>
        <w:t>主要财务指标和基金净值表现</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3.1 </w:t>
      </w:r>
      <w:r w:rsidRPr="005E324A">
        <w:rPr>
          <w:rFonts w:eastAsiaTheme="minorEastAsia"/>
          <w:b/>
          <w:color w:val="000000"/>
          <w:kern w:val="0"/>
          <w:sz w:val="24"/>
        </w:rPr>
        <w:t>主要财务指标</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8B6481" w:rsidRPr="005E324A" w:rsidTr="008B6481">
        <w:tc>
          <w:tcPr>
            <w:tcW w:w="3402" w:type="dxa"/>
            <w:vAlign w:val="center"/>
          </w:tcPr>
          <w:p w:rsidR="00FC219C" w:rsidRPr="005E324A" w:rsidRDefault="00FC219C" w:rsidP="004D67E0">
            <w:pPr>
              <w:adjustRightInd w:val="0"/>
              <w:spacing w:before="29" w:line="360" w:lineRule="auto"/>
              <w:ind w:left="17"/>
              <w:jc w:val="center"/>
              <w:rPr>
                <w:rFonts w:eastAsiaTheme="minorEastAsia"/>
                <w:kern w:val="0"/>
                <w:sz w:val="24"/>
              </w:rPr>
            </w:pPr>
            <w:r w:rsidRPr="005E324A">
              <w:rPr>
                <w:rFonts w:eastAsiaTheme="minorEastAsia"/>
                <w:kern w:val="0"/>
                <w:sz w:val="24"/>
              </w:rPr>
              <w:t>主要财务指标</w:t>
            </w:r>
          </w:p>
        </w:tc>
        <w:tc>
          <w:tcPr>
            <w:tcW w:w="4962" w:type="dxa"/>
            <w:vAlign w:val="center"/>
          </w:tcPr>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报告期</w:t>
            </w:r>
          </w:p>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(2016</w:t>
            </w:r>
            <w:r w:rsidRPr="005E324A">
              <w:rPr>
                <w:rFonts w:eastAsiaTheme="minorEastAsia"/>
                <w:color w:val="000000"/>
                <w:sz w:val="24"/>
              </w:rPr>
              <w:t>年</w:t>
            </w:r>
            <w:r w:rsidRPr="005E324A">
              <w:rPr>
                <w:rFonts w:eastAsiaTheme="minorEastAsia"/>
                <w:color w:val="000000"/>
                <w:sz w:val="24"/>
              </w:rPr>
              <w:t>4</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w:t>
            </w:r>
            <w:r w:rsidRPr="005E324A">
              <w:rPr>
                <w:rFonts w:eastAsiaTheme="minorEastAsia"/>
                <w:color w:val="000000"/>
                <w:sz w:val="24"/>
              </w:rPr>
              <w:t>-2016</w:t>
            </w:r>
            <w:r w:rsidRPr="005E324A">
              <w:rPr>
                <w:rFonts w:eastAsiaTheme="minorEastAsia"/>
                <w:color w:val="000000"/>
                <w:sz w:val="24"/>
              </w:rPr>
              <w:t>年</w:t>
            </w:r>
            <w:r w:rsidRPr="005E324A">
              <w:rPr>
                <w:rFonts w:eastAsiaTheme="minorEastAsia"/>
                <w:color w:val="000000"/>
                <w:sz w:val="24"/>
              </w:rPr>
              <w:t>6</w:t>
            </w:r>
            <w:r w:rsidRPr="005E324A">
              <w:rPr>
                <w:rFonts w:eastAsiaTheme="minorEastAsia"/>
                <w:color w:val="000000"/>
                <w:sz w:val="24"/>
              </w:rPr>
              <w:t>月</w:t>
            </w:r>
            <w:r w:rsidRPr="005E324A">
              <w:rPr>
                <w:rFonts w:eastAsiaTheme="minorEastAsia"/>
                <w:color w:val="000000"/>
                <w:sz w:val="24"/>
              </w:rPr>
              <w:t>30</w:t>
            </w:r>
            <w:r w:rsidRPr="005E324A">
              <w:rPr>
                <w:rFonts w:eastAsiaTheme="minorEastAsia"/>
                <w:color w:val="000000"/>
                <w:sz w:val="24"/>
              </w:rPr>
              <w:t>日</w:t>
            </w:r>
            <w:r w:rsidRPr="005E324A">
              <w:rPr>
                <w:rFonts w:eastAsiaTheme="minorEastAsia"/>
                <w:color w:val="000000"/>
                <w:sz w:val="24"/>
              </w:rPr>
              <w:t>)</w:t>
            </w:r>
          </w:p>
        </w:tc>
      </w:tr>
      <w:tr w:rsidR="008B6481" w:rsidRPr="005E324A" w:rsidTr="008B6481">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1.</w:t>
            </w:r>
            <w:r w:rsidRPr="005E324A">
              <w:rPr>
                <w:rFonts w:eastAsiaTheme="minorEastAsia"/>
                <w:kern w:val="0"/>
                <w:sz w:val="24"/>
              </w:rPr>
              <w:t>本期已实现收益</w:t>
            </w:r>
          </w:p>
        </w:tc>
        <w:tc>
          <w:tcPr>
            <w:tcW w:w="4962" w:type="dxa"/>
            <w:vAlign w:val="bottom"/>
          </w:tcPr>
          <w:p w:rsidR="00FC219C" w:rsidRPr="005E324A" w:rsidRDefault="00FC219C" w:rsidP="008B6481">
            <w:pPr>
              <w:adjustRightInd w:val="0"/>
              <w:spacing w:before="29" w:line="360" w:lineRule="auto"/>
              <w:ind w:left="17"/>
              <w:jc w:val="right"/>
              <w:rPr>
                <w:rFonts w:eastAsiaTheme="minorEastAsia"/>
                <w:color w:val="000000"/>
                <w:kern w:val="0"/>
                <w:sz w:val="24"/>
              </w:rPr>
            </w:pPr>
            <w:r w:rsidRPr="005E324A">
              <w:rPr>
                <w:rFonts w:eastAsiaTheme="minorEastAsia"/>
                <w:color w:val="000000"/>
                <w:kern w:val="0"/>
                <w:sz w:val="24"/>
              </w:rPr>
              <w:t>-33,729,214.31</w:t>
            </w:r>
          </w:p>
        </w:tc>
      </w:tr>
      <w:tr w:rsidR="008B6481" w:rsidRPr="005E324A" w:rsidTr="008B6481">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2.</w:t>
            </w:r>
            <w:r w:rsidRPr="005E324A">
              <w:rPr>
                <w:rFonts w:eastAsiaTheme="minorEastAsia"/>
                <w:kern w:val="0"/>
                <w:sz w:val="24"/>
              </w:rPr>
              <w:t>本期利润</w:t>
            </w:r>
          </w:p>
        </w:tc>
        <w:tc>
          <w:tcPr>
            <w:tcW w:w="4962" w:type="dxa"/>
            <w:vAlign w:val="bottom"/>
          </w:tcPr>
          <w:p w:rsidR="00FC219C" w:rsidRPr="005E324A" w:rsidRDefault="00FC219C" w:rsidP="008B6481">
            <w:pPr>
              <w:adjustRightInd w:val="0"/>
              <w:spacing w:before="29" w:line="360" w:lineRule="auto"/>
              <w:ind w:left="17"/>
              <w:jc w:val="right"/>
              <w:rPr>
                <w:rFonts w:eastAsiaTheme="minorEastAsia"/>
                <w:color w:val="000000"/>
                <w:kern w:val="0"/>
                <w:sz w:val="24"/>
              </w:rPr>
            </w:pPr>
            <w:r w:rsidRPr="005E324A">
              <w:rPr>
                <w:rFonts w:eastAsiaTheme="minorEastAsia"/>
                <w:color w:val="000000"/>
                <w:kern w:val="0"/>
                <w:sz w:val="24"/>
              </w:rPr>
              <w:t>74,525,361.01</w:t>
            </w:r>
          </w:p>
        </w:tc>
      </w:tr>
      <w:tr w:rsidR="008B6481" w:rsidRPr="005E324A" w:rsidTr="008B6481">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3.</w:t>
            </w:r>
            <w:r w:rsidRPr="005E324A">
              <w:rPr>
                <w:rFonts w:eastAsiaTheme="minorEastAsia"/>
                <w:kern w:val="0"/>
                <w:sz w:val="24"/>
              </w:rPr>
              <w:t>加权平均基金份额本期利润</w:t>
            </w:r>
          </w:p>
        </w:tc>
        <w:tc>
          <w:tcPr>
            <w:tcW w:w="4962" w:type="dxa"/>
            <w:vAlign w:val="bottom"/>
          </w:tcPr>
          <w:p w:rsidR="00FC219C" w:rsidRPr="005E324A" w:rsidRDefault="00FC219C" w:rsidP="008B6481">
            <w:pPr>
              <w:adjustRightInd w:val="0"/>
              <w:spacing w:before="29" w:line="360" w:lineRule="auto"/>
              <w:ind w:left="17"/>
              <w:jc w:val="right"/>
              <w:rPr>
                <w:rFonts w:eastAsiaTheme="minorEastAsia"/>
                <w:color w:val="000000"/>
                <w:kern w:val="0"/>
                <w:sz w:val="24"/>
              </w:rPr>
            </w:pPr>
            <w:r w:rsidRPr="005E324A">
              <w:rPr>
                <w:rFonts w:eastAsiaTheme="minorEastAsia"/>
                <w:color w:val="000000"/>
                <w:kern w:val="0"/>
                <w:sz w:val="24"/>
              </w:rPr>
              <w:t>0.0385</w:t>
            </w:r>
          </w:p>
        </w:tc>
      </w:tr>
      <w:tr w:rsidR="008B6481" w:rsidRPr="005E324A" w:rsidTr="008B6481">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4.</w:t>
            </w:r>
            <w:r w:rsidRPr="005E324A">
              <w:rPr>
                <w:rFonts w:eastAsiaTheme="minorEastAsia"/>
                <w:kern w:val="0"/>
                <w:sz w:val="24"/>
              </w:rPr>
              <w:t>期末基金资产净值</w:t>
            </w:r>
          </w:p>
        </w:tc>
        <w:tc>
          <w:tcPr>
            <w:tcW w:w="4962" w:type="dxa"/>
          </w:tcPr>
          <w:p w:rsidR="00FC219C" w:rsidRPr="005E324A" w:rsidRDefault="00FC219C" w:rsidP="008B6481">
            <w:pPr>
              <w:adjustRightInd w:val="0"/>
              <w:spacing w:before="29" w:line="360" w:lineRule="auto"/>
              <w:ind w:left="17"/>
              <w:jc w:val="right"/>
              <w:rPr>
                <w:rFonts w:eastAsiaTheme="minorEastAsia"/>
                <w:color w:val="000000"/>
                <w:kern w:val="0"/>
                <w:sz w:val="24"/>
              </w:rPr>
            </w:pPr>
            <w:r w:rsidRPr="005E324A">
              <w:rPr>
                <w:rFonts w:eastAsiaTheme="minorEastAsia"/>
                <w:color w:val="000000"/>
                <w:kern w:val="0"/>
                <w:sz w:val="24"/>
              </w:rPr>
              <w:t>1,339,947,498.67</w:t>
            </w:r>
          </w:p>
        </w:tc>
      </w:tr>
      <w:tr w:rsidR="008B6481" w:rsidRPr="005E324A" w:rsidTr="008B6481">
        <w:trPr>
          <w:trHeight w:val="158"/>
        </w:trPr>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5.</w:t>
            </w:r>
            <w:r w:rsidRPr="005E324A">
              <w:rPr>
                <w:rFonts w:eastAsiaTheme="minorEastAsia"/>
                <w:kern w:val="0"/>
                <w:sz w:val="24"/>
              </w:rPr>
              <w:t>期末基金份额净值</w:t>
            </w:r>
          </w:p>
        </w:tc>
        <w:tc>
          <w:tcPr>
            <w:tcW w:w="4962" w:type="dxa"/>
          </w:tcPr>
          <w:p w:rsidR="00FC219C" w:rsidRPr="005E324A" w:rsidRDefault="00FC219C" w:rsidP="008B6481">
            <w:pPr>
              <w:adjustRightInd w:val="0"/>
              <w:spacing w:before="29" w:line="360" w:lineRule="auto"/>
              <w:ind w:left="17"/>
              <w:jc w:val="right"/>
              <w:rPr>
                <w:rFonts w:eastAsiaTheme="minorEastAsia"/>
                <w:color w:val="000000"/>
                <w:kern w:val="0"/>
                <w:sz w:val="24"/>
              </w:rPr>
            </w:pPr>
            <w:r w:rsidRPr="005E324A">
              <w:rPr>
                <w:rFonts w:eastAsiaTheme="minorEastAsia"/>
                <w:color w:val="000000"/>
                <w:kern w:val="0"/>
                <w:sz w:val="24"/>
              </w:rPr>
              <w:t>0.874</w:t>
            </w:r>
          </w:p>
        </w:tc>
      </w:tr>
    </w:tbl>
    <w:p w:rsidR="00794A76" w:rsidRDefault="003B2589">
      <w:pPr>
        <w:autoSpaceDE w:val="0"/>
        <w:autoSpaceDN w:val="0"/>
        <w:adjustRightInd w:val="0"/>
        <w:spacing w:line="360"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220542" w:rsidRPr="005E324A" w:rsidRDefault="006D676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 xml:space="preserve">    2</w:t>
      </w:r>
      <w:r w:rsidRPr="005E324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3.2 </w:t>
      </w:r>
      <w:r w:rsidRPr="005E324A">
        <w:rPr>
          <w:rFonts w:eastAsiaTheme="minorEastAsia"/>
          <w:b/>
          <w:color w:val="000000"/>
          <w:kern w:val="0"/>
          <w:sz w:val="24"/>
        </w:rPr>
        <w:t>基金净值表现</w:t>
      </w:r>
    </w:p>
    <w:p w:rsidR="007622F6" w:rsidRPr="005E324A" w:rsidRDefault="00220542"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3.2.1</w:t>
        </w:r>
      </w:smartTag>
      <w:r w:rsidRPr="005E324A">
        <w:rPr>
          <w:rFonts w:eastAsiaTheme="minorEastAsia"/>
          <w:b/>
          <w:color w:val="000000"/>
          <w:kern w:val="0"/>
          <w:sz w:val="24"/>
        </w:rPr>
        <w:t>本报告期基金份额净值增长率及其与同期业绩比较基准收益率的比较</w:t>
      </w:r>
    </w:p>
    <w:tbl>
      <w:tblPr>
        <w:tblStyle w:val="af7"/>
        <w:tblW w:w="0" w:type="auto"/>
        <w:tblInd w:w="15" w:type="dxa"/>
        <w:tblLayout w:type="fixed"/>
        <w:tblLook w:val="04A0" w:firstRow="1" w:lastRow="0" w:firstColumn="1" w:lastColumn="0" w:noHBand="0" w:noVBand="1"/>
      </w:tblPr>
      <w:tblGrid>
        <w:gridCol w:w="1215"/>
        <w:gridCol w:w="1216"/>
        <w:gridCol w:w="1216"/>
        <w:gridCol w:w="1216"/>
        <w:gridCol w:w="1216"/>
        <w:gridCol w:w="1217"/>
        <w:gridCol w:w="1217"/>
      </w:tblGrid>
      <w:tr w:rsidR="00E27A14" w:rsidRPr="005E324A" w:rsidTr="00E34CDF">
        <w:tc>
          <w:tcPr>
            <w:tcW w:w="1215"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阶段</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w:t>
            </w:r>
            <w:r w:rsidRPr="005E324A">
              <w:rPr>
                <w:rFonts w:ascii="宋体" w:hAnsi="宋体" w:cs="宋体" w:hint="eastAsia"/>
                <w:color w:val="000000"/>
                <w:sz w:val="24"/>
              </w:rPr>
              <w:t>①</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净值增长率标准差</w:t>
            </w:r>
            <w:r w:rsidRPr="005E324A">
              <w:rPr>
                <w:rFonts w:ascii="宋体" w:hAnsi="宋体" w:cs="宋体" w:hint="eastAsia"/>
                <w:color w:val="000000"/>
                <w:sz w:val="24"/>
              </w:rPr>
              <w:t>②</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w:t>
            </w:r>
            <w:r w:rsidRPr="005E324A">
              <w:rPr>
                <w:rFonts w:ascii="宋体" w:hAnsi="宋体" w:cs="宋体" w:hint="eastAsia"/>
                <w:color w:val="000000"/>
                <w:sz w:val="24"/>
              </w:rPr>
              <w:t>③</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业绩比较基准收益率标准差</w:t>
            </w:r>
            <w:r w:rsidRPr="005E324A">
              <w:rPr>
                <w:rFonts w:ascii="宋体" w:hAnsi="宋体" w:cs="宋体" w:hint="eastAsia"/>
                <w:color w:val="000000"/>
                <w:sz w:val="24"/>
              </w:rPr>
              <w:t>④</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①</w:t>
            </w:r>
            <w:r w:rsidRPr="005E324A">
              <w:rPr>
                <w:rFonts w:eastAsiaTheme="minorEastAsia"/>
                <w:color w:val="000000"/>
                <w:sz w:val="24"/>
              </w:rPr>
              <w:t>－</w:t>
            </w:r>
            <w:r w:rsidRPr="005E324A">
              <w:rPr>
                <w:rFonts w:ascii="宋体" w:hAnsi="宋体" w:cs="宋体" w:hint="eastAsia"/>
                <w:color w:val="000000"/>
                <w:sz w:val="24"/>
              </w:rPr>
              <w:t>③</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②</w:t>
            </w:r>
            <w:r w:rsidRPr="005E324A">
              <w:rPr>
                <w:rFonts w:eastAsiaTheme="minorEastAsia"/>
                <w:color w:val="000000"/>
                <w:sz w:val="24"/>
              </w:rPr>
              <w:t>－</w:t>
            </w:r>
            <w:r w:rsidRPr="005E324A">
              <w:rPr>
                <w:rFonts w:ascii="宋体" w:hAnsi="宋体" w:cs="宋体" w:hint="eastAsia"/>
                <w:color w:val="000000"/>
                <w:sz w:val="24"/>
              </w:rPr>
              <w:t>④</w:t>
            </w:r>
          </w:p>
        </w:tc>
      </w:tr>
      <w:tr w:rsidR="00794A76">
        <w:tc>
          <w:tcPr>
            <w:tcW w:w="1215" w:type="dxa"/>
            <w:vAlign w:val="center"/>
          </w:tcPr>
          <w:p w:rsidR="00794A76" w:rsidRDefault="003B2589">
            <w:pPr>
              <w:jc w:val="left"/>
            </w:pPr>
            <w:r>
              <w:rPr>
                <w:rFonts w:eastAsiaTheme="minorEastAsia"/>
                <w:color w:val="000000"/>
                <w:kern w:val="0"/>
                <w:sz w:val="24"/>
              </w:rPr>
              <w:t>过去三个月</w:t>
            </w:r>
          </w:p>
        </w:tc>
        <w:tc>
          <w:tcPr>
            <w:tcW w:w="1216" w:type="dxa"/>
            <w:vAlign w:val="center"/>
          </w:tcPr>
          <w:p w:rsidR="00794A76" w:rsidRDefault="003B2589">
            <w:pPr>
              <w:jc w:val="center"/>
            </w:pPr>
            <w:r>
              <w:rPr>
                <w:rFonts w:eastAsiaTheme="minorEastAsia"/>
                <w:color w:val="000000"/>
                <w:kern w:val="0"/>
                <w:sz w:val="24"/>
              </w:rPr>
              <w:t>6.72%</w:t>
            </w:r>
          </w:p>
        </w:tc>
        <w:tc>
          <w:tcPr>
            <w:tcW w:w="1216" w:type="dxa"/>
            <w:vAlign w:val="center"/>
          </w:tcPr>
          <w:p w:rsidR="00794A76" w:rsidRDefault="003B2589">
            <w:pPr>
              <w:jc w:val="center"/>
            </w:pPr>
            <w:r>
              <w:rPr>
                <w:rFonts w:eastAsiaTheme="minorEastAsia"/>
                <w:color w:val="000000"/>
                <w:kern w:val="0"/>
                <w:sz w:val="24"/>
              </w:rPr>
              <w:t>1.85%</w:t>
            </w:r>
          </w:p>
        </w:tc>
        <w:tc>
          <w:tcPr>
            <w:tcW w:w="1216" w:type="dxa"/>
            <w:vAlign w:val="center"/>
          </w:tcPr>
          <w:p w:rsidR="00794A76" w:rsidRDefault="003B2589">
            <w:pPr>
              <w:jc w:val="center"/>
            </w:pPr>
            <w:r>
              <w:rPr>
                <w:rFonts w:eastAsiaTheme="minorEastAsia"/>
                <w:color w:val="000000"/>
                <w:kern w:val="0"/>
                <w:sz w:val="24"/>
              </w:rPr>
              <w:t>6.98%</w:t>
            </w:r>
          </w:p>
        </w:tc>
        <w:tc>
          <w:tcPr>
            <w:tcW w:w="1216" w:type="dxa"/>
            <w:vAlign w:val="center"/>
          </w:tcPr>
          <w:p w:rsidR="00794A76" w:rsidRDefault="003B2589">
            <w:pPr>
              <w:jc w:val="center"/>
            </w:pPr>
            <w:r>
              <w:rPr>
                <w:rFonts w:eastAsiaTheme="minorEastAsia"/>
                <w:color w:val="000000"/>
                <w:kern w:val="0"/>
                <w:sz w:val="24"/>
              </w:rPr>
              <w:t>1.84%</w:t>
            </w:r>
          </w:p>
        </w:tc>
        <w:tc>
          <w:tcPr>
            <w:tcW w:w="1217" w:type="dxa"/>
            <w:vAlign w:val="center"/>
          </w:tcPr>
          <w:p w:rsidR="00794A76" w:rsidRDefault="003B2589">
            <w:pPr>
              <w:jc w:val="center"/>
            </w:pPr>
            <w:r>
              <w:rPr>
                <w:rFonts w:eastAsiaTheme="minorEastAsia"/>
                <w:color w:val="000000"/>
                <w:kern w:val="0"/>
                <w:sz w:val="24"/>
              </w:rPr>
              <w:t>-0.26%</w:t>
            </w:r>
          </w:p>
        </w:tc>
        <w:tc>
          <w:tcPr>
            <w:tcW w:w="1217" w:type="dxa"/>
            <w:vAlign w:val="center"/>
          </w:tcPr>
          <w:p w:rsidR="00794A76" w:rsidRDefault="003B2589">
            <w:pPr>
              <w:jc w:val="center"/>
            </w:pPr>
            <w:r>
              <w:rPr>
                <w:rFonts w:eastAsiaTheme="minorEastAsia"/>
                <w:color w:val="000000"/>
                <w:kern w:val="0"/>
                <w:sz w:val="24"/>
              </w:rPr>
              <w:t>0.01%</w:t>
            </w:r>
          </w:p>
        </w:tc>
      </w:tr>
    </w:tbl>
    <w:p w:rsidR="00465C86" w:rsidRPr="005E324A" w:rsidRDefault="00465C86" w:rsidP="0019563C">
      <w:pPr>
        <w:tabs>
          <w:tab w:val="left" w:pos="1800"/>
        </w:tabs>
        <w:spacing w:line="360" w:lineRule="auto"/>
        <w:rPr>
          <w:rFonts w:eastAsiaTheme="minorEastAsia"/>
          <w:color w:val="000000"/>
          <w:sz w:val="24"/>
        </w:rPr>
      </w:pPr>
    </w:p>
    <w:p w:rsidR="00220542" w:rsidRPr="005E324A" w:rsidRDefault="00220542" w:rsidP="003A4DA3">
      <w:pPr>
        <w:spacing w:line="360" w:lineRule="auto"/>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3.2.2</w:t>
        </w:r>
        <w:r w:rsidR="00C4274D" w:rsidRPr="005E324A">
          <w:rPr>
            <w:rStyle w:val="af8"/>
            <w:color w:val="000000"/>
            <w:sz w:val="24"/>
            <w:shd w:val="clear" w:color="auto" w:fill="FFFFFF"/>
          </w:rPr>
          <w:t>自基金合同生效以来</w:t>
        </w:r>
      </w:smartTag>
      <w:r w:rsidRPr="005E324A">
        <w:rPr>
          <w:rFonts w:eastAsiaTheme="minorEastAsia"/>
          <w:b/>
          <w:bCs/>
          <w:color w:val="000000"/>
          <w:sz w:val="24"/>
        </w:rPr>
        <w:t>基金累计份额净值增长率变动及其与同期业绩比较基准收益率变动的比较</w:t>
      </w:r>
    </w:p>
    <w:p w:rsidR="0042253F" w:rsidRPr="005E324A" w:rsidRDefault="0042253F" w:rsidP="003A4DA3">
      <w:pPr>
        <w:spacing w:line="360" w:lineRule="auto"/>
        <w:jc w:val="center"/>
        <w:rPr>
          <w:rFonts w:eastAsiaTheme="minorEastAsia"/>
          <w:sz w:val="24"/>
        </w:rPr>
      </w:pPr>
      <w:r w:rsidRPr="005E324A">
        <w:rPr>
          <w:rFonts w:eastAsiaTheme="minorEastAsia"/>
          <w:sz w:val="24"/>
        </w:rPr>
        <w:t>交银施罗德国证新能源指数分级证券投资基金</w:t>
      </w:r>
    </w:p>
    <w:p w:rsidR="0042253F" w:rsidRPr="005E324A" w:rsidRDefault="0042253F" w:rsidP="003A4DA3">
      <w:pPr>
        <w:pStyle w:val="a5"/>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rsidR="006868CD" w:rsidRPr="005E324A" w:rsidRDefault="006868CD" w:rsidP="003A4DA3">
      <w:pPr>
        <w:spacing w:line="360" w:lineRule="auto"/>
        <w:jc w:val="center"/>
        <w:rPr>
          <w:rFonts w:eastAsiaTheme="minorEastAsia"/>
          <w:sz w:val="24"/>
        </w:rPr>
      </w:pPr>
      <w:r w:rsidRPr="005E324A">
        <w:rPr>
          <w:rFonts w:eastAsiaTheme="minorEastAsia"/>
          <w:color w:val="000000"/>
          <w:kern w:val="0"/>
          <w:sz w:val="24"/>
        </w:rPr>
        <w:t>（</w:t>
      </w:r>
      <w:r w:rsidR="001B64E7" w:rsidRPr="005E324A">
        <w:rPr>
          <w:rFonts w:eastAsiaTheme="minorEastAsia"/>
          <w:color w:val="000000"/>
          <w:kern w:val="0"/>
          <w:sz w:val="24"/>
        </w:rPr>
        <w:t>2015</w:t>
      </w:r>
      <w:r w:rsidR="001B64E7" w:rsidRPr="005E324A">
        <w:rPr>
          <w:rFonts w:eastAsiaTheme="minorEastAsia"/>
          <w:color w:val="000000"/>
          <w:kern w:val="0"/>
          <w:sz w:val="24"/>
        </w:rPr>
        <w:t>年</w:t>
      </w:r>
      <w:r w:rsidR="001B64E7" w:rsidRPr="005E324A">
        <w:rPr>
          <w:rFonts w:eastAsiaTheme="minorEastAsia"/>
          <w:color w:val="000000"/>
          <w:kern w:val="0"/>
          <w:sz w:val="24"/>
        </w:rPr>
        <w:t>3</w:t>
      </w:r>
      <w:r w:rsidR="001B64E7" w:rsidRPr="005E324A">
        <w:rPr>
          <w:rFonts w:eastAsiaTheme="minorEastAsia"/>
          <w:color w:val="000000"/>
          <w:kern w:val="0"/>
          <w:sz w:val="24"/>
        </w:rPr>
        <w:t>月</w:t>
      </w:r>
      <w:r w:rsidR="001B64E7" w:rsidRPr="005E324A">
        <w:rPr>
          <w:rFonts w:eastAsiaTheme="minorEastAsia"/>
          <w:color w:val="000000"/>
          <w:kern w:val="0"/>
          <w:sz w:val="24"/>
        </w:rPr>
        <w:t>26</w:t>
      </w:r>
      <w:r w:rsidR="001B64E7" w:rsidRPr="005E324A">
        <w:rPr>
          <w:rFonts w:eastAsiaTheme="minorEastAsia"/>
          <w:color w:val="000000"/>
          <w:kern w:val="0"/>
          <w:sz w:val="24"/>
        </w:rPr>
        <w:t>日</w:t>
      </w:r>
      <w:r w:rsidRPr="005E324A">
        <w:rPr>
          <w:rFonts w:eastAsiaTheme="minorEastAsia"/>
          <w:color w:val="000000"/>
          <w:kern w:val="0"/>
          <w:sz w:val="24"/>
        </w:rPr>
        <w:t>至</w:t>
      </w:r>
      <w:r w:rsidRPr="005E324A">
        <w:rPr>
          <w:rFonts w:eastAsiaTheme="minorEastAsia"/>
          <w:color w:val="000000"/>
          <w:kern w:val="0"/>
          <w:sz w:val="24"/>
        </w:rPr>
        <w:t>2016</w:t>
      </w:r>
      <w:r w:rsidRPr="005E324A">
        <w:rPr>
          <w:rFonts w:eastAsiaTheme="minorEastAsia"/>
          <w:color w:val="000000"/>
          <w:kern w:val="0"/>
          <w:sz w:val="24"/>
        </w:rPr>
        <w:t>年</w:t>
      </w:r>
      <w:r w:rsidRPr="005E324A">
        <w:rPr>
          <w:rFonts w:eastAsiaTheme="minorEastAsia"/>
          <w:color w:val="000000"/>
          <w:kern w:val="0"/>
          <w:sz w:val="24"/>
        </w:rPr>
        <w:t>6</w:t>
      </w:r>
      <w:r w:rsidRPr="005E324A">
        <w:rPr>
          <w:rFonts w:eastAsiaTheme="minorEastAsia"/>
          <w:color w:val="000000"/>
          <w:kern w:val="0"/>
          <w:sz w:val="24"/>
        </w:rPr>
        <w:t>月</w:t>
      </w:r>
      <w:r w:rsidRPr="005E324A">
        <w:rPr>
          <w:rFonts w:eastAsiaTheme="minorEastAsia"/>
          <w:color w:val="000000"/>
          <w:kern w:val="0"/>
          <w:sz w:val="24"/>
        </w:rPr>
        <w:t>30</w:t>
      </w:r>
      <w:r w:rsidRPr="005E324A">
        <w:rPr>
          <w:rFonts w:eastAsiaTheme="minorEastAsia"/>
          <w:color w:val="000000"/>
          <w:kern w:val="0"/>
          <w:sz w:val="24"/>
        </w:rPr>
        <w:t>日）</w:t>
      </w:r>
    </w:p>
    <w:p w:rsidR="0042253F" w:rsidRPr="005E324A" w:rsidRDefault="00E548E9" w:rsidP="0042253F">
      <w:pPr>
        <w:tabs>
          <w:tab w:val="left" w:pos="1800"/>
        </w:tabs>
        <w:spacing w:line="360" w:lineRule="auto"/>
        <w:jc w:val="center"/>
        <w:rPr>
          <w:rFonts w:eastAsiaTheme="minorEastAsia"/>
          <w:color w:val="000000"/>
          <w:sz w:val="24"/>
        </w:rPr>
      </w:pPr>
      <w:r w:rsidRPr="005E324A">
        <w:rPr>
          <w:rFonts w:eastAsiaTheme="minorEastAsia"/>
          <w:noProof/>
          <w:color w:val="000000"/>
          <w:sz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42253F" w:rsidRPr="005E324A" w:rsidRDefault="0042253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注：本基金基金合同生效日为</w:t>
      </w:r>
      <w:r w:rsidRPr="005E324A">
        <w:rPr>
          <w:rFonts w:eastAsiaTheme="minorEastAsia"/>
          <w:color w:val="000000"/>
          <w:sz w:val="24"/>
        </w:rPr>
        <w:t>2015</w:t>
      </w:r>
      <w:r w:rsidRPr="005E324A">
        <w:rPr>
          <w:rFonts w:eastAsiaTheme="minorEastAsia"/>
          <w:color w:val="000000"/>
          <w:sz w:val="24"/>
        </w:rPr>
        <w:t>年</w:t>
      </w:r>
      <w:r w:rsidRPr="005E324A">
        <w:rPr>
          <w:rFonts w:eastAsiaTheme="minorEastAsia"/>
          <w:color w:val="000000"/>
          <w:sz w:val="24"/>
        </w:rPr>
        <w:t>3</w:t>
      </w:r>
      <w:r w:rsidRPr="005E324A">
        <w:rPr>
          <w:rFonts w:eastAsiaTheme="minorEastAsia"/>
          <w:color w:val="000000"/>
          <w:sz w:val="24"/>
        </w:rPr>
        <w:t>月</w:t>
      </w:r>
      <w:r w:rsidRPr="005E324A">
        <w:rPr>
          <w:rFonts w:eastAsiaTheme="minorEastAsia"/>
          <w:color w:val="000000"/>
          <w:sz w:val="24"/>
        </w:rPr>
        <w:t>26</w:t>
      </w:r>
      <w:r w:rsidRPr="005E324A">
        <w:rPr>
          <w:rFonts w:eastAsiaTheme="minorEastAsia"/>
          <w:color w:val="000000"/>
          <w:sz w:val="24"/>
        </w:rPr>
        <w:t>日，截至报告期期末，本基金已完成建仓但报告期期末距建仓结束未满一年。本基金建仓期为自基金合同生效日起的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rsidR="0042253F" w:rsidRPr="005E324A" w:rsidRDefault="0042253F" w:rsidP="0019563C">
      <w:pPr>
        <w:pStyle w:val="a5"/>
        <w:snapToGrid w:val="0"/>
        <w:spacing w:before="120" w:line="360" w:lineRule="auto"/>
        <w:jc w:val="center"/>
        <w:rPr>
          <w:rFonts w:ascii="Times New Roman" w:eastAsiaTheme="minorEastAsia" w:hAnsi="Times New Roman"/>
          <w:color w:val="000000"/>
          <w:sz w:val="24"/>
          <w:szCs w:val="24"/>
        </w:rPr>
      </w:pPr>
    </w:p>
    <w:p w:rsidR="00220542" w:rsidRPr="005E324A" w:rsidRDefault="00220542" w:rsidP="003D6B62">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§4  </w:t>
      </w:r>
      <w:r w:rsidRPr="005E324A">
        <w:rPr>
          <w:rFonts w:eastAsiaTheme="minorEastAsia"/>
          <w:color w:val="000000"/>
          <w:kern w:val="0"/>
          <w:sz w:val="24"/>
          <w:szCs w:val="24"/>
        </w:rPr>
        <w:t>管理人报告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4.1 </w:t>
      </w:r>
      <w:r w:rsidRPr="005E324A">
        <w:rPr>
          <w:rFonts w:eastAsiaTheme="minor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622F6" w:rsidRPr="005E324A" w:rsidTr="00026AAE">
        <w:trPr>
          <w:cantSplit/>
        </w:trPr>
        <w:tc>
          <w:tcPr>
            <w:tcW w:w="952"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姓名</w:t>
            </w:r>
          </w:p>
        </w:tc>
        <w:tc>
          <w:tcPr>
            <w:tcW w:w="930"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职务</w:t>
            </w:r>
          </w:p>
        </w:tc>
        <w:tc>
          <w:tcPr>
            <w:tcW w:w="2519" w:type="dxa"/>
            <w:gridSpan w:val="2"/>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任本基金的基金经理期限</w:t>
            </w:r>
          </w:p>
        </w:tc>
        <w:tc>
          <w:tcPr>
            <w:tcW w:w="1254"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证券从业年限</w:t>
            </w:r>
          </w:p>
        </w:tc>
        <w:tc>
          <w:tcPr>
            <w:tcW w:w="3276"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说明</w:t>
            </w:r>
          </w:p>
        </w:tc>
      </w:tr>
      <w:tr w:rsidR="007622F6" w:rsidRPr="005E324A" w:rsidTr="00026AAE">
        <w:trPr>
          <w:cantSplit/>
        </w:trPr>
        <w:tc>
          <w:tcPr>
            <w:tcW w:w="952"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930" w:type="dxa"/>
            <w:vMerge/>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1210"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任职日期</w:t>
            </w:r>
          </w:p>
        </w:tc>
        <w:tc>
          <w:tcPr>
            <w:tcW w:w="1309"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离任日期</w:t>
            </w:r>
          </w:p>
        </w:tc>
        <w:tc>
          <w:tcPr>
            <w:tcW w:w="1254"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3276"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r>
      <w:tr w:rsidR="00794A76">
        <w:tc>
          <w:tcPr>
            <w:tcW w:w="952" w:type="dxa"/>
            <w:vAlign w:val="center"/>
          </w:tcPr>
          <w:p w:rsidR="00794A76" w:rsidRDefault="003B2589">
            <w:pPr>
              <w:jc w:val="center"/>
            </w:pPr>
            <w:r>
              <w:rPr>
                <w:rFonts w:eastAsiaTheme="minorEastAsia"/>
                <w:color w:val="000000"/>
                <w:sz w:val="24"/>
              </w:rPr>
              <w:t>蔡铮</w:t>
            </w:r>
          </w:p>
        </w:tc>
        <w:tc>
          <w:tcPr>
            <w:tcW w:w="930" w:type="dxa"/>
            <w:vAlign w:val="center"/>
          </w:tcPr>
          <w:p w:rsidR="00794A76" w:rsidRDefault="003B2589">
            <w:pPr>
              <w:jc w:val="center"/>
            </w:pPr>
            <w:r>
              <w:rPr>
                <w:rFonts w:eastAsiaTheme="minorEastAsia"/>
                <w:color w:val="000000"/>
                <w:sz w:val="24"/>
              </w:rPr>
              <w:t>交银环球精选混合</w:t>
            </w:r>
            <w:r>
              <w:rPr>
                <w:rFonts w:eastAsiaTheme="minorEastAsia"/>
                <w:color w:val="000000"/>
                <w:sz w:val="24"/>
              </w:rPr>
              <w:t>(QDII)</w:t>
            </w:r>
            <w:r>
              <w:rPr>
                <w:rFonts w:eastAsiaTheme="minorEastAsia"/>
                <w:color w:val="000000"/>
                <w:sz w:val="24"/>
              </w:rPr>
              <w:t>、交银上证</w:t>
            </w:r>
            <w:r>
              <w:rPr>
                <w:rFonts w:eastAsiaTheme="minorEastAsia"/>
                <w:color w:val="000000"/>
                <w:sz w:val="24"/>
              </w:rPr>
              <w:t>180</w:t>
            </w:r>
            <w:r>
              <w:rPr>
                <w:rFonts w:eastAsiaTheme="minorEastAsia"/>
                <w:color w:val="000000"/>
                <w:sz w:val="24"/>
              </w:rPr>
              <w:t>公司治理</w:t>
            </w:r>
            <w:r>
              <w:rPr>
                <w:rFonts w:eastAsiaTheme="minorEastAsia"/>
                <w:color w:val="000000"/>
                <w:sz w:val="24"/>
              </w:rPr>
              <w:t>ETF</w:t>
            </w:r>
            <w:r>
              <w:rPr>
                <w:rFonts w:eastAsiaTheme="minorEastAsia"/>
                <w:color w:val="000000"/>
                <w:sz w:val="24"/>
              </w:rPr>
              <w:t>及其联接、交银深证</w:t>
            </w:r>
            <w:r>
              <w:rPr>
                <w:rFonts w:eastAsiaTheme="minorEastAsia"/>
                <w:color w:val="000000"/>
                <w:sz w:val="24"/>
              </w:rPr>
              <w:t>300</w:t>
            </w:r>
            <w:r>
              <w:rPr>
                <w:rFonts w:eastAsiaTheme="minorEastAsia"/>
                <w:color w:val="000000"/>
                <w:sz w:val="24"/>
              </w:rPr>
              <w:t>价值</w:t>
            </w:r>
            <w:r>
              <w:rPr>
                <w:rFonts w:eastAsiaTheme="minorEastAsia"/>
                <w:color w:val="000000"/>
                <w:sz w:val="24"/>
              </w:rPr>
              <w:t>ETF</w:t>
            </w:r>
            <w:r>
              <w:rPr>
                <w:rFonts w:eastAsiaTheme="minorEastAsia"/>
                <w:color w:val="000000"/>
                <w:sz w:val="24"/>
              </w:rPr>
              <w:t>及其联接、交银全球资源混合</w:t>
            </w:r>
            <w:r>
              <w:rPr>
                <w:rFonts w:eastAsiaTheme="minorEastAsia"/>
                <w:color w:val="000000"/>
                <w:sz w:val="24"/>
              </w:rPr>
              <w:t>(QDII)</w:t>
            </w:r>
            <w:r>
              <w:rPr>
                <w:rFonts w:eastAsiaTheme="minorEastAsia"/>
                <w:color w:val="000000"/>
                <w:sz w:val="24"/>
              </w:rPr>
              <w:t>、交银国证新能源指数分级、交银中证海外中国互联网指数（</w:t>
            </w:r>
            <w:r>
              <w:rPr>
                <w:rFonts w:eastAsiaTheme="minorEastAsia"/>
                <w:color w:val="000000"/>
                <w:sz w:val="24"/>
              </w:rPr>
              <w:t>QDII-LOF)</w:t>
            </w:r>
            <w:r>
              <w:rPr>
                <w:rFonts w:eastAsiaTheme="minorEastAsia"/>
                <w:color w:val="000000"/>
                <w:sz w:val="24"/>
              </w:rPr>
              <w:t>、交银中证互联网金融指数分级、交银中证环境治理指数分级的基金经理，公司量化投资部助理总经理</w:t>
            </w:r>
          </w:p>
        </w:tc>
        <w:tc>
          <w:tcPr>
            <w:tcW w:w="1210" w:type="dxa"/>
            <w:vAlign w:val="center"/>
          </w:tcPr>
          <w:p w:rsidR="00794A76" w:rsidRDefault="003B2589">
            <w:pPr>
              <w:jc w:val="center"/>
            </w:pPr>
            <w:r>
              <w:rPr>
                <w:rFonts w:eastAsiaTheme="minorEastAsia"/>
                <w:color w:val="000000"/>
                <w:sz w:val="24"/>
              </w:rPr>
              <w:t>2015-03-26</w:t>
            </w:r>
          </w:p>
        </w:tc>
        <w:tc>
          <w:tcPr>
            <w:tcW w:w="1309" w:type="dxa"/>
            <w:vAlign w:val="center"/>
          </w:tcPr>
          <w:p w:rsidR="00794A76" w:rsidRDefault="003B2589">
            <w:pPr>
              <w:jc w:val="center"/>
            </w:pPr>
            <w:r>
              <w:rPr>
                <w:rFonts w:eastAsiaTheme="minorEastAsia"/>
                <w:color w:val="000000"/>
                <w:sz w:val="24"/>
              </w:rPr>
              <w:t>-</w:t>
            </w:r>
          </w:p>
        </w:tc>
        <w:tc>
          <w:tcPr>
            <w:tcW w:w="1254" w:type="dxa"/>
            <w:vAlign w:val="center"/>
          </w:tcPr>
          <w:p w:rsidR="00794A76" w:rsidRDefault="003B2589">
            <w:pPr>
              <w:jc w:val="center"/>
            </w:pPr>
            <w:r>
              <w:rPr>
                <w:rFonts w:eastAsiaTheme="minorEastAsia"/>
                <w:color w:val="000000"/>
                <w:sz w:val="24"/>
              </w:rPr>
              <w:t>7</w:t>
            </w:r>
            <w:r>
              <w:rPr>
                <w:rFonts w:eastAsiaTheme="minorEastAsia"/>
                <w:color w:val="000000"/>
                <w:sz w:val="24"/>
              </w:rPr>
              <w:t>年</w:t>
            </w:r>
          </w:p>
        </w:tc>
        <w:tc>
          <w:tcPr>
            <w:tcW w:w="3276" w:type="dxa"/>
            <w:vAlign w:val="center"/>
          </w:tcPr>
          <w:p w:rsidR="00794A76" w:rsidRDefault="003B2589">
            <w:r>
              <w:rPr>
                <w:rFonts w:eastAsiaTheme="minorEastAsia"/>
                <w:color w:val="000000"/>
                <w:sz w:val="24"/>
              </w:rPr>
              <w:t>蔡铮先生，复旦大学电子工程硕士。历任瑞士银行香港分行分析员。</w:t>
            </w:r>
            <w:r>
              <w:rPr>
                <w:rFonts w:eastAsiaTheme="minorEastAsia"/>
                <w:color w:val="000000"/>
                <w:sz w:val="24"/>
              </w:rPr>
              <w:t>2009</w:t>
            </w:r>
            <w:r>
              <w:rPr>
                <w:rFonts w:eastAsiaTheme="minorEastAsia"/>
                <w:color w:val="000000"/>
                <w:sz w:val="24"/>
              </w:rPr>
              <w:t>年加入交银施罗德基金管理有限公司，历任投资研究部数量分析师、基金经理助理。</w:t>
            </w:r>
            <w:r>
              <w:rPr>
                <w:rFonts w:eastAsiaTheme="minorEastAsia"/>
                <w:color w:val="000000"/>
                <w:sz w:val="24"/>
              </w:rPr>
              <w:t>2012</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27</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30</w:t>
            </w:r>
            <w:r>
              <w:rPr>
                <w:rFonts w:eastAsiaTheme="minorEastAsia"/>
                <w:color w:val="000000"/>
                <w:sz w:val="24"/>
              </w:rPr>
              <w:t>日担任交银施罗德沪深</w:t>
            </w:r>
            <w:r>
              <w:rPr>
                <w:rFonts w:eastAsiaTheme="minorEastAsia"/>
                <w:color w:val="000000"/>
                <w:sz w:val="24"/>
              </w:rPr>
              <w:t>300</w:t>
            </w:r>
            <w:r>
              <w:rPr>
                <w:rFonts w:eastAsiaTheme="minorEastAsia"/>
                <w:color w:val="000000"/>
                <w:sz w:val="24"/>
              </w:rPr>
              <w:t>行业分层等权重指数证券投资基金基金经理。</w:t>
            </w:r>
          </w:p>
        </w:tc>
      </w:tr>
    </w:tbl>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注：基金经理（或基金经理小组）期后变动（如有）敬请关注基金管理人发布的相关公告。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4.2</w:t>
      </w:r>
      <w:r w:rsidR="00BA4BD3" w:rsidRPr="005E324A">
        <w:rPr>
          <w:rFonts w:eastAsiaTheme="minorEastAsia"/>
          <w:b/>
          <w:bCs/>
          <w:color w:val="000000"/>
          <w:sz w:val="24"/>
        </w:rPr>
        <w:t>管理人对报告期内本基金运作遵规守信情况的说明</w:t>
      </w:r>
    </w:p>
    <w:p w:rsidR="00794A76" w:rsidRDefault="003B2589">
      <w:pPr>
        <w:spacing w:line="360" w:lineRule="auto"/>
        <w:ind w:firstLineChars="200" w:firstLine="480"/>
        <w:rPr>
          <w:rFonts w:eastAsiaTheme="minorEastAsia"/>
          <w:color w:val="000000"/>
          <w:kern w:val="0"/>
          <w:sz w:val="24"/>
        </w:rPr>
      </w:pPr>
      <w:r>
        <w:rPr>
          <w:rFonts w:eastAsiaTheme="minorEastAsia"/>
          <w:color w:val="000000"/>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中国证监会于</w:t>
      </w:r>
      <w:r w:rsidRPr="005E324A">
        <w:rPr>
          <w:rFonts w:eastAsiaTheme="minorEastAsia"/>
          <w:color w:val="000000"/>
          <w:kern w:val="0"/>
          <w:sz w:val="24"/>
        </w:rPr>
        <w:t>2015</w:t>
      </w:r>
      <w:r w:rsidRPr="005E324A">
        <w:rPr>
          <w:rFonts w:eastAsiaTheme="minorEastAsia"/>
          <w:color w:val="000000"/>
          <w:kern w:val="0"/>
          <w:sz w:val="24"/>
        </w:rPr>
        <w:t>年对公司进行了</w:t>
      </w:r>
      <w:r w:rsidRPr="005E324A">
        <w:rPr>
          <w:rFonts w:eastAsiaTheme="minorEastAsia"/>
          <w:color w:val="000000"/>
          <w:kern w:val="0"/>
          <w:sz w:val="24"/>
        </w:rPr>
        <w:t>“</w:t>
      </w:r>
      <w:r w:rsidRPr="005E324A">
        <w:rPr>
          <w:rFonts w:eastAsiaTheme="minorEastAsia"/>
          <w:color w:val="000000"/>
          <w:kern w:val="0"/>
          <w:sz w:val="24"/>
        </w:rPr>
        <w:t>两加强两遏制</w:t>
      </w:r>
      <w:r w:rsidRPr="005E324A">
        <w:rPr>
          <w:rFonts w:eastAsiaTheme="minorEastAsia"/>
          <w:color w:val="000000"/>
          <w:kern w:val="0"/>
          <w:sz w:val="24"/>
        </w:rPr>
        <w:t>”</w:t>
      </w:r>
      <w:r w:rsidRPr="005E324A">
        <w:rPr>
          <w:rFonts w:eastAsiaTheme="minorEastAsia"/>
          <w:color w:val="000000"/>
          <w:kern w:val="0"/>
          <w:sz w:val="24"/>
        </w:rPr>
        <w:t>检查，后续并就公司内部控制提出了相应改进意见及采取责令改正的行政监管措施。公司已经完成了相关问题的整改，并已向监管部门上报了专项报告。</w:t>
      </w:r>
    </w:p>
    <w:p w:rsidR="00220542" w:rsidRPr="005E324A" w:rsidRDefault="00220542" w:rsidP="003A4DA3">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4.3 </w:t>
      </w:r>
      <w:r w:rsidRPr="005E324A">
        <w:rPr>
          <w:rFonts w:eastAsiaTheme="minorEastAsia"/>
          <w:b/>
          <w:color w:val="000000"/>
          <w:kern w:val="0"/>
          <w:sz w:val="24"/>
        </w:rPr>
        <w:t>公平交易专项说明</w:t>
      </w:r>
    </w:p>
    <w:p w:rsidR="00EB0BF5" w:rsidRPr="005E324A" w:rsidRDefault="00EB0BF5" w:rsidP="003A4DA3">
      <w:pPr>
        <w:spacing w:line="360" w:lineRule="auto"/>
        <w:rPr>
          <w:rFonts w:eastAsiaTheme="minorEastAsia"/>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sz w:val="24"/>
          </w:rPr>
          <w:t>4.3.1</w:t>
        </w:r>
      </w:smartTag>
      <w:r w:rsidRPr="005E324A">
        <w:rPr>
          <w:rFonts w:eastAsiaTheme="minorEastAsia"/>
          <w:sz w:val="24"/>
        </w:rPr>
        <w:t xml:space="preserve"> </w:t>
      </w:r>
      <w:r w:rsidRPr="005E324A">
        <w:rPr>
          <w:rFonts w:eastAsiaTheme="minorEastAsia"/>
          <w:sz w:val="24"/>
        </w:rPr>
        <w:t>公平交易制度的执行情况</w:t>
      </w:r>
    </w:p>
    <w:p w:rsidR="00794A76" w:rsidRDefault="003B2589">
      <w:pPr>
        <w:spacing w:line="360" w:lineRule="auto"/>
        <w:ind w:firstLineChars="200" w:firstLine="480"/>
        <w:rPr>
          <w:rFonts w:eastAsiaTheme="minorEastAsia"/>
          <w:color w:val="000000"/>
          <w:kern w:val="0"/>
          <w:sz w:val="24"/>
        </w:rPr>
      </w:pPr>
      <w:r>
        <w:rPr>
          <w:rFonts w:eastAsiaTheme="minorEastAsia"/>
          <w:color w:val="000000"/>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94A76" w:rsidRDefault="003B2589">
      <w:pPr>
        <w:spacing w:line="360" w:lineRule="auto"/>
        <w:ind w:firstLineChars="200" w:firstLine="480"/>
        <w:rPr>
          <w:rFonts w:eastAsiaTheme="minorEastAsia"/>
          <w:color w:val="000000"/>
          <w:kern w:val="0"/>
          <w:sz w:val="24"/>
        </w:rPr>
      </w:pPr>
      <w:r>
        <w:rPr>
          <w:rFonts w:eastAsiaTheme="minorEastAsia"/>
          <w:color w:val="000000"/>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kern w:val="0"/>
          <w:sz w:val="24"/>
        </w:rPr>
        <w:t>“</w:t>
      </w:r>
      <w:r>
        <w:rPr>
          <w:rFonts w:eastAsiaTheme="minorEastAsia"/>
          <w:color w:val="000000"/>
          <w:kern w:val="0"/>
          <w:sz w:val="24"/>
        </w:rPr>
        <w:t>时间优先、价格优先、比例分配</w:t>
      </w:r>
      <w:r>
        <w:rPr>
          <w:rFonts w:eastAsiaTheme="minorEastAsia"/>
          <w:color w:val="000000"/>
          <w:kern w:val="0"/>
          <w:sz w:val="24"/>
        </w:rPr>
        <w:t>”</w:t>
      </w:r>
      <w:r>
        <w:rPr>
          <w:rFonts w:eastAsiaTheme="minorEastAsia"/>
          <w:color w:val="000000"/>
          <w:kern w:val="0"/>
          <w:sz w:val="24"/>
        </w:rPr>
        <w:t>的原则，全部通过交易系统进行比例分配；对于非集中竞价交易、以公司名义进行的场外交易，遵循</w:t>
      </w:r>
      <w:r>
        <w:rPr>
          <w:rFonts w:eastAsiaTheme="minorEastAsia"/>
          <w:color w:val="000000"/>
          <w:kern w:val="0"/>
          <w:sz w:val="24"/>
        </w:rPr>
        <w:t>“</w:t>
      </w:r>
      <w:r>
        <w:rPr>
          <w:rFonts w:eastAsiaTheme="minorEastAsia"/>
          <w:color w:val="000000"/>
          <w:kern w:val="0"/>
          <w:sz w:val="24"/>
        </w:rPr>
        <w:t>价格优先、比例分配</w:t>
      </w:r>
      <w:r>
        <w:rPr>
          <w:rFonts w:eastAsiaTheme="minorEastAsia"/>
          <w:color w:val="000000"/>
          <w:kern w:val="0"/>
          <w:sz w:val="24"/>
        </w:rPr>
        <w:t>”</w:t>
      </w:r>
      <w:r>
        <w:rPr>
          <w:rFonts w:eastAsiaTheme="minorEastAsia"/>
          <w:color w:val="000000"/>
          <w:kern w:val="0"/>
          <w:sz w:val="24"/>
        </w:rPr>
        <w:t>的原则按事前独立确定的投资方案对交易结果进行分配。</w:t>
      </w:r>
    </w:p>
    <w:p w:rsidR="00794A76" w:rsidRDefault="003B2589">
      <w:pPr>
        <w:spacing w:line="360" w:lineRule="auto"/>
        <w:ind w:firstLineChars="200" w:firstLine="480"/>
        <w:rPr>
          <w:rFonts w:eastAsiaTheme="minorEastAsia"/>
          <w:color w:val="000000"/>
          <w:kern w:val="0"/>
          <w:sz w:val="24"/>
        </w:rPr>
      </w:pPr>
      <w:r>
        <w:rPr>
          <w:rFonts w:eastAsiaTheme="minorEastAsia"/>
          <w:color w:val="000000"/>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报告期内本公司严格执行公平交易制度，公平对待旗下各投资组合，未发现任何违反公平交易的行为。</w:t>
      </w:r>
    </w:p>
    <w:p w:rsidR="00F924E0" w:rsidRPr="00F924E0" w:rsidRDefault="00F924E0" w:rsidP="003A4DA3">
      <w:pPr>
        <w:spacing w:line="360" w:lineRule="auto"/>
        <w:ind w:firstLineChars="200" w:firstLine="480"/>
        <w:rPr>
          <w:rFonts w:eastAsiaTheme="minorEastAsia"/>
          <w:color w:val="000000"/>
          <w:kern w:val="0"/>
          <w:sz w:val="24"/>
        </w:rPr>
      </w:pPr>
    </w:p>
    <w:p w:rsidR="00EB0BF5" w:rsidRPr="005E324A" w:rsidRDefault="00EB0BF5" w:rsidP="003A4DA3">
      <w:pPr>
        <w:spacing w:line="360" w:lineRule="auto"/>
        <w:rPr>
          <w:rFonts w:eastAsiaTheme="minorEastAsia"/>
          <w:sz w:val="24"/>
        </w:rPr>
      </w:pPr>
      <w:r w:rsidRPr="005E324A">
        <w:rPr>
          <w:rFonts w:eastAsiaTheme="minorEastAsia"/>
          <w:sz w:val="24"/>
        </w:rPr>
        <w:t>4.3.</w:t>
      </w:r>
      <w:r w:rsidR="004542DD" w:rsidRPr="005E324A">
        <w:rPr>
          <w:rFonts w:eastAsiaTheme="minorEastAsia"/>
          <w:sz w:val="24"/>
        </w:rPr>
        <w:t>2</w:t>
      </w:r>
      <w:r w:rsidRPr="005E324A">
        <w:rPr>
          <w:rFonts w:eastAsiaTheme="minorEastAsia"/>
          <w:sz w:val="24"/>
        </w:rPr>
        <w:t xml:space="preserve"> </w:t>
      </w:r>
      <w:r w:rsidRPr="005E324A">
        <w:rPr>
          <w:rFonts w:eastAsiaTheme="minorEastAsia"/>
          <w:sz w:val="24"/>
        </w:rPr>
        <w:t>异常交易行为的专项说明</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本基金于本报告期内未发现异常交易行为。本报告期内，本公司管理的所有投资组合参与的交易所公开竞价同日反向交易成交较少的单边交易量超过该证券当日总成交量</w:t>
      </w:r>
      <w:r w:rsidRPr="005E324A">
        <w:rPr>
          <w:rFonts w:eastAsiaTheme="minorEastAsia"/>
          <w:color w:val="000000"/>
          <w:kern w:val="0"/>
          <w:sz w:val="24"/>
        </w:rPr>
        <w:t>5%</w:t>
      </w:r>
      <w:r w:rsidRPr="005E324A">
        <w:rPr>
          <w:rFonts w:eastAsiaTheme="minorEastAsia"/>
          <w:color w:val="000000"/>
          <w:kern w:val="0"/>
          <w:sz w:val="24"/>
        </w:rPr>
        <w:t>的情况有</w:t>
      </w:r>
      <w:r w:rsidRPr="005E324A">
        <w:rPr>
          <w:rFonts w:eastAsiaTheme="minorEastAsia"/>
          <w:color w:val="000000"/>
          <w:kern w:val="0"/>
          <w:sz w:val="24"/>
        </w:rPr>
        <w:t>1</w:t>
      </w:r>
      <w:r w:rsidRPr="005E324A">
        <w:rPr>
          <w:rFonts w:eastAsiaTheme="minorEastAsia"/>
          <w:color w:val="000000"/>
          <w:kern w:val="0"/>
          <w:sz w:val="24"/>
        </w:rPr>
        <w:t>次，是由于投资组合被动超标的合规调整需要而发生同日反向交易，未发现不公平交易和利益输送的情况。本基金与本公司管理的其他投资组合在不同时间窗下（如日内、</w:t>
      </w:r>
      <w:r w:rsidRPr="005E324A">
        <w:rPr>
          <w:rFonts w:eastAsiaTheme="minorEastAsia"/>
          <w:color w:val="000000"/>
          <w:kern w:val="0"/>
          <w:sz w:val="24"/>
        </w:rPr>
        <w:t>3</w:t>
      </w:r>
      <w:r w:rsidRPr="005E324A">
        <w:rPr>
          <w:rFonts w:eastAsiaTheme="minorEastAsia"/>
          <w:color w:val="000000"/>
          <w:kern w:val="0"/>
          <w:sz w:val="24"/>
        </w:rPr>
        <w:t>日内、</w:t>
      </w:r>
      <w:r w:rsidRPr="005E324A">
        <w:rPr>
          <w:rFonts w:eastAsiaTheme="minorEastAsia"/>
          <w:color w:val="000000"/>
          <w:kern w:val="0"/>
          <w:sz w:val="24"/>
        </w:rPr>
        <w:t>5</w:t>
      </w:r>
      <w:r w:rsidRPr="005E324A">
        <w:rPr>
          <w:rFonts w:eastAsiaTheme="minorEastAsia"/>
          <w:color w:val="000000"/>
          <w:kern w:val="0"/>
          <w:sz w:val="24"/>
        </w:rPr>
        <w:t>日内）同向交易的交易价差未发现异常。</w:t>
      </w:r>
    </w:p>
    <w:p w:rsidR="00220542" w:rsidRPr="005E324A" w:rsidRDefault="00220542" w:rsidP="003A4DA3">
      <w:pPr>
        <w:spacing w:line="360" w:lineRule="auto"/>
        <w:ind w:firstLineChars="200" w:firstLine="480"/>
        <w:rPr>
          <w:rFonts w:eastAsiaTheme="minorEastAsia"/>
          <w:color w:val="000000"/>
          <w:sz w:val="24"/>
        </w:rPr>
      </w:pPr>
    </w:p>
    <w:p w:rsidR="00D33924" w:rsidRPr="005E324A" w:rsidRDefault="00D33924"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4.4 </w:t>
      </w:r>
      <w:r w:rsidRPr="005E324A">
        <w:rPr>
          <w:rFonts w:eastAsiaTheme="minorEastAsia"/>
          <w:b/>
          <w:color w:val="000000"/>
          <w:kern w:val="0"/>
          <w:sz w:val="24"/>
        </w:rPr>
        <w:t>报告期内基金的投资策略和</w:t>
      </w:r>
      <w:r w:rsidR="00EF03C6" w:rsidRPr="005E324A">
        <w:rPr>
          <w:rFonts w:eastAsiaTheme="minorEastAsia"/>
          <w:b/>
          <w:color w:val="000000"/>
          <w:kern w:val="0"/>
          <w:sz w:val="24"/>
        </w:rPr>
        <w:t>运作分析</w:t>
      </w:r>
    </w:p>
    <w:p w:rsidR="00794A76" w:rsidRDefault="003B2589">
      <w:pPr>
        <w:spacing w:line="360" w:lineRule="auto"/>
        <w:ind w:firstLineChars="200" w:firstLine="480"/>
        <w:rPr>
          <w:rFonts w:eastAsiaTheme="minorEastAsia"/>
          <w:color w:val="000000"/>
          <w:kern w:val="0"/>
          <w:sz w:val="24"/>
        </w:rPr>
      </w:pPr>
      <w:r>
        <w:rPr>
          <w:rFonts w:eastAsiaTheme="minorEastAsia"/>
          <w:color w:val="000000"/>
          <w:kern w:val="0"/>
          <w:sz w:val="24"/>
        </w:rPr>
        <w:t>2016</w:t>
      </w:r>
      <w:r>
        <w:rPr>
          <w:rFonts w:eastAsiaTheme="minorEastAsia"/>
          <w:color w:val="000000"/>
          <w:kern w:val="0"/>
          <w:sz w:val="24"/>
        </w:rPr>
        <w:t>年二季度，国内经济面临不确定性风险，经济基本面对资本市场的支持力度较为有限。</w:t>
      </w:r>
      <w:r>
        <w:rPr>
          <w:rFonts w:eastAsiaTheme="minorEastAsia"/>
          <w:color w:val="000000"/>
          <w:kern w:val="0"/>
          <w:sz w:val="24"/>
        </w:rPr>
        <w:t>A</w:t>
      </w:r>
      <w:r>
        <w:rPr>
          <w:rFonts w:eastAsiaTheme="minorEastAsia"/>
          <w:color w:val="000000"/>
          <w:kern w:val="0"/>
          <w:sz w:val="24"/>
        </w:rPr>
        <w:t>股市场呈现出震荡格局，随着美元加息预期的反复、英国脱欧事件以及国内局部流动性和信用违约等宏观风险的释放，整体市场的风险偏好有所修复。作为跟踪国证新能源指数的指数基金，本基金在本报告期内总体呈现出震荡上扬的走势。</w:t>
      </w:r>
    </w:p>
    <w:p w:rsidR="00D33924"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展望</w:t>
      </w:r>
      <w:r w:rsidRPr="005E324A">
        <w:rPr>
          <w:rFonts w:eastAsiaTheme="minorEastAsia"/>
          <w:color w:val="000000"/>
          <w:kern w:val="0"/>
          <w:sz w:val="24"/>
        </w:rPr>
        <w:t>2016</w:t>
      </w:r>
      <w:r w:rsidRPr="005E324A">
        <w:rPr>
          <w:rFonts w:eastAsiaTheme="minorEastAsia"/>
          <w:color w:val="000000"/>
          <w:kern w:val="0"/>
          <w:sz w:val="24"/>
        </w:rPr>
        <w:t>年三季度，国内经济已有所企稳，处于阶段性弱复苏期间，预计将继续维持温和增长的态势。三季度的</w:t>
      </w:r>
      <w:r w:rsidRPr="005E324A">
        <w:rPr>
          <w:rFonts w:eastAsiaTheme="minorEastAsia"/>
          <w:color w:val="000000"/>
          <w:kern w:val="0"/>
          <w:sz w:val="24"/>
        </w:rPr>
        <w:t>A</w:t>
      </w:r>
      <w:r w:rsidRPr="005E324A">
        <w:rPr>
          <w:rFonts w:eastAsiaTheme="minorEastAsia"/>
          <w:color w:val="000000"/>
          <w:kern w:val="0"/>
          <w:sz w:val="24"/>
        </w:rPr>
        <w:t>股市场有望阶段性好转，我们总体维持谨慎但不悲观的看法。</w:t>
      </w:r>
    </w:p>
    <w:p w:rsidR="00414CF1" w:rsidRPr="005E324A" w:rsidRDefault="00414CF1" w:rsidP="003A4DA3">
      <w:pPr>
        <w:spacing w:line="360" w:lineRule="auto"/>
        <w:ind w:firstLineChars="200" w:firstLine="480"/>
        <w:rPr>
          <w:rFonts w:eastAsiaTheme="minorEastAsia"/>
          <w:color w:val="000000"/>
          <w:kern w:val="0"/>
          <w:sz w:val="24"/>
        </w:rPr>
      </w:pPr>
    </w:p>
    <w:p w:rsidR="00D33924" w:rsidRPr="005E324A" w:rsidRDefault="00EF03C6" w:rsidP="003A4DA3">
      <w:pPr>
        <w:spacing w:line="360" w:lineRule="auto"/>
        <w:rPr>
          <w:rFonts w:eastAsiaTheme="minorEastAsia"/>
          <w:b/>
          <w:sz w:val="24"/>
        </w:rPr>
      </w:pPr>
      <w:r w:rsidRPr="005E324A">
        <w:rPr>
          <w:rFonts w:eastAsiaTheme="minorEastAsia"/>
          <w:b/>
          <w:sz w:val="24"/>
        </w:rPr>
        <w:t>4.5</w:t>
      </w:r>
      <w:r w:rsidR="00D33924" w:rsidRPr="005E324A">
        <w:rPr>
          <w:rFonts w:eastAsiaTheme="minorEastAsia"/>
          <w:b/>
          <w:sz w:val="24"/>
        </w:rPr>
        <w:t>报告期内基金的业绩表现</w:t>
      </w:r>
    </w:p>
    <w:p w:rsidR="00D33924"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截至</w:t>
      </w:r>
      <w:r w:rsidRPr="005E324A">
        <w:rPr>
          <w:rFonts w:eastAsiaTheme="minorEastAsia"/>
          <w:color w:val="000000"/>
          <w:kern w:val="0"/>
          <w:sz w:val="24"/>
        </w:rPr>
        <w:t>2016</w:t>
      </w:r>
      <w:r w:rsidRPr="005E324A">
        <w:rPr>
          <w:rFonts w:eastAsiaTheme="minorEastAsia"/>
          <w:color w:val="000000"/>
          <w:kern w:val="0"/>
          <w:sz w:val="24"/>
        </w:rPr>
        <w:t>年</w:t>
      </w:r>
      <w:r w:rsidRPr="005E324A">
        <w:rPr>
          <w:rFonts w:eastAsiaTheme="minorEastAsia"/>
          <w:color w:val="000000"/>
          <w:kern w:val="0"/>
          <w:sz w:val="24"/>
        </w:rPr>
        <w:t>6</w:t>
      </w:r>
      <w:r w:rsidRPr="005E324A">
        <w:rPr>
          <w:rFonts w:eastAsiaTheme="minorEastAsia"/>
          <w:color w:val="000000"/>
          <w:kern w:val="0"/>
          <w:sz w:val="24"/>
        </w:rPr>
        <w:t>月</w:t>
      </w:r>
      <w:r w:rsidRPr="005E324A">
        <w:rPr>
          <w:rFonts w:eastAsiaTheme="minorEastAsia"/>
          <w:color w:val="000000"/>
          <w:kern w:val="0"/>
          <w:sz w:val="24"/>
        </w:rPr>
        <w:t>30</w:t>
      </w:r>
      <w:r w:rsidRPr="005E324A">
        <w:rPr>
          <w:rFonts w:eastAsiaTheme="minorEastAsia"/>
          <w:color w:val="000000"/>
          <w:kern w:val="0"/>
          <w:sz w:val="24"/>
        </w:rPr>
        <w:t>日，本基金份额净值为</w:t>
      </w:r>
      <w:r w:rsidRPr="005E324A">
        <w:rPr>
          <w:rFonts w:eastAsiaTheme="minorEastAsia"/>
          <w:color w:val="000000"/>
          <w:kern w:val="0"/>
          <w:sz w:val="24"/>
        </w:rPr>
        <w:t>0.874</w:t>
      </w:r>
      <w:r w:rsidRPr="005E324A">
        <w:rPr>
          <w:rFonts w:eastAsiaTheme="minorEastAsia"/>
          <w:color w:val="000000"/>
          <w:kern w:val="0"/>
          <w:sz w:val="24"/>
        </w:rPr>
        <w:t>元，本报告期份额净值增长率为</w:t>
      </w:r>
      <w:r w:rsidRPr="005E324A">
        <w:rPr>
          <w:rFonts w:eastAsiaTheme="minorEastAsia"/>
          <w:color w:val="000000"/>
          <w:kern w:val="0"/>
          <w:sz w:val="24"/>
        </w:rPr>
        <w:t>6.72%</w:t>
      </w:r>
      <w:r w:rsidRPr="005E324A">
        <w:rPr>
          <w:rFonts w:eastAsiaTheme="minorEastAsia"/>
          <w:color w:val="000000"/>
          <w:kern w:val="0"/>
          <w:sz w:val="24"/>
        </w:rPr>
        <w:t>，同期业绩比较基准增长率为</w:t>
      </w:r>
      <w:r w:rsidRPr="005E324A">
        <w:rPr>
          <w:rFonts w:eastAsiaTheme="minorEastAsia"/>
          <w:color w:val="000000"/>
          <w:kern w:val="0"/>
          <w:sz w:val="24"/>
        </w:rPr>
        <w:t>6.98%</w:t>
      </w:r>
    </w:p>
    <w:p w:rsidR="008E0E7C" w:rsidRPr="005E324A" w:rsidRDefault="008E0E7C" w:rsidP="003A4DA3">
      <w:pPr>
        <w:spacing w:line="360" w:lineRule="auto"/>
        <w:ind w:firstLineChars="200" w:firstLine="480"/>
        <w:rPr>
          <w:rFonts w:eastAsiaTheme="minorEastAsia"/>
          <w:color w:val="000000"/>
          <w:kern w:val="0"/>
          <w:sz w:val="24"/>
        </w:rPr>
      </w:pPr>
    </w:p>
    <w:p w:rsidR="0063382C" w:rsidRPr="005E324A" w:rsidRDefault="00F821AB" w:rsidP="0063382C">
      <w:pPr>
        <w:spacing w:line="360" w:lineRule="auto"/>
        <w:rPr>
          <w:rFonts w:eastAsiaTheme="minorEastAsia"/>
          <w:color w:val="000000"/>
          <w:sz w:val="24"/>
        </w:rPr>
      </w:pPr>
      <w:r w:rsidRPr="005E324A">
        <w:rPr>
          <w:rFonts w:eastAsiaTheme="minorEastAsia"/>
          <w:b/>
          <w:kern w:val="0"/>
          <w:sz w:val="24"/>
        </w:rPr>
        <w:t>4.6</w:t>
      </w:r>
      <w:r w:rsidR="0063382C" w:rsidRPr="005E324A">
        <w:rPr>
          <w:rFonts w:eastAsiaTheme="minorEastAsia"/>
          <w:b/>
          <w:kern w:val="0"/>
          <w:sz w:val="24"/>
        </w:rPr>
        <w:t>报告期内基金持有人数或基金资产净值预警说明</w:t>
      </w:r>
    </w:p>
    <w:p w:rsidR="0063382C" w:rsidRPr="005E324A" w:rsidRDefault="0063382C" w:rsidP="0063382C">
      <w:pPr>
        <w:spacing w:line="360" w:lineRule="auto"/>
        <w:ind w:firstLineChars="200" w:firstLine="480"/>
        <w:rPr>
          <w:rFonts w:eastAsiaTheme="minorEastAsia"/>
          <w:color w:val="000000"/>
          <w:kern w:val="0"/>
          <w:sz w:val="24"/>
        </w:rPr>
      </w:pPr>
      <w:r w:rsidRPr="005E324A">
        <w:rPr>
          <w:rFonts w:eastAsiaTheme="minorEastAsia"/>
          <w:color w:val="000000" w:themeColor="text1"/>
          <w:kern w:val="0"/>
          <w:sz w:val="24"/>
        </w:rPr>
        <w:t>本基金本报告期内无需预警说明。</w:t>
      </w:r>
    </w:p>
    <w:p w:rsidR="00220542" w:rsidRPr="005E324A" w:rsidRDefault="00220542" w:rsidP="003D6B62">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§5  </w:t>
      </w:r>
      <w:r w:rsidRPr="005E324A">
        <w:rPr>
          <w:rFonts w:eastAsiaTheme="minorEastAsia"/>
          <w:color w:val="000000"/>
          <w:kern w:val="0"/>
          <w:sz w:val="24"/>
          <w:szCs w:val="24"/>
        </w:rPr>
        <w:t>投资组合报告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5.1 </w:t>
      </w:r>
      <w:r w:rsidRPr="005E324A">
        <w:rPr>
          <w:rFonts w:eastAsiaTheme="minorEastAsia"/>
          <w:b/>
          <w:color w:val="000000"/>
          <w:kern w:val="0"/>
          <w:sz w:val="24"/>
        </w:rPr>
        <w:t>报告期末基金资产组合情况</w:t>
      </w:r>
    </w:p>
    <w:tbl>
      <w:tblPr>
        <w:tblStyle w:val="af7"/>
        <w:tblW w:w="8897" w:type="dxa"/>
        <w:jc w:val="center"/>
        <w:tblLayout w:type="fixed"/>
        <w:tblLook w:val="04A0" w:firstRow="1" w:lastRow="0" w:firstColumn="1" w:lastColumn="0" w:noHBand="0" w:noVBand="1"/>
      </w:tblPr>
      <w:tblGrid>
        <w:gridCol w:w="720"/>
        <w:gridCol w:w="3357"/>
        <w:gridCol w:w="2977"/>
        <w:gridCol w:w="1843"/>
      </w:tblGrid>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3357"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项目</w:t>
            </w:r>
          </w:p>
        </w:tc>
        <w:tc>
          <w:tcPr>
            <w:tcW w:w="2977"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金额</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占基金总资产的比例</w:t>
            </w: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1</w:t>
            </w: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权益投资</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1,271,403,218.62</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93.23</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其中：股票</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1,271,403,218.62</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93.23</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2</w:t>
            </w: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固定收益投资</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其中：债券</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DD272F">
            <w:pPr>
              <w:autoSpaceDE w:val="0"/>
              <w:autoSpaceDN w:val="0"/>
              <w:adjustRightInd w:val="0"/>
              <w:spacing w:before="29" w:line="360" w:lineRule="auto"/>
              <w:ind w:left="17"/>
              <w:jc w:val="left"/>
              <w:rPr>
                <w:rFonts w:eastAsiaTheme="minorEastAsia"/>
                <w:color w:val="000000"/>
                <w:sz w:val="24"/>
              </w:rPr>
            </w:pPr>
            <w:r w:rsidRPr="005E324A">
              <w:rPr>
                <w:rFonts w:eastAsiaTheme="minorEastAsia"/>
                <w:color w:val="000000"/>
                <w:sz w:val="24"/>
              </w:rPr>
              <w:t>资产支持证券</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3</w:t>
            </w:r>
          </w:p>
        </w:tc>
        <w:tc>
          <w:tcPr>
            <w:tcW w:w="3357" w:type="dxa"/>
          </w:tcPr>
          <w:p w:rsidR="00804533" w:rsidRPr="005E324A" w:rsidRDefault="00804533" w:rsidP="00E210DA">
            <w:pPr>
              <w:autoSpaceDE w:val="0"/>
              <w:autoSpaceDN w:val="0"/>
              <w:adjustRightInd w:val="0"/>
              <w:spacing w:before="29" w:line="360" w:lineRule="auto"/>
              <w:ind w:left="17"/>
              <w:jc w:val="left"/>
              <w:rPr>
                <w:rFonts w:eastAsiaTheme="minorEastAsia"/>
                <w:color w:val="000000"/>
                <w:sz w:val="24"/>
              </w:rPr>
            </w:pPr>
            <w:r w:rsidRPr="005E324A">
              <w:rPr>
                <w:rFonts w:eastAsiaTheme="minorEastAsia"/>
                <w:color w:val="000000"/>
                <w:sz w:val="24"/>
              </w:rPr>
              <w:t>贵金属投资</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4</w:t>
            </w:r>
          </w:p>
        </w:tc>
        <w:tc>
          <w:tcPr>
            <w:tcW w:w="3357" w:type="dxa"/>
            <w:vAlign w:val="center"/>
          </w:tcPr>
          <w:p w:rsidR="00804533" w:rsidRPr="005E324A" w:rsidRDefault="00804533" w:rsidP="00DD272F">
            <w:pPr>
              <w:spacing w:before="29" w:line="360" w:lineRule="auto"/>
              <w:ind w:left="17"/>
              <w:jc w:val="left"/>
              <w:rPr>
                <w:rFonts w:eastAsiaTheme="minorEastAsia"/>
                <w:color w:val="000000"/>
                <w:sz w:val="24"/>
              </w:rPr>
            </w:pPr>
            <w:r w:rsidRPr="005E324A">
              <w:rPr>
                <w:rFonts w:eastAsiaTheme="minorEastAsia"/>
                <w:color w:val="000000"/>
                <w:sz w:val="24"/>
              </w:rPr>
              <w:t>金融衍生品投资</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5</w:t>
            </w: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买入返售金融资产</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其中：买断式回购的买入返售金融资产</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6</w:t>
            </w: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银行存款和结算备付金合计</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72,910,361.79</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5.35</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7</w:t>
            </w:r>
          </w:p>
        </w:tc>
        <w:tc>
          <w:tcPr>
            <w:tcW w:w="3357" w:type="dxa"/>
            <w:vAlign w:val="center"/>
          </w:tcPr>
          <w:p w:rsidR="00804533" w:rsidRPr="005E324A" w:rsidRDefault="00804533" w:rsidP="00DD272F">
            <w:pPr>
              <w:jc w:val="left"/>
              <w:rPr>
                <w:rFonts w:eastAsiaTheme="minorEastAsia"/>
                <w:sz w:val="24"/>
              </w:rPr>
            </w:pPr>
            <w:r w:rsidRPr="005E324A">
              <w:rPr>
                <w:rFonts w:eastAsiaTheme="minorEastAsia"/>
                <w:color w:val="000000"/>
                <w:sz w:val="24"/>
              </w:rPr>
              <w:t>其他各项资产</w:t>
            </w:r>
          </w:p>
        </w:tc>
        <w:tc>
          <w:tcPr>
            <w:tcW w:w="2977"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19,373,572.72</w:t>
            </w:r>
          </w:p>
        </w:tc>
        <w:tc>
          <w:tcPr>
            <w:tcW w:w="1843"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1.42</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8</w:t>
            </w:r>
          </w:p>
        </w:tc>
        <w:tc>
          <w:tcPr>
            <w:tcW w:w="3357" w:type="dxa"/>
            <w:vAlign w:val="center"/>
          </w:tcPr>
          <w:p w:rsidR="00804533" w:rsidRPr="005E324A" w:rsidRDefault="00804533" w:rsidP="00DD272F">
            <w:pPr>
              <w:jc w:val="left"/>
              <w:rPr>
                <w:rFonts w:eastAsiaTheme="minorEastAsia"/>
                <w:sz w:val="24"/>
              </w:rPr>
            </w:pPr>
            <w:r w:rsidRPr="005E324A">
              <w:rPr>
                <w:rFonts w:eastAsiaTheme="minorEastAsia"/>
                <w:color w:val="000000"/>
                <w:sz w:val="24"/>
              </w:rPr>
              <w:t>合计</w:t>
            </w:r>
          </w:p>
        </w:tc>
        <w:tc>
          <w:tcPr>
            <w:tcW w:w="2977"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1,363,687,153.13</w:t>
            </w:r>
          </w:p>
        </w:tc>
        <w:tc>
          <w:tcPr>
            <w:tcW w:w="1843"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100.00</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5.2 </w:t>
      </w:r>
      <w:r w:rsidRPr="005E324A">
        <w:rPr>
          <w:rFonts w:eastAsiaTheme="minorEastAsia"/>
          <w:b/>
          <w:color w:val="000000"/>
          <w:kern w:val="0"/>
          <w:sz w:val="24"/>
        </w:rPr>
        <w:t>报告期末按行业分类的股票投资组合</w:t>
      </w:r>
    </w:p>
    <w:p w:rsidR="004318F0" w:rsidRPr="005E324A"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5.2.1</w:t>
        </w:r>
        <w:r w:rsidR="00656A06">
          <w:rPr>
            <w:rFonts w:eastAsiaTheme="minorEastAsia" w:hint="eastAsia"/>
            <w:b/>
            <w:color w:val="000000"/>
            <w:kern w:val="0"/>
            <w:sz w:val="24"/>
          </w:rPr>
          <w:t xml:space="preserve"> </w:t>
        </w:r>
      </w:smartTag>
      <w:r w:rsidRPr="005E324A">
        <w:rPr>
          <w:rFonts w:eastAsiaTheme="minorEastAsia"/>
          <w:b/>
          <w:color w:val="000000"/>
          <w:kern w:val="0"/>
          <w:sz w:val="24"/>
        </w:rPr>
        <w:t>积极投资按行业分类的股票投资组合</w:t>
      </w:r>
    </w:p>
    <w:p w:rsidR="00220542" w:rsidRDefault="007622F6" w:rsidP="0019563C">
      <w:pPr>
        <w:autoSpaceDE w:val="0"/>
        <w:autoSpaceDN w:val="0"/>
        <w:adjustRightInd w:val="0"/>
        <w:spacing w:line="360" w:lineRule="auto"/>
        <w:jc w:val="left"/>
        <w:rPr>
          <w:rFonts w:eastAsiaTheme="minorEastAsia"/>
          <w:color w:val="000000"/>
          <w:sz w:val="24"/>
        </w:rPr>
      </w:pPr>
      <w:bookmarkStart w:id="0" w:name="_GoBack"/>
      <w:bookmarkEnd w:id="0"/>
      <w:r w:rsidRPr="005E324A">
        <w:rPr>
          <w:rFonts w:eastAsiaTheme="minorEastAsia"/>
          <w:color w:val="000000"/>
          <w:sz w:val="24"/>
        </w:rPr>
        <w:t>本基金本报告期末未持有积极投资的股票。</w:t>
      </w:r>
    </w:p>
    <w:p w:rsidR="00F924E0" w:rsidRPr="005E324A" w:rsidRDefault="00F924E0" w:rsidP="0019563C">
      <w:pPr>
        <w:autoSpaceDE w:val="0"/>
        <w:autoSpaceDN w:val="0"/>
        <w:adjustRightInd w:val="0"/>
        <w:spacing w:line="360" w:lineRule="auto"/>
        <w:jc w:val="left"/>
        <w:rPr>
          <w:rFonts w:eastAsiaTheme="minorEastAsia"/>
          <w:color w:val="000000"/>
          <w:sz w:val="24"/>
        </w:rPr>
      </w:pPr>
    </w:p>
    <w:p w:rsidR="004318F0" w:rsidRPr="005E324A"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5.2.2</w:t>
        </w:r>
        <w:r w:rsidR="00656A06">
          <w:rPr>
            <w:rFonts w:eastAsiaTheme="minorEastAsia" w:hint="eastAsia"/>
            <w:b/>
            <w:color w:val="000000"/>
            <w:kern w:val="0"/>
            <w:sz w:val="24"/>
          </w:rPr>
          <w:t xml:space="preserve"> </w:t>
        </w:r>
      </w:smartTag>
      <w:r w:rsidRPr="005E324A">
        <w:rPr>
          <w:rFonts w:eastAsiaTheme="minorEastAsia"/>
          <w:b/>
          <w:color w:val="000000"/>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EA5D6D" w:rsidRPr="005E324A" w:rsidTr="006B5B3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36,273,520.46</w:t>
            </w:r>
          </w:p>
          <w:p w:rsidR="00EA5D6D" w:rsidRPr="005E324A" w:rsidRDefault="00EA5D6D" w:rsidP="00465C86">
            <w:pPr>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2.71</w:t>
            </w:r>
          </w:p>
          <w:p w:rsidR="00EA5D6D" w:rsidRPr="005E324A" w:rsidRDefault="00EA5D6D" w:rsidP="00465C86">
            <w:pPr>
              <w:jc w:val="right"/>
              <w:rPr>
                <w:rFonts w:eastAsiaTheme="minorEastAsia"/>
                <w:sz w:val="24"/>
              </w:rPr>
            </w:pP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3D6B62" w:rsidRDefault="003D6B62" w:rsidP="003D6B62">
            <w:pPr>
              <w:jc w:val="right"/>
              <w:rPr>
                <w:rFonts w:eastAsiaTheme="minorEastAsia"/>
                <w:sz w:val="24"/>
              </w:rPr>
            </w:pPr>
            <w:r w:rsidRPr="003D6B62">
              <w:rPr>
                <w:rFonts w:eastAsiaTheme="minorEastAsia"/>
                <w:sz w:val="24"/>
              </w:rPr>
              <w:t>1,094,283,940.92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3D6B62" w:rsidP="00465C86">
            <w:pPr>
              <w:jc w:val="right"/>
              <w:rPr>
                <w:rFonts w:eastAsiaTheme="minorEastAsia"/>
                <w:sz w:val="24"/>
              </w:rPr>
            </w:pPr>
            <w:r>
              <w:rPr>
                <w:rFonts w:eastAsiaTheme="minorEastAsia"/>
                <w:sz w:val="24"/>
              </w:rPr>
              <w:t>8</w:t>
            </w:r>
            <w:r>
              <w:rPr>
                <w:rFonts w:eastAsiaTheme="minorEastAsia" w:hint="eastAsia"/>
                <w:sz w:val="24"/>
              </w:rPr>
              <w:t>1</w:t>
            </w:r>
            <w:r w:rsidR="00EA5D6D" w:rsidRPr="005E324A">
              <w:rPr>
                <w:rFonts w:eastAsiaTheme="minorEastAsia"/>
                <w:sz w:val="24"/>
              </w:rPr>
              <w:t>.</w:t>
            </w:r>
            <w:r>
              <w:rPr>
                <w:rFonts w:eastAsiaTheme="minorEastAsia" w:hint="eastAsia"/>
                <w:sz w:val="24"/>
              </w:rPr>
              <w:t>67</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67,695,869.13</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5.05</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18,041,056.45</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1.35</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37,030,914.46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2.76</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F924E0">
            <w:pPr>
              <w:adjustRightInd w:val="0"/>
              <w:snapToGrid w:val="0"/>
              <w:spacing w:line="400" w:lineRule="exact"/>
              <w:jc w:val="left"/>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F924E0">
            <w:pPr>
              <w:adjustRightInd w:val="0"/>
              <w:snapToGrid w:val="0"/>
              <w:spacing w:line="400" w:lineRule="exact"/>
              <w:jc w:val="left"/>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F924E0">
            <w:pPr>
              <w:adjustRightInd w:val="0"/>
              <w:snapToGrid w:val="0"/>
              <w:spacing w:line="400" w:lineRule="exact"/>
              <w:jc w:val="left"/>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F924E0">
            <w:pPr>
              <w:adjustRightInd w:val="0"/>
              <w:snapToGrid w:val="0"/>
              <w:spacing w:line="400" w:lineRule="exact"/>
              <w:jc w:val="left"/>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F924E0">
            <w:pPr>
              <w:adjustRightInd w:val="0"/>
              <w:snapToGrid w:val="0"/>
              <w:spacing w:line="400" w:lineRule="exact"/>
              <w:jc w:val="left"/>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F924E0">
            <w:pPr>
              <w:adjustRightInd w:val="0"/>
              <w:snapToGrid w:val="0"/>
              <w:spacing w:line="400" w:lineRule="exact"/>
              <w:jc w:val="left"/>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18,077,917.20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1.35</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F924E0">
            <w:pPr>
              <w:adjustRightInd w:val="0"/>
              <w:snapToGrid w:val="0"/>
              <w:spacing w:line="400" w:lineRule="exact"/>
              <w:jc w:val="left"/>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D926C7" w:rsidP="00F70112">
            <w:pPr>
              <w:jc w:val="right"/>
              <w:rPr>
                <w:rFonts w:eastAsiaTheme="minorEastAsia"/>
                <w:sz w:val="24"/>
              </w:rPr>
            </w:pPr>
            <w:r w:rsidRPr="00D926C7">
              <w:rPr>
                <w:rFonts w:eastAsiaTheme="minorEastAsia"/>
                <w:sz w:val="24"/>
              </w:rPr>
              <w:t>1,271,403,218.62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D926C7" w:rsidP="00465C86">
            <w:pPr>
              <w:jc w:val="right"/>
              <w:rPr>
                <w:rFonts w:eastAsiaTheme="minorEastAsia"/>
                <w:sz w:val="24"/>
              </w:rPr>
            </w:pPr>
            <w:r w:rsidRPr="00D926C7">
              <w:rPr>
                <w:rFonts w:eastAsiaTheme="minorEastAsia"/>
                <w:sz w:val="24"/>
              </w:rPr>
              <w:t>94.88</w:t>
            </w:r>
          </w:p>
        </w:tc>
      </w:tr>
    </w:tbl>
    <w:p w:rsidR="00F924E0" w:rsidRDefault="00F924E0" w:rsidP="007674F7">
      <w:pPr>
        <w:spacing w:before="29" w:line="288" w:lineRule="auto"/>
        <w:rPr>
          <w:b/>
          <w:color w:val="000000"/>
          <w:kern w:val="0"/>
          <w:sz w:val="24"/>
        </w:rPr>
      </w:pPr>
    </w:p>
    <w:p w:rsidR="007674F7" w:rsidRPr="00BC47D5" w:rsidRDefault="007674F7" w:rsidP="007674F7">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报告期末按行业分类的沪港通投资股票投资组合</w:t>
      </w:r>
    </w:p>
    <w:p w:rsidR="004318F0" w:rsidRPr="007674F7" w:rsidRDefault="007674F7" w:rsidP="0019563C">
      <w:pPr>
        <w:autoSpaceDE w:val="0"/>
        <w:autoSpaceDN w:val="0"/>
        <w:adjustRightInd w:val="0"/>
        <w:spacing w:line="360" w:lineRule="auto"/>
        <w:jc w:val="left"/>
        <w:rPr>
          <w:color w:val="000000"/>
          <w:sz w:val="24"/>
        </w:rPr>
      </w:pPr>
      <w:r>
        <w:rPr>
          <w:color w:val="000000"/>
          <w:sz w:val="24"/>
        </w:rPr>
        <w:t>本基金本报告期末未持有通过沪港通投资的股票。</w:t>
      </w:r>
    </w:p>
    <w:p w:rsidR="00F924E0" w:rsidRDefault="00F924E0" w:rsidP="003A4DA3">
      <w:pPr>
        <w:autoSpaceDE w:val="0"/>
        <w:autoSpaceDN w:val="0"/>
        <w:adjustRightInd w:val="0"/>
        <w:spacing w:line="360" w:lineRule="auto"/>
        <w:jc w:val="left"/>
        <w:rPr>
          <w:rFonts w:eastAsiaTheme="minorEastAsia"/>
          <w:b/>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5.3</w:t>
      </w:r>
      <w:r w:rsidR="00656A06">
        <w:rPr>
          <w:rFonts w:eastAsiaTheme="minorEastAsia" w:hint="eastAsia"/>
          <w:b/>
          <w:color w:val="000000"/>
          <w:kern w:val="0"/>
          <w:sz w:val="24"/>
        </w:rPr>
        <w:t xml:space="preserve"> </w:t>
      </w:r>
      <w:r w:rsidR="00EF03C6" w:rsidRPr="005E324A">
        <w:rPr>
          <w:rFonts w:eastAsiaTheme="minorEastAsia"/>
          <w:b/>
          <w:color w:val="000000"/>
          <w:kern w:val="0"/>
          <w:sz w:val="24"/>
        </w:rPr>
        <w:t>报告</w:t>
      </w:r>
      <w:r w:rsidR="006E346E" w:rsidRPr="005E324A">
        <w:rPr>
          <w:rFonts w:eastAsiaTheme="minorEastAsia"/>
          <w:b/>
          <w:color w:val="000000"/>
          <w:kern w:val="0"/>
          <w:sz w:val="24"/>
        </w:rPr>
        <w:t>期末按公允价值占基金资产净值比例大小排序的股票投资明细</w:t>
      </w:r>
    </w:p>
    <w:p w:rsidR="00C22C7D" w:rsidRPr="005E324A" w:rsidRDefault="000625A6" w:rsidP="003A4DA3">
      <w:pPr>
        <w:spacing w:line="360" w:lineRule="auto"/>
        <w:rPr>
          <w:rFonts w:eastAsiaTheme="minorEastAsia"/>
          <w:b/>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5.3.1</w:t>
        </w:r>
        <w:r w:rsidR="00EF03C6" w:rsidRPr="005E324A">
          <w:rPr>
            <w:rFonts w:eastAsiaTheme="minorEastAsia"/>
            <w:b/>
            <w:color w:val="000000"/>
            <w:kern w:val="0"/>
            <w:sz w:val="24"/>
          </w:rPr>
          <w:t>报告</w:t>
        </w:r>
      </w:smartTag>
      <w:r w:rsidR="00C22C7D" w:rsidRPr="005E324A">
        <w:rPr>
          <w:rFonts w:eastAsiaTheme="minorEastAsia"/>
          <w:b/>
          <w:color w:val="000000"/>
          <w:kern w:val="0"/>
          <w:sz w:val="24"/>
        </w:rPr>
        <w:t>期末</w:t>
      </w:r>
      <w:r w:rsidR="00C22C7D" w:rsidRPr="005E324A">
        <w:rPr>
          <w:rFonts w:eastAsiaTheme="minorEastAsia"/>
          <w:b/>
          <w:sz w:val="24"/>
        </w:rPr>
        <w:t>指数投资按公允价值占基金资产净值比例大小排序的前</w:t>
      </w:r>
      <w:r w:rsidR="00AF5585" w:rsidRPr="005E324A">
        <w:rPr>
          <w:rFonts w:eastAsiaTheme="minorEastAsia"/>
          <w:b/>
          <w:sz w:val="24"/>
        </w:rPr>
        <w:t>十</w:t>
      </w:r>
      <w:r w:rsidR="00C22C7D" w:rsidRPr="005E324A">
        <w:rPr>
          <w:rFonts w:eastAsiaTheme="minorEastAsia"/>
          <w:b/>
          <w:sz w:val="24"/>
        </w:rPr>
        <w:t>名股票投资明细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7622F6" w:rsidRPr="005E324A" w:rsidTr="007A6BEA">
        <w:tc>
          <w:tcPr>
            <w:tcW w:w="817"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7622F6" w:rsidRPr="005E324A" w:rsidRDefault="007622F6" w:rsidP="007A6BEA">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794A76">
        <w:tc>
          <w:tcPr>
            <w:tcW w:w="817" w:type="dxa"/>
            <w:vAlign w:val="center"/>
          </w:tcPr>
          <w:p w:rsidR="00794A76" w:rsidRDefault="003B2589">
            <w:pPr>
              <w:jc w:val="center"/>
            </w:pPr>
            <w:r>
              <w:rPr>
                <w:rFonts w:eastAsiaTheme="minorEastAsia"/>
                <w:color w:val="000000"/>
                <w:sz w:val="24"/>
              </w:rPr>
              <w:t>1</w:t>
            </w:r>
          </w:p>
        </w:tc>
        <w:tc>
          <w:tcPr>
            <w:tcW w:w="1276" w:type="dxa"/>
            <w:vAlign w:val="center"/>
          </w:tcPr>
          <w:p w:rsidR="00794A76" w:rsidRDefault="003B2589">
            <w:pPr>
              <w:jc w:val="center"/>
            </w:pPr>
            <w:r>
              <w:rPr>
                <w:rFonts w:eastAsiaTheme="minorEastAsia"/>
                <w:color w:val="000000"/>
                <w:sz w:val="24"/>
              </w:rPr>
              <w:t>002249</w:t>
            </w:r>
          </w:p>
        </w:tc>
        <w:tc>
          <w:tcPr>
            <w:tcW w:w="1701" w:type="dxa"/>
            <w:vAlign w:val="center"/>
          </w:tcPr>
          <w:p w:rsidR="00794A76" w:rsidRDefault="003B2589">
            <w:pPr>
              <w:jc w:val="center"/>
            </w:pPr>
            <w:r>
              <w:rPr>
                <w:rFonts w:eastAsiaTheme="minorEastAsia"/>
                <w:color w:val="000000"/>
                <w:sz w:val="24"/>
              </w:rPr>
              <w:t>大洋电机</w:t>
            </w:r>
          </w:p>
        </w:tc>
        <w:tc>
          <w:tcPr>
            <w:tcW w:w="1276" w:type="dxa"/>
            <w:vAlign w:val="center"/>
          </w:tcPr>
          <w:p w:rsidR="00794A76" w:rsidRDefault="003B2589">
            <w:pPr>
              <w:jc w:val="right"/>
            </w:pPr>
            <w:r>
              <w:rPr>
                <w:rFonts w:eastAsiaTheme="minorEastAsia"/>
                <w:color w:val="000000"/>
                <w:sz w:val="24"/>
              </w:rPr>
              <w:t>1,839,300</w:t>
            </w:r>
          </w:p>
        </w:tc>
        <w:tc>
          <w:tcPr>
            <w:tcW w:w="1842" w:type="dxa"/>
            <w:vAlign w:val="center"/>
          </w:tcPr>
          <w:p w:rsidR="00794A76" w:rsidRDefault="003B2589">
            <w:pPr>
              <w:jc w:val="right"/>
            </w:pPr>
            <w:r>
              <w:rPr>
                <w:rFonts w:eastAsiaTheme="minorEastAsia"/>
                <w:color w:val="000000"/>
                <w:sz w:val="24"/>
              </w:rPr>
              <w:t>22,016,421.00</w:t>
            </w:r>
          </w:p>
        </w:tc>
        <w:tc>
          <w:tcPr>
            <w:tcW w:w="1616" w:type="dxa"/>
            <w:vAlign w:val="center"/>
          </w:tcPr>
          <w:p w:rsidR="00794A76" w:rsidRDefault="003B2589">
            <w:pPr>
              <w:jc w:val="right"/>
            </w:pPr>
            <w:r>
              <w:rPr>
                <w:rFonts w:eastAsiaTheme="minorEastAsia"/>
                <w:color w:val="000000"/>
                <w:sz w:val="24"/>
              </w:rPr>
              <w:t>1.64</w:t>
            </w:r>
          </w:p>
        </w:tc>
      </w:tr>
      <w:tr w:rsidR="00794A76">
        <w:tc>
          <w:tcPr>
            <w:tcW w:w="817" w:type="dxa"/>
            <w:vAlign w:val="center"/>
          </w:tcPr>
          <w:p w:rsidR="00794A76" w:rsidRDefault="003B2589">
            <w:pPr>
              <w:jc w:val="center"/>
            </w:pPr>
            <w:r>
              <w:rPr>
                <w:rFonts w:eastAsiaTheme="minorEastAsia"/>
                <w:color w:val="000000"/>
                <w:sz w:val="24"/>
              </w:rPr>
              <w:t>2</w:t>
            </w:r>
          </w:p>
        </w:tc>
        <w:tc>
          <w:tcPr>
            <w:tcW w:w="1276" w:type="dxa"/>
            <w:vAlign w:val="center"/>
          </w:tcPr>
          <w:p w:rsidR="00794A76" w:rsidRDefault="003B2589">
            <w:pPr>
              <w:jc w:val="center"/>
            </w:pPr>
            <w:r>
              <w:rPr>
                <w:rFonts w:eastAsiaTheme="minorEastAsia"/>
                <w:color w:val="000000"/>
                <w:sz w:val="24"/>
              </w:rPr>
              <w:t>002129</w:t>
            </w:r>
          </w:p>
        </w:tc>
        <w:tc>
          <w:tcPr>
            <w:tcW w:w="1701" w:type="dxa"/>
            <w:vAlign w:val="center"/>
          </w:tcPr>
          <w:p w:rsidR="00794A76" w:rsidRDefault="003B2589">
            <w:pPr>
              <w:jc w:val="center"/>
            </w:pPr>
            <w:r>
              <w:rPr>
                <w:rFonts w:eastAsiaTheme="minorEastAsia"/>
                <w:color w:val="000000"/>
                <w:sz w:val="24"/>
              </w:rPr>
              <w:t>中环股份</w:t>
            </w:r>
          </w:p>
        </w:tc>
        <w:tc>
          <w:tcPr>
            <w:tcW w:w="1276" w:type="dxa"/>
            <w:vAlign w:val="center"/>
          </w:tcPr>
          <w:p w:rsidR="00794A76" w:rsidRDefault="003B2589">
            <w:pPr>
              <w:jc w:val="right"/>
            </w:pPr>
            <w:r>
              <w:rPr>
                <w:rFonts w:eastAsiaTheme="minorEastAsia"/>
                <w:color w:val="000000"/>
                <w:sz w:val="24"/>
              </w:rPr>
              <w:t>2,550,864</w:t>
            </w:r>
          </w:p>
        </w:tc>
        <w:tc>
          <w:tcPr>
            <w:tcW w:w="1842" w:type="dxa"/>
            <w:vAlign w:val="center"/>
          </w:tcPr>
          <w:p w:rsidR="00794A76" w:rsidRDefault="003B2589">
            <w:pPr>
              <w:jc w:val="right"/>
            </w:pPr>
            <w:r>
              <w:rPr>
                <w:rFonts w:eastAsiaTheme="minorEastAsia"/>
                <w:color w:val="000000"/>
                <w:sz w:val="24"/>
              </w:rPr>
              <w:t>21,146,662.56</w:t>
            </w:r>
          </w:p>
        </w:tc>
        <w:tc>
          <w:tcPr>
            <w:tcW w:w="1616" w:type="dxa"/>
            <w:vAlign w:val="center"/>
          </w:tcPr>
          <w:p w:rsidR="00794A76" w:rsidRDefault="003B2589">
            <w:pPr>
              <w:jc w:val="right"/>
            </w:pPr>
            <w:r>
              <w:rPr>
                <w:rFonts w:eastAsiaTheme="minorEastAsia"/>
                <w:color w:val="000000"/>
                <w:sz w:val="24"/>
              </w:rPr>
              <w:t>1.58</w:t>
            </w:r>
          </w:p>
        </w:tc>
      </w:tr>
      <w:tr w:rsidR="00794A76">
        <w:tc>
          <w:tcPr>
            <w:tcW w:w="817" w:type="dxa"/>
            <w:vAlign w:val="center"/>
          </w:tcPr>
          <w:p w:rsidR="00794A76" w:rsidRDefault="003B2589">
            <w:pPr>
              <w:jc w:val="center"/>
            </w:pPr>
            <w:r>
              <w:rPr>
                <w:rFonts w:eastAsiaTheme="minorEastAsia"/>
                <w:color w:val="000000"/>
                <w:sz w:val="24"/>
              </w:rPr>
              <w:t>3</w:t>
            </w:r>
          </w:p>
        </w:tc>
        <w:tc>
          <w:tcPr>
            <w:tcW w:w="1276" w:type="dxa"/>
            <w:vAlign w:val="center"/>
          </w:tcPr>
          <w:p w:rsidR="00794A76" w:rsidRDefault="003B2589">
            <w:pPr>
              <w:jc w:val="center"/>
            </w:pPr>
            <w:r>
              <w:rPr>
                <w:rFonts w:eastAsiaTheme="minorEastAsia"/>
                <w:color w:val="000000"/>
                <w:sz w:val="24"/>
              </w:rPr>
              <w:t>601222</w:t>
            </w:r>
          </w:p>
        </w:tc>
        <w:tc>
          <w:tcPr>
            <w:tcW w:w="1701" w:type="dxa"/>
            <w:vAlign w:val="center"/>
          </w:tcPr>
          <w:p w:rsidR="00794A76" w:rsidRDefault="003B2589">
            <w:pPr>
              <w:jc w:val="center"/>
            </w:pPr>
            <w:r>
              <w:rPr>
                <w:rFonts w:eastAsiaTheme="minorEastAsia"/>
                <w:color w:val="000000"/>
                <w:sz w:val="24"/>
              </w:rPr>
              <w:t>林洋能源</w:t>
            </w:r>
          </w:p>
        </w:tc>
        <w:tc>
          <w:tcPr>
            <w:tcW w:w="1276" w:type="dxa"/>
            <w:vAlign w:val="center"/>
          </w:tcPr>
          <w:p w:rsidR="00794A76" w:rsidRDefault="003B2589">
            <w:pPr>
              <w:jc w:val="right"/>
            </w:pPr>
            <w:r>
              <w:rPr>
                <w:rFonts w:eastAsiaTheme="minorEastAsia"/>
                <w:color w:val="000000"/>
                <w:sz w:val="24"/>
              </w:rPr>
              <w:t>488,696</w:t>
            </w:r>
          </w:p>
        </w:tc>
        <w:tc>
          <w:tcPr>
            <w:tcW w:w="1842" w:type="dxa"/>
            <w:vAlign w:val="center"/>
          </w:tcPr>
          <w:p w:rsidR="00794A76" w:rsidRDefault="003B2589">
            <w:pPr>
              <w:jc w:val="right"/>
            </w:pPr>
            <w:r>
              <w:rPr>
                <w:rFonts w:eastAsiaTheme="minorEastAsia"/>
                <w:color w:val="000000"/>
                <w:sz w:val="24"/>
              </w:rPr>
              <w:t>20,451,927.60</w:t>
            </w:r>
          </w:p>
        </w:tc>
        <w:tc>
          <w:tcPr>
            <w:tcW w:w="1616" w:type="dxa"/>
            <w:vAlign w:val="center"/>
          </w:tcPr>
          <w:p w:rsidR="00794A76" w:rsidRDefault="003B2589">
            <w:pPr>
              <w:jc w:val="right"/>
            </w:pPr>
            <w:r>
              <w:rPr>
                <w:rFonts w:eastAsiaTheme="minorEastAsia"/>
                <w:color w:val="000000"/>
                <w:sz w:val="24"/>
              </w:rPr>
              <w:t>1.53</w:t>
            </w:r>
          </w:p>
        </w:tc>
      </w:tr>
      <w:tr w:rsidR="00794A76">
        <w:tc>
          <w:tcPr>
            <w:tcW w:w="817" w:type="dxa"/>
            <w:vAlign w:val="center"/>
          </w:tcPr>
          <w:p w:rsidR="00794A76" w:rsidRDefault="003B2589">
            <w:pPr>
              <w:jc w:val="center"/>
            </w:pPr>
            <w:r>
              <w:rPr>
                <w:rFonts w:eastAsiaTheme="minorEastAsia"/>
                <w:color w:val="000000"/>
                <w:sz w:val="24"/>
              </w:rPr>
              <w:t>4</w:t>
            </w:r>
          </w:p>
        </w:tc>
        <w:tc>
          <w:tcPr>
            <w:tcW w:w="1276" w:type="dxa"/>
            <w:vAlign w:val="center"/>
          </w:tcPr>
          <w:p w:rsidR="00794A76" w:rsidRDefault="003B2589">
            <w:pPr>
              <w:jc w:val="center"/>
            </w:pPr>
            <w:r>
              <w:rPr>
                <w:rFonts w:eastAsiaTheme="minorEastAsia"/>
                <w:color w:val="000000"/>
                <w:sz w:val="24"/>
              </w:rPr>
              <w:t>300118</w:t>
            </w:r>
          </w:p>
        </w:tc>
        <w:tc>
          <w:tcPr>
            <w:tcW w:w="1701" w:type="dxa"/>
            <w:vAlign w:val="center"/>
          </w:tcPr>
          <w:p w:rsidR="00794A76" w:rsidRDefault="003B2589">
            <w:pPr>
              <w:jc w:val="center"/>
            </w:pPr>
            <w:r>
              <w:rPr>
                <w:rFonts w:eastAsiaTheme="minorEastAsia"/>
                <w:color w:val="000000"/>
                <w:sz w:val="24"/>
              </w:rPr>
              <w:t>东方日升</w:t>
            </w:r>
          </w:p>
        </w:tc>
        <w:tc>
          <w:tcPr>
            <w:tcW w:w="1276" w:type="dxa"/>
            <w:vAlign w:val="center"/>
          </w:tcPr>
          <w:p w:rsidR="00794A76" w:rsidRDefault="003B2589">
            <w:pPr>
              <w:jc w:val="right"/>
            </w:pPr>
            <w:r>
              <w:rPr>
                <w:rFonts w:eastAsiaTheme="minorEastAsia"/>
                <w:color w:val="000000"/>
                <w:sz w:val="24"/>
              </w:rPr>
              <w:t>1,054,767</w:t>
            </w:r>
          </w:p>
        </w:tc>
        <w:tc>
          <w:tcPr>
            <w:tcW w:w="1842" w:type="dxa"/>
            <w:vAlign w:val="center"/>
          </w:tcPr>
          <w:p w:rsidR="00794A76" w:rsidRDefault="003B2589">
            <w:pPr>
              <w:jc w:val="right"/>
            </w:pPr>
            <w:r>
              <w:rPr>
                <w:rFonts w:eastAsiaTheme="minorEastAsia"/>
                <w:color w:val="000000"/>
                <w:sz w:val="24"/>
              </w:rPr>
              <w:t>19,892,905.62</w:t>
            </w:r>
          </w:p>
        </w:tc>
        <w:tc>
          <w:tcPr>
            <w:tcW w:w="1616" w:type="dxa"/>
            <w:vAlign w:val="center"/>
          </w:tcPr>
          <w:p w:rsidR="00794A76" w:rsidRDefault="003B2589">
            <w:pPr>
              <w:jc w:val="right"/>
            </w:pPr>
            <w:r>
              <w:rPr>
                <w:rFonts w:eastAsiaTheme="minorEastAsia"/>
                <w:color w:val="000000"/>
                <w:sz w:val="24"/>
              </w:rPr>
              <w:t>1.48</w:t>
            </w:r>
          </w:p>
        </w:tc>
      </w:tr>
      <w:tr w:rsidR="00794A76">
        <w:tc>
          <w:tcPr>
            <w:tcW w:w="817" w:type="dxa"/>
            <w:vAlign w:val="center"/>
          </w:tcPr>
          <w:p w:rsidR="00794A76" w:rsidRDefault="003B2589">
            <w:pPr>
              <w:jc w:val="center"/>
            </w:pPr>
            <w:r>
              <w:rPr>
                <w:rFonts w:eastAsiaTheme="minorEastAsia"/>
                <w:color w:val="000000"/>
                <w:sz w:val="24"/>
              </w:rPr>
              <w:t>5</w:t>
            </w:r>
          </w:p>
        </w:tc>
        <w:tc>
          <w:tcPr>
            <w:tcW w:w="1276" w:type="dxa"/>
            <w:vAlign w:val="center"/>
          </w:tcPr>
          <w:p w:rsidR="00794A76" w:rsidRDefault="003B2589">
            <w:pPr>
              <w:jc w:val="center"/>
            </w:pPr>
            <w:r>
              <w:rPr>
                <w:rFonts w:eastAsiaTheme="minorEastAsia"/>
                <w:color w:val="000000"/>
                <w:sz w:val="24"/>
              </w:rPr>
              <w:t>600549</w:t>
            </w:r>
          </w:p>
        </w:tc>
        <w:tc>
          <w:tcPr>
            <w:tcW w:w="1701" w:type="dxa"/>
            <w:vAlign w:val="center"/>
          </w:tcPr>
          <w:p w:rsidR="00794A76" w:rsidRDefault="003B2589">
            <w:pPr>
              <w:jc w:val="center"/>
            </w:pPr>
            <w:r>
              <w:rPr>
                <w:rFonts w:eastAsiaTheme="minorEastAsia"/>
                <w:color w:val="000000"/>
                <w:sz w:val="24"/>
              </w:rPr>
              <w:t>厦门钨业</w:t>
            </w:r>
          </w:p>
        </w:tc>
        <w:tc>
          <w:tcPr>
            <w:tcW w:w="1276" w:type="dxa"/>
            <w:vAlign w:val="center"/>
          </w:tcPr>
          <w:p w:rsidR="00794A76" w:rsidRDefault="003B2589">
            <w:pPr>
              <w:jc w:val="right"/>
            </w:pPr>
            <w:r>
              <w:rPr>
                <w:rFonts w:eastAsiaTheme="minorEastAsia"/>
                <w:color w:val="000000"/>
                <w:sz w:val="24"/>
              </w:rPr>
              <w:t>661,638</w:t>
            </w:r>
          </w:p>
        </w:tc>
        <w:tc>
          <w:tcPr>
            <w:tcW w:w="1842" w:type="dxa"/>
            <w:vAlign w:val="center"/>
          </w:tcPr>
          <w:p w:rsidR="00794A76" w:rsidRDefault="003B2589">
            <w:pPr>
              <w:jc w:val="right"/>
            </w:pPr>
            <w:r>
              <w:rPr>
                <w:rFonts w:eastAsiaTheme="minorEastAsia"/>
                <w:color w:val="000000"/>
                <w:sz w:val="24"/>
              </w:rPr>
              <w:t>19,657,264.98</w:t>
            </w:r>
          </w:p>
        </w:tc>
        <w:tc>
          <w:tcPr>
            <w:tcW w:w="1616" w:type="dxa"/>
            <w:vAlign w:val="center"/>
          </w:tcPr>
          <w:p w:rsidR="00794A76" w:rsidRDefault="003B2589">
            <w:pPr>
              <w:jc w:val="right"/>
            </w:pPr>
            <w:r>
              <w:rPr>
                <w:rFonts w:eastAsiaTheme="minorEastAsia"/>
                <w:color w:val="000000"/>
                <w:sz w:val="24"/>
              </w:rPr>
              <w:t>1.47</w:t>
            </w:r>
          </w:p>
        </w:tc>
      </w:tr>
      <w:tr w:rsidR="00794A76">
        <w:tc>
          <w:tcPr>
            <w:tcW w:w="817" w:type="dxa"/>
            <w:vAlign w:val="center"/>
          </w:tcPr>
          <w:p w:rsidR="00794A76" w:rsidRDefault="003B2589">
            <w:pPr>
              <w:jc w:val="center"/>
            </w:pPr>
            <w:r>
              <w:rPr>
                <w:rFonts w:eastAsiaTheme="minorEastAsia"/>
                <w:color w:val="000000"/>
                <w:sz w:val="24"/>
              </w:rPr>
              <w:t>6</w:t>
            </w:r>
          </w:p>
        </w:tc>
        <w:tc>
          <w:tcPr>
            <w:tcW w:w="1276" w:type="dxa"/>
            <w:vAlign w:val="center"/>
          </w:tcPr>
          <w:p w:rsidR="00794A76" w:rsidRDefault="003B2589">
            <w:pPr>
              <w:jc w:val="center"/>
            </w:pPr>
            <w:r>
              <w:rPr>
                <w:rFonts w:eastAsiaTheme="minorEastAsia"/>
                <w:color w:val="000000"/>
                <w:sz w:val="24"/>
              </w:rPr>
              <w:t>601012</w:t>
            </w:r>
          </w:p>
        </w:tc>
        <w:tc>
          <w:tcPr>
            <w:tcW w:w="1701" w:type="dxa"/>
            <w:vAlign w:val="center"/>
          </w:tcPr>
          <w:p w:rsidR="00794A76" w:rsidRDefault="003B2589">
            <w:pPr>
              <w:jc w:val="center"/>
            </w:pPr>
            <w:r>
              <w:rPr>
                <w:rFonts w:eastAsiaTheme="minorEastAsia"/>
                <w:color w:val="000000"/>
                <w:sz w:val="24"/>
              </w:rPr>
              <w:t>隆基股份</w:t>
            </w:r>
          </w:p>
        </w:tc>
        <w:tc>
          <w:tcPr>
            <w:tcW w:w="1276" w:type="dxa"/>
            <w:vAlign w:val="center"/>
          </w:tcPr>
          <w:p w:rsidR="00794A76" w:rsidRDefault="003B2589">
            <w:pPr>
              <w:jc w:val="right"/>
            </w:pPr>
            <w:r>
              <w:rPr>
                <w:rFonts w:eastAsiaTheme="minorEastAsia"/>
                <w:color w:val="000000"/>
                <w:sz w:val="24"/>
              </w:rPr>
              <w:t>1,469,998</w:t>
            </w:r>
          </w:p>
        </w:tc>
        <w:tc>
          <w:tcPr>
            <w:tcW w:w="1842" w:type="dxa"/>
            <w:vAlign w:val="center"/>
          </w:tcPr>
          <w:p w:rsidR="00794A76" w:rsidRDefault="003B2589">
            <w:pPr>
              <w:jc w:val="right"/>
            </w:pPr>
            <w:r>
              <w:rPr>
                <w:rFonts w:eastAsiaTheme="minorEastAsia"/>
                <w:color w:val="000000"/>
                <w:sz w:val="24"/>
              </w:rPr>
              <w:t>19,183,473.90</w:t>
            </w:r>
          </w:p>
        </w:tc>
        <w:tc>
          <w:tcPr>
            <w:tcW w:w="1616" w:type="dxa"/>
            <w:vAlign w:val="center"/>
          </w:tcPr>
          <w:p w:rsidR="00794A76" w:rsidRDefault="003B2589">
            <w:pPr>
              <w:jc w:val="right"/>
            </w:pPr>
            <w:r>
              <w:rPr>
                <w:rFonts w:eastAsiaTheme="minorEastAsia"/>
                <w:color w:val="000000"/>
                <w:sz w:val="24"/>
              </w:rPr>
              <w:t>1.43</w:t>
            </w:r>
          </w:p>
        </w:tc>
      </w:tr>
      <w:tr w:rsidR="00794A76">
        <w:tc>
          <w:tcPr>
            <w:tcW w:w="817" w:type="dxa"/>
            <w:vAlign w:val="center"/>
          </w:tcPr>
          <w:p w:rsidR="00794A76" w:rsidRDefault="003B2589">
            <w:pPr>
              <w:jc w:val="center"/>
            </w:pPr>
            <w:r>
              <w:rPr>
                <w:rFonts w:eastAsiaTheme="minorEastAsia"/>
                <w:color w:val="000000"/>
                <w:sz w:val="24"/>
              </w:rPr>
              <w:t>7</w:t>
            </w:r>
          </w:p>
        </w:tc>
        <w:tc>
          <w:tcPr>
            <w:tcW w:w="1276" w:type="dxa"/>
            <w:vAlign w:val="center"/>
          </w:tcPr>
          <w:p w:rsidR="00794A76" w:rsidRDefault="003B2589">
            <w:pPr>
              <w:jc w:val="center"/>
            </w:pPr>
            <w:r>
              <w:rPr>
                <w:rFonts w:eastAsiaTheme="minorEastAsia"/>
                <w:color w:val="000000"/>
                <w:sz w:val="24"/>
              </w:rPr>
              <w:t>000839</w:t>
            </w:r>
          </w:p>
        </w:tc>
        <w:tc>
          <w:tcPr>
            <w:tcW w:w="1701" w:type="dxa"/>
            <w:vAlign w:val="center"/>
          </w:tcPr>
          <w:p w:rsidR="00794A76" w:rsidRDefault="003B2589">
            <w:pPr>
              <w:jc w:val="center"/>
            </w:pPr>
            <w:r>
              <w:rPr>
                <w:rFonts w:eastAsiaTheme="minorEastAsia"/>
                <w:color w:val="000000"/>
                <w:sz w:val="24"/>
              </w:rPr>
              <w:t>中信国安</w:t>
            </w:r>
          </w:p>
        </w:tc>
        <w:tc>
          <w:tcPr>
            <w:tcW w:w="1276" w:type="dxa"/>
            <w:vAlign w:val="center"/>
          </w:tcPr>
          <w:p w:rsidR="00794A76" w:rsidRDefault="003B2589">
            <w:pPr>
              <w:jc w:val="right"/>
            </w:pPr>
            <w:r>
              <w:rPr>
                <w:rFonts w:eastAsiaTheme="minorEastAsia"/>
                <w:color w:val="000000"/>
                <w:sz w:val="24"/>
              </w:rPr>
              <w:t>895,773</w:t>
            </w:r>
          </w:p>
        </w:tc>
        <w:tc>
          <w:tcPr>
            <w:tcW w:w="1842" w:type="dxa"/>
            <w:vAlign w:val="center"/>
          </w:tcPr>
          <w:p w:rsidR="00794A76" w:rsidRDefault="003B2589">
            <w:pPr>
              <w:jc w:val="right"/>
            </w:pPr>
            <w:r>
              <w:rPr>
                <w:rFonts w:eastAsiaTheme="minorEastAsia"/>
                <w:color w:val="000000"/>
                <w:sz w:val="24"/>
              </w:rPr>
              <w:t>19,088,922.63</w:t>
            </w:r>
          </w:p>
        </w:tc>
        <w:tc>
          <w:tcPr>
            <w:tcW w:w="1616" w:type="dxa"/>
            <w:vAlign w:val="center"/>
          </w:tcPr>
          <w:p w:rsidR="00794A76" w:rsidRDefault="003B2589">
            <w:pPr>
              <w:jc w:val="right"/>
            </w:pPr>
            <w:r>
              <w:rPr>
                <w:rFonts w:eastAsiaTheme="minorEastAsia"/>
                <w:color w:val="000000"/>
                <w:sz w:val="24"/>
              </w:rPr>
              <w:t>1.42</w:t>
            </w:r>
          </w:p>
        </w:tc>
      </w:tr>
      <w:tr w:rsidR="00794A76">
        <w:tc>
          <w:tcPr>
            <w:tcW w:w="817" w:type="dxa"/>
            <w:vAlign w:val="center"/>
          </w:tcPr>
          <w:p w:rsidR="00794A76" w:rsidRDefault="003B2589">
            <w:pPr>
              <w:jc w:val="center"/>
            </w:pPr>
            <w:r>
              <w:rPr>
                <w:rFonts w:eastAsiaTheme="minorEastAsia"/>
                <w:color w:val="000000"/>
                <w:sz w:val="24"/>
              </w:rPr>
              <w:t>8</w:t>
            </w:r>
          </w:p>
        </w:tc>
        <w:tc>
          <w:tcPr>
            <w:tcW w:w="1276" w:type="dxa"/>
            <w:vAlign w:val="center"/>
          </w:tcPr>
          <w:p w:rsidR="00794A76" w:rsidRDefault="003B2589">
            <w:pPr>
              <w:jc w:val="center"/>
            </w:pPr>
            <w:r>
              <w:rPr>
                <w:rFonts w:eastAsiaTheme="minorEastAsia"/>
                <w:color w:val="000000"/>
                <w:sz w:val="24"/>
              </w:rPr>
              <w:t>600416</w:t>
            </w:r>
          </w:p>
        </w:tc>
        <w:tc>
          <w:tcPr>
            <w:tcW w:w="1701" w:type="dxa"/>
            <w:vAlign w:val="center"/>
          </w:tcPr>
          <w:p w:rsidR="00794A76" w:rsidRDefault="003B2589">
            <w:pPr>
              <w:jc w:val="center"/>
            </w:pPr>
            <w:r>
              <w:rPr>
                <w:rFonts w:eastAsiaTheme="minorEastAsia"/>
                <w:color w:val="000000"/>
                <w:sz w:val="24"/>
              </w:rPr>
              <w:t>湘电股份</w:t>
            </w:r>
          </w:p>
        </w:tc>
        <w:tc>
          <w:tcPr>
            <w:tcW w:w="1276" w:type="dxa"/>
            <w:vAlign w:val="center"/>
          </w:tcPr>
          <w:p w:rsidR="00794A76" w:rsidRDefault="003B2589">
            <w:pPr>
              <w:jc w:val="right"/>
            </w:pPr>
            <w:r>
              <w:rPr>
                <w:rFonts w:eastAsiaTheme="minorEastAsia"/>
                <w:color w:val="000000"/>
                <w:sz w:val="24"/>
              </w:rPr>
              <w:t>1,528,790</w:t>
            </w:r>
          </w:p>
        </w:tc>
        <w:tc>
          <w:tcPr>
            <w:tcW w:w="1842" w:type="dxa"/>
            <w:vAlign w:val="center"/>
          </w:tcPr>
          <w:p w:rsidR="00794A76" w:rsidRDefault="003B2589">
            <w:pPr>
              <w:jc w:val="right"/>
            </w:pPr>
            <w:r>
              <w:rPr>
                <w:rFonts w:eastAsiaTheme="minorEastAsia"/>
                <w:color w:val="000000"/>
                <w:sz w:val="24"/>
              </w:rPr>
              <w:t>19,064,011.30</w:t>
            </w:r>
          </w:p>
        </w:tc>
        <w:tc>
          <w:tcPr>
            <w:tcW w:w="1616" w:type="dxa"/>
            <w:vAlign w:val="center"/>
          </w:tcPr>
          <w:p w:rsidR="00794A76" w:rsidRDefault="003B2589">
            <w:pPr>
              <w:jc w:val="right"/>
            </w:pPr>
            <w:r>
              <w:rPr>
                <w:rFonts w:eastAsiaTheme="minorEastAsia"/>
                <w:color w:val="000000"/>
                <w:sz w:val="24"/>
              </w:rPr>
              <w:t>1.42</w:t>
            </w:r>
          </w:p>
        </w:tc>
      </w:tr>
      <w:tr w:rsidR="00794A76">
        <w:tc>
          <w:tcPr>
            <w:tcW w:w="817" w:type="dxa"/>
            <w:vAlign w:val="center"/>
          </w:tcPr>
          <w:p w:rsidR="00794A76" w:rsidRDefault="003B2589">
            <w:pPr>
              <w:jc w:val="center"/>
            </w:pPr>
            <w:r>
              <w:rPr>
                <w:rFonts w:eastAsiaTheme="minorEastAsia"/>
                <w:color w:val="000000"/>
                <w:sz w:val="24"/>
              </w:rPr>
              <w:t>9</w:t>
            </w:r>
          </w:p>
        </w:tc>
        <w:tc>
          <w:tcPr>
            <w:tcW w:w="1276" w:type="dxa"/>
            <w:vAlign w:val="center"/>
          </w:tcPr>
          <w:p w:rsidR="00794A76" w:rsidRDefault="003B2589">
            <w:pPr>
              <w:jc w:val="center"/>
            </w:pPr>
            <w:r>
              <w:rPr>
                <w:rFonts w:eastAsiaTheme="minorEastAsia"/>
                <w:color w:val="000000"/>
                <w:sz w:val="24"/>
              </w:rPr>
              <w:t>000777</w:t>
            </w:r>
          </w:p>
        </w:tc>
        <w:tc>
          <w:tcPr>
            <w:tcW w:w="1701" w:type="dxa"/>
            <w:vAlign w:val="center"/>
          </w:tcPr>
          <w:p w:rsidR="00794A76" w:rsidRDefault="003B2589">
            <w:pPr>
              <w:jc w:val="center"/>
            </w:pPr>
            <w:r>
              <w:rPr>
                <w:rFonts w:eastAsiaTheme="minorEastAsia"/>
                <w:color w:val="000000"/>
                <w:sz w:val="24"/>
              </w:rPr>
              <w:t>中核科技</w:t>
            </w:r>
          </w:p>
        </w:tc>
        <w:tc>
          <w:tcPr>
            <w:tcW w:w="1276" w:type="dxa"/>
            <w:vAlign w:val="center"/>
          </w:tcPr>
          <w:p w:rsidR="00794A76" w:rsidRDefault="003B2589">
            <w:pPr>
              <w:jc w:val="right"/>
            </w:pPr>
            <w:r>
              <w:rPr>
                <w:rFonts w:eastAsiaTheme="minorEastAsia"/>
                <w:color w:val="000000"/>
                <w:sz w:val="24"/>
              </w:rPr>
              <w:t>793,289</w:t>
            </w:r>
          </w:p>
        </w:tc>
        <w:tc>
          <w:tcPr>
            <w:tcW w:w="1842" w:type="dxa"/>
            <w:vAlign w:val="center"/>
          </w:tcPr>
          <w:p w:rsidR="00794A76" w:rsidRDefault="003B2589">
            <w:pPr>
              <w:jc w:val="right"/>
            </w:pPr>
            <w:r>
              <w:rPr>
                <w:rFonts w:eastAsiaTheme="minorEastAsia"/>
                <w:color w:val="000000"/>
                <w:sz w:val="24"/>
              </w:rPr>
              <w:t>18,689,888.84</w:t>
            </w:r>
          </w:p>
        </w:tc>
        <w:tc>
          <w:tcPr>
            <w:tcW w:w="1616" w:type="dxa"/>
            <w:vAlign w:val="center"/>
          </w:tcPr>
          <w:p w:rsidR="00794A76" w:rsidRDefault="003B2589">
            <w:pPr>
              <w:jc w:val="right"/>
            </w:pPr>
            <w:r>
              <w:rPr>
                <w:rFonts w:eastAsiaTheme="minorEastAsia"/>
                <w:color w:val="000000"/>
                <w:sz w:val="24"/>
              </w:rPr>
              <w:t>1.39</w:t>
            </w:r>
          </w:p>
        </w:tc>
      </w:tr>
      <w:tr w:rsidR="00794A76">
        <w:tc>
          <w:tcPr>
            <w:tcW w:w="817" w:type="dxa"/>
            <w:vAlign w:val="center"/>
          </w:tcPr>
          <w:p w:rsidR="00794A76" w:rsidRDefault="003B2589">
            <w:pPr>
              <w:jc w:val="center"/>
            </w:pPr>
            <w:r>
              <w:rPr>
                <w:rFonts w:eastAsiaTheme="minorEastAsia"/>
                <w:color w:val="000000"/>
                <w:sz w:val="24"/>
              </w:rPr>
              <w:t>10</w:t>
            </w:r>
          </w:p>
        </w:tc>
        <w:tc>
          <w:tcPr>
            <w:tcW w:w="1276" w:type="dxa"/>
            <w:vAlign w:val="center"/>
          </w:tcPr>
          <w:p w:rsidR="00794A76" w:rsidRDefault="003B2589">
            <w:pPr>
              <w:jc w:val="center"/>
            </w:pPr>
            <w:r>
              <w:rPr>
                <w:rFonts w:eastAsiaTheme="minorEastAsia"/>
                <w:color w:val="000000"/>
                <w:sz w:val="24"/>
              </w:rPr>
              <w:t>002130</w:t>
            </w:r>
          </w:p>
        </w:tc>
        <w:tc>
          <w:tcPr>
            <w:tcW w:w="1701" w:type="dxa"/>
            <w:vAlign w:val="center"/>
          </w:tcPr>
          <w:p w:rsidR="00794A76" w:rsidRDefault="003B2589">
            <w:pPr>
              <w:jc w:val="center"/>
            </w:pPr>
            <w:r>
              <w:rPr>
                <w:rFonts w:eastAsiaTheme="minorEastAsia"/>
                <w:color w:val="000000"/>
                <w:sz w:val="24"/>
              </w:rPr>
              <w:t>沃尔核材</w:t>
            </w:r>
          </w:p>
        </w:tc>
        <w:tc>
          <w:tcPr>
            <w:tcW w:w="1276" w:type="dxa"/>
            <w:vAlign w:val="center"/>
          </w:tcPr>
          <w:p w:rsidR="00794A76" w:rsidRDefault="003B2589">
            <w:pPr>
              <w:jc w:val="right"/>
            </w:pPr>
            <w:r>
              <w:rPr>
                <w:rFonts w:eastAsiaTheme="minorEastAsia"/>
                <w:color w:val="000000"/>
                <w:sz w:val="24"/>
              </w:rPr>
              <w:t>1,161,038</w:t>
            </w:r>
          </w:p>
        </w:tc>
        <w:tc>
          <w:tcPr>
            <w:tcW w:w="1842" w:type="dxa"/>
            <w:vAlign w:val="center"/>
          </w:tcPr>
          <w:p w:rsidR="00794A76" w:rsidRDefault="003B2589">
            <w:pPr>
              <w:jc w:val="right"/>
            </w:pPr>
            <w:r>
              <w:rPr>
                <w:rFonts w:eastAsiaTheme="minorEastAsia"/>
                <w:color w:val="000000"/>
                <w:sz w:val="24"/>
              </w:rPr>
              <w:t>18,669,491.04</w:t>
            </w:r>
          </w:p>
        </w:tc>
        <w:tc>
          <w:tcPr>
            <w:tcW w:w="1616" w:type="dxa"/>
            <w:vAlign w:val="center"/>
          </w:tcPr>
          <w:p w:rsidR="00794A76" w:rsidRDefault="003B2589">
            <w:pPr>
              <w:jc w:val="right"/>
            </w:pPr>
            <w:r>
              <w:rPr>
                <w:rFonts w:eastAsiaTheme="minorEastAsia"/>
                <w:color w:val="000000"/>
                <w:sz w:val="24"/>
              </w:rPr>
              <w:t>1.39</w:t>
            </w:r>
          </w:p>
        </w:tc>
      </w:tr>
    </w:tbl>
    <w:p w:rsidR="006F20EC" w:rsidRPr="005E324A" w:rsidRDefault="006F20EC" w:rsidP="006B10DA">
      <w:pPr>
        <w:autoSpaceDE w:val="0"/>
        <w:autoSpaceDN w:val="0"/>
        <w:adjustRightInd w:val="0"/>
        <w:spacing w:line="360" w:lineRule="auto"/>
        <w:jc w:val="left"/>
        <w:rPr>
          <w:rFonts w:eastAsiaTheme="minorEastAsia"/>
          <w:color w:val="000000"/>
          <w:sz w:val="24"/>
        </w:rPr>
      </w:pPr>
    </w:p>
    <w:p w:rsidR="000625A6" w:rsidRPr="005E324A" w:rsidRDefault="000625A6" w:rsidP="003A4DA3">
      <w:pPr>
        <w:spacing w:line="360" w:lineRule="auto"/>
        <w:rPr>
          <w:rFonts w:eastAsiaTheme="minorEastAsia"/>
          <w:b/>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5.3.2</w:t>
        </w:r>
        <w:r w:rsidR="002E45F3" w:rsidRPr="005E324A">
          <w:rPr>
            <w:rFonts w:eastAsiaTheme="minorEastAsia"/>
            <w:b/>
            <w:color w:val="000000"/>
            <w:kern w:val="0"/>
            <w:sz w:val="24"/>
          </w:rPr>
          <w:t>报告</w:t>
        </w:r>
      </w:smartTag>
      <w:r w:rsidR="005D44E4" w:rsidRPr="005E324A">
        <w:rPr>
          <w:rFonts w:eastAsiaTheme="minorEastAsia"/>
          <w:b/>
          <w:color w:val="000000"/>
          <w:kern w:val="0"/>
          <w:sz w:val="24"/>
        </w:rPr>
        <w:t>期末</w:t>
      </w:r>
      <w:r w:rsidR="005D44E4" w:rsidRPr="005E324A">
        <w:rPr>
          <w:rFonts w:eastAsiaTheme="minorEastAsia"/>
          <w:b/>
          <w:sz w:val="24"/>
        </w:rPr>
        <w:t>积极</w:t>
      </w:r>
      <w:r w:rsidRPr="005E324A">
        <w:rPr>
          <w:rFonts w:eastAsiaTheme="minorEastAsia"/>
          <w:b/>
          <w:sz w:val="24"/>
        </w:rPr>
        <w:t>投资按公允价值占基金资产净值比例大小排序的前五名股票投资明细</w:t>
      </w:r>
    </w:p>
    <w:p w:rsidR="0066704D" w:rsidRPr="005E324A" w:rsidRDefault="007622F6"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本基金本报告期末未持有积极投资的股票。</w:t>
      </w:r>
    </w:p>
    <w:p w:rsidR="000625A6" w:rsidRPr="005E324A" w:rsidRDefault="000625A6" w:rsidP="0019563C">
      <w:pPr>
        <w:autoSpaceDE w:val="0"/>
        <w:autoSpaceDN w:val="0"/>
        <w:adjustRightInd w:val="0"/>
        <w:spacing w:line="360" w:lineRule="auto"/>
        <w:jc w:val="left"/>
        <w:rPr>
          <w:rFonts w:eastAsiaTheme="minorEastAsia"/>
          <w:color w:val="00000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5.4 </w:t>
      </w:r>
      <w:r w:rsidRPr="005E324A">
        <w:rPr>
          <w:rFonts w:eastAsiaTheme="minorEastAsia"/>
          <w:b/>
          <w:color w:val="000000"/>
          <w:kern w:val="0"/>
          <w:sz w:val="24"/>
        </w:rPr>
        <w:t>报告期末按债券品种分类的债券投资组合</w:t>
      </w:r>
    </w:p>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5.5 </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的前五名债券投资明细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5.6</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的前十名资产支持证券投资明细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本基金本报告期末未持有资产支持证券。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1C123E" w:rsidRPr="005E324A" w:rsidRDefault="001C123E" w:rsidP="001C123E">
      <w:pPr>
        <w:autoSpaceDE w:val="0"/>
        <w:autoSpaceDN w:val="0"/>
        <w:adjustRightInd w:val="0"/>
        <w:spacing w:line="360" w:lineRule="auto"/>
        <w:jc w:val="left"/>
        <w:rPr>
          <w:rFonts w:eastAsiaTheme="minorEastAsia"/>
          <w:b/>
          <w:bCs/>
          <w:color w:val="000000"/>
          <w:kern w:val="0"/>
          <w:sz w:val="24"/>
        </w:rPr>
      </w:pPr>
      <w:r w:rsidRPr="005E324A">
        <w:rPr>
          <w:rFonts w:eastAsiaTheme="minorEastAsia"/>
          <w:b/>
          <w:bCs/>
          <w:color w:val="000000"/>
          <w:kern w:val="0"/>
          <w:sz w:val="24"/>
        </w:rPr>
        <w:t xml:space="preserve">5.7 </w:t>
      </w:r>
      <w:r w:rsidRPr="005E324A">
        <w:rPr>
          <w:rFonts w:eastAsiaTheme="minorEastAsia"/>
          <w:b/>
          <w:bCs/>
          <w:color w:val="000000"/>
          <w:kern w:val="0"/>
          <w:sz w:val="24"/>
        </w:rPr>
        <w:t>报告期末按公允价值占基金资产净值比例大小排序的前五名贵金属投资明细</w:t>
      </w:r>
    </w:p>
    <w:p w:rsidR="001C123E" w:rsidRPr="00D87506" w:rsidRDefault="001C123E" w:rsidP="00D87506">
      <w:pPr>
        <w:autoSpaceDE w:val="0"/>
        <w:autoSpaceDN w:val="0"/>
        <w:adjustRightInd w:val="0"/>
        <w:spacing w:line="360" w:lineRule="auto"/>
        <w:jc w:val="left"/>
        <w:rPr>
          <w:rFonts w:eastAsiaTheme="minorEastAsia"/>
          <w:color w:val="000000"/>
          <w:sz w:val="24"/>
        </w:rPr>
      </w:pPr>
      <w:r w:rsidRPr="00D87506">
        <w:rPr>
          <w:rFonts w:eastAsiaTheme="minorEastAsia"/>
          <w:color w:val="000000"/>
          <w:sz w:val="24"/>
        </w:rPr>
        <w:t>本基金本报告期末未持有贵金属。</w:t>
      </w:r>
    </w:p>
    <w:p w:rsidR="001C123E" w:rsidRPr="005E324A" w:rsidRDefault="001C123E" w:rsidP="0019563C">
      <w:pPr>
        <w:autoSpaceDE w:val="0"/>
        <w:autoSpaceDN w:val="0"/>
        <w:adjustRightInd w:val="0"/>
        <w:spacing w:line="360" w:lineRule="auto"/>
        <w:jc w:val="left"/>
        <w:rPr>
          <w:rFonts w:eastAsiaTheme="minorEastAsia"/>
          <w:color w:val="000000"/>
          <w:kern w:val="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5.8</w:t>
      </w:r>
      <w:r w:rsidR="00656A06">
        <w:rPr>
          <w:rFonts w:eastAsiaTheme="minorEastAsia" w:hint="eastAsia"/>
          <w:b/>
          <w:bCs/>
          <w:color w:val="000000"/>
          <w:kern w:val="0"/>
          <w:sz w:val="24"/>
        </w:rPr>
        <w:t xml:space="preserve"> </w:t>
      </w:r>
      <w:r w:rsidR="00D43EDF" w:rsidRPr="005E324A">
        <w:rPr>
          <w:rFonts w:eastAsiaTheme="minorEastAsia"/>
          <w:b/>
          <w:bCs/>
          <w:color w:val="000000"/>
          <w:sz w:val="24"/>
        </w:rPr>
        <w:t>报告期末按公允价值占基金资产净值比例大小排序</w:t>
      </w:r>
      <w:r w:rsidR="00220542" w:rsidRPr="005E324A">
        <w:rPr>
          <w:rFonts w:eastAsiaTheme="minorEastAsia"/>
          <w:b/>
          <w:bCs/>
          <w:color w:val="000000"/>
          <w:sz w:val="24"/>
        </w:rPr>
        <w:t>的前五名权证投资明细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本基金本报告期末未持有权证。</w:t>
      </w:r>
    </w:p>
    <w:p w:rsidR="00695296" w:rsidRPr="005E324A" w:rsidRDefault="00695296" w:rsidP="0019563C">
      <w:pPr>
        <w:autoSpaceDE w:val="0"/>
        <w:autoSpaceDN w:val="0"/>
        <w:adjustRightInd w:val="0"/>
        <w:spacing w:line="360" w:lineRule="auto"/>
        <w:jc w:val="left"/>
        <w:rPr>
          <w:rFonts w:eastAsiaTheme="minorEastAsia"/>
          <w:color w:val="000000"/>
          <w:kern w:val="0"/>
          <w:sz w:val="24"/>
        </w:rPr>
      </w:pPr>
    </w:p>
    <w:p w:rsidR="00E57068" w:rsidRPr="005E324A" w:rsidRDefault="001C123E" w:rsidP="00E57068">
      <w:pPr>
        <w:adjustRightInd w:val="0"/>
        <w:snapToGrid w:val="0"/>
        <w:spacing w:line="360" w:lineRule="auto"/>
        <w:rPr>
          <w:rFonts w:eastAsiaTheme="minorEastAsia"/>
          <w:b/>
          <w:sz w:val="24"/>
        </w:rPr>
      </w:pPr>
      <w:r w:rsidRPr="005E324A">
        <w:rPr>
          <w:rFonts w:eastAsiaTheme="minorEastAsia"/>
          <w:b/>
          <w:bCs/>
          <w:color w:val="000000"/>
          <w:kern w:val="0"/>
          <w:sz w:val="24"/>
        </w:rPr>
        <w:t>5.9</w:t>
      </w:r>
      <w:r w:rsidR="00E57068" w:rsidRPr="005E324A">
        <w:rPr>
          <w:rFonts w:eastAsiaTheme="minorEastAsia"/>
          <w:b/>
          <w:sz w:val="24"/>
        </w:rPr>
        <w:t xml:space="preserve"> </w:t>
      </w:r>
      <w:r w:rsidR="00E57068" w:rsidRPr="005E324A">
        <w:rPr>
          <w:rFonts w:eastAsiaTheme="minorEastAsia"/>
          <w:b/>
          <w:sz w:val="24"/>
        </w:rPr>
        <w:t>报告期末本基金投资的股指期货交易情况说明</w:t>
      </w:r>
    </w:p>
    <w:p w:rsidR="00E57068" w:rsidRPr="005E324A" w:rsidRDefault="00E57068" w:rsidP="00E57068">
      <w:pPr>
        <w:autoSpaceDE w:val="0"/>
        <w:autoSpaceDN w:val="0"/>
        <w:adjustRightInd w:val="0"/>
        <w:spacing w:line="360" w:lineRule="auto"/>
        <w:jc w:val="left"/>
        <w:rPr>
          <w:rFonts w:eastAsiaTheme="minorEastAsia"/>
          <w:sz w:val="24"/>
        </w:rPr>
      </w:pPr>
      <w:r w:rsidRPr="005E324A">
        <w:rPr>
          <w:rFonts w:eastAsiaTheme="minorEastAsia"/>
          <w:sz w:val="24"/>
        </w:rPr>
        <w:t>本基金本报告期末未持有股指期货。</w:t>
      </w:r>
    </w:p>
    <w:p w:rsidR="00E57068" w:rsidRPr="005E324A" w:rsidRDefault="00E57068" w:rsidP="0019563C">
      <w:pPr>
        <w:autoSpaceDE w:val="0"/>
        <w:autoSpaceDN w:val="0"/>
        <w:adjustRightInd w:val="0"/>
        <w:spacing w:line="360" w:lineRule="auto"/>
        <w:jc w:val="left"/>
        <w:rPr>
          <w:rFonts w:eastAsiaTheme="minorEastAsia"/>
          <w:color w:val="000000"/>
          <w:kern w:val="0"/>
          <w:sz w:val="24"/>
        </w:rPr>
      </w:pPr>
    </w:p>
    <w:p w:rsidR="005E0C14" w:rsidRPr="005E324A" w:rsidRDefault="00E31EC2" w:rsidP="00576862">
      <w:pPr>
        <w:adjustRightInd w:val="0"/>
        <w:snapToGrid w:val="0"/>
        <w:spacing w:line="360" w:lineRule="auto"/>
        <w:rPr>
          <w:rFonts w:eastAsiaTheme="minorEastAsia"/>
          <w:b/>
          <w:sz w:val="24"/>
        </w:rPr>
      </w:pPr>
      <w:r w:rsidRPr="005E324A">
        <w:rPr>
          <w:rFonts w:eastAsiaTheme="minorEastAsia"/>
          <w:b/>
          <w:sz w:val="24"/>
        </w:rPr>
        <w:t>5</w:t>
      </w:r>
      <w:r w:rsidR="005E0C14" w:rsidRPr="005E324A">
        <w:rPr>
          <w:rFonts w:eastAsiaTheme="minorEastAsia"/>
          <w:b/>
          <w:sz w:val="24"/>
        </w:rPr>
        <w:t>.</w:t>
      </w:r>
      <w:r w:rsidRPr="005E324A">
        <w:rPr>
          <w:rFonts w:eastAsiaTheme="minorEastAsia"/>
          <w:b/>
          <w:sz w:val="24"/>
        </w:rPr>
        <w:t>10</w:t>
      </w:r>
      <w:r w:rsidR="005E0C14" w:rsidRPr="005E324A">
        <w:rPr>
          <w:rFonts w:eastAsiaTheme="minorEastAsia"/>
          <w:b/>
          <w:sz w:val="24"/>
        </w:rPr>
        <w:t>报告期末本基金投资的国债期货交易情况说明</w:t>
      </w:r>
    </w:p>
    <w:p w:rsidR="005E0C14" w:rsidRDefault="005E0C14"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本基金本报告期末未持有国债期货。</w:t>
      </w:r>
    </w:p>
    <w:p w:rsidR="00C97391" w:rsidRPr="00C97391" w:rsidRDefault="00C97391" w:rsidP="006B10DA">
      <w:pPr>
        <w:autoSpaceDE w:val="0"/>
        <w:autoSpaceDN w:val="0"/>
        <w:adjustRightInd w:val="0"/>
        <w:spacing w:line="360" w:lineRule="auto"/>
        <w:jc w:val="left"/>
        <w:rPr>
          <w:rFonts w:eastAsiaTheme="minorEastAsia"/>
          <w:color w:val="00000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w:t>
      </w:r>
      <w:r w:rsidR="001F218E" w:rsidRPr="005E324A">
        <w:rPr>
          <w:rFonts w:eastAsiaTheme="minorEastAsia"/>
          <w:b/>
          <w:color w:val="000000"/>
          <w:kern w:val="0"/>
          <w:sz w:val="24"/>
        </w:rPr>
        <w:t>.</w:t>
      </w:r>
      <w:r w:rsidRPr="005E324A">
        <w:rPr>
          <w:rFonts w:eastAsiaTheme="minorEastAsia"/>
          <w:b/>
          <w:color w:val="000000"/>
          <w:kern w:val="0"/>
          <w:sz w:val="24"/>
        </w:rPr>
        <w:t>11</w:t>
      </w:r>
      <w:r w:rsidR="00220542" w:rsidRPr="005E324A">
        <w:rPr>
          <w:rFonts w:eastAsiaTheme="minorEastAsia"/>
          <w:b/>
          <w:color w:val="000000"/>
          <w:kern w:val="0"/>
          <w:sz w:val="24"/>
        </w:rPr>
        <w:t xml:space="preserve"> </w:t>
      </w:r>
      <w:r w:rsidR="00220542" w:rsidRPr="005E324A">
        <w:rPr>
          <w:rFonts w:eastAsiaTheme="minorEastAsia"/>
          <w:b/>
          <w:color w:val="000000"/>
          <w:kern w:val="0"/>
          <w:sz w:val="24"/>
        </w:rPr>
        <w:t>投资组合报告附注</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5.11.1</w:t>
      </w:r>
      <w:r w:rsidR="007A6BEA" w:rsidRPr="005E324A">
        <w:rPr>
          <w:rFonts w:eastAsiaTheme="minorEastAsia"/>
          <w:color w:val="000000"/>
          <w:kern w:val="0"/>
          <w:sz w:val="24"/>
        </w:rPr>
        <w:t>报告期内本基金投资的前十名证券的发行主体未被监管部门立案调查，在本报告编制日前一年内本基金投资的前十名证券的发行主体未受到公开谴责和处罚。</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5.11.2</w:t>
      </w:r>
      <w:r w:rsidR="007A6BEA" w:rsidRPr="005E324A">
        <w:rPr>
          <w:rFonts w:eastAsiaTheme="minorEastAsia"/>
          <w:color w:val="000000"/>
          <w:kern w:val="0"/>
          <w:sz w:val="24"/>
        </w:rPr>
        <w:t>本基金投资的前十名股票中，没有超出基金合同规定的备选股票库之外的股票。</w:t>
      </w: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5.11.3</w:t>
      </w:r>
      <w:r w:rsidR="00656A06">
        <w:rPr>
          <w:rFonts w:eastAsiaTheme="minorEastAsia" w:hint="eastAsia"/>
          <w:b/>
          <w:bCs/>
          <w:color w:val="000000"/>
          <w:kern w:val="0"/>
          <w:sz w:val="24"/>
        </w:rPr>
        <w:t xml:space="preserve"> </w:t>
      </w:r>
      <w:r w:rsidR="00220542" w:rsidRPr="005E324A">
        <w:rPr>
          <w:rFonts w:eastAsiaTheme="minorEastAsia"/>
          <w:b/>
          <w:color w:val="000000"/>
          <w:kern w:val="0"/>
          <w:sz w:val="24"/>
        </w:rPr>
        <w:t>其他</w:t>
      </w:r>
      <w:r w:rsidR="00AD25F6" w:rsidRPr="005E324A">
        <w:rPr>
          <w:rFonts w:eastAsiaTheme="minorEastAsia"/>
          <w:b/>
          <w:color w:val="000000"/>
          <w:kern w:val="0"/>
          <w:sz w:val="24"/>
        </w:rPr>
        <w:t>各项</w:t>
      </w:r>
      <w:r w:rsidR="00220542" w:rsidRPr="005E324A">
        <w:rPr>
          <w:rFonts w:eastAsiaTheme="minorEastAsia"/>
          <w:b/>
          <w:color w:val="000000"/>
          <w:kern w:val="0"/>
          <w:sz w:val="24"/>
        </w:rPr>
        <w:t>资产构成</w:t>
      </w:r>
    </w:p>
    <w:tbl>
      <w:tblPr>
        <w:tblStyle w:val="af7"/>
        <w:tblW w:w="0" w:type="auto"/>
        <w:tblLayout w:type="fixed"/>
        <w:tblLook w:val="04A0" w:firstRow="1" w:lastRow="0" w:firstColumn="1" w:lastColumn="0" w:noHBand="0" w:noVBand="1"/>
      </w:tblPr>
      <w:tblGrid>
        <w:gridCol w:w="959"/>
        <w:gridCol w:w="2761"/>
        <w:gridCol w:w="4808"/>
      </w:tblGrid>
      <w:tr w:rsidR="00F46DF9" w:rsidRPr="005E324A" w:rsidTr="00691D14">
        <w:tc>
          <w:tcPr>
            <w:tcW w:w="959"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序号</w:t>
            </w:r>
          </w:p>
        </w:tc>
        <w:tc>
          <w:tcPr>
            <w:tcW w:w="2761"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名称</w:t>
            </w:r>
          </w:p>
        </w:tc>
        <w:tc>
          <w:tcPr>
            <w:tcW w:w="4808"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金额（元）</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kern w:val="0"/>
                <w:sz w:val="24"/>
              </w:rPr>
            </w:pPr>
            <w:r w:rsidRPr="005E324A">
              <w:rPr>
                <w:rFonts w:eastAsiaTheme="minorEastAsia"/>
                <w:color w:val="000000"/>
                <w:sz w:val="24"/>
              </w:rPr>
              <w:t>1</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存出保证金</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574,314.84</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2</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应收证券清算款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18,495,728.70</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3</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应收股利</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4</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应收利息</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16,054.02</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5</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应收申购款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287,475.16</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6</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其他应收款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465C86">
        <w:tc>
          <w:tcPr>
            <w:tcW w:w="959" w:type="dxa"/>
          </w:tcPr>
          <w:p w:rsidR="00952F4F" w:rsidRPr="005E324A" w:rsidRDefault="00952F4F" w:rsidP="00952F4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7</w:t>
            </w:r>
          </w:p>
        </w:tc>
        <w:tc>
          <w:tcPr>
            <w:tcW w:w="2761" w:type="dxa"/>
          </w:tcPr>
          <w:p w:rsidR="00952F4F" w:rsidRPr="005E324A" w:rsidRDefault="00952F4F" w:rsidP="00952F4F">
            <w:pPr>
              <w:autoSpaceDE w:val="0"/>
              <w:autoSpaceDN w:val="0"/>
              <w:adjustRightInd w:val="0"/>
              <w:spacing w:before="29" w:line="360" w:lineRule="auto"/>
              <w:ind w:leftChars="50" w:left="105"/>
              <w:rPr>
                <w:rFonts w:eastAsiaTheme="minorEastAsia"/>
                <w:color w:val="000000"/>
                <w:sz w:val="24"/>
              </w:rPr>
            </w:pPr>
            <w:r w:rsidRPr="005E324A">
              <w:rPr>
                <w:rFonts w:eastAsiaTheme="minorEastAsia"/>
                <w:color w:val="000000"/>
                <w:sz w:val="24"/>
              </w:rPr>
              <w:t>待摊费用</w:t>
            </w:r>
          </w:p>
        </w:tc>
        <w:tc>
          <w:tcPr>
            <w:tcW w:w="4808" w:type="dxa"/>
            <w:vAlign w:val="center"/>
          </w:tcPr>
          <w:p w:rsidR="00952F4F" w:rsidRPr="005E324A" w:rsidRDefault="00952F4F" w:rsidP="00952F4F">
            <w:pPr>
              <w:autoSpaceDE w:val="0"/>
              <w:autoSpaceDN w:val="0"/>
              <w:adjustRightInd w:val="0"/>
              <w:spacing w:before="29" w:line="360" w:lineRule="auto"/>
              <w:ind w:left="15"/>
              <w:jc w:val="right"/>
              <w:rPr>
                <w:rFonts w:eastAsiaTheme="minorEastAsia"/>
                <w:color w:val="000000"/>
                <w:sz w:val="24"/>
              </w:rPr>
            </w:pPr>
            <w:r w:rsidRPr="005E324A">
              <w:rPr>
                <w:rFonts w:eastAsiaTheme="minorEastAsia"/>
                <w:color w:val="00000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8</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9</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合计</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19,373,572.72</w:t>
            </w:r>
          </w:p>
        </w:tc>
      </w:tr>
    </w:tbl>
    <w:p w:rsidR="00F924E0" w:rsidRDefault="00F924E0" w:rsidP="00576862">
      <w:pPr>
        <w:autoSpaceDE w:val="0"/>
        <w:autoSpaceDN w:val="0"/>
        <w:adjustRightInd w:val="0"/>
        <w:spacing w:line="360" w:lineRule="auto"/>
        <w:jc w:val="left"/>
        <w:rPr>
          <w:rFonts w:eastAsiaTheme="minorEastAsia"/>
          <w:b/>
          <w:bCs/>
          <w:color w:val="000000"/>
          <w:kern w:val="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5.11.4</w:t>
      </w:r>
      <w:r w:rsidR="00774535">
        <w:rPr>
          <w:rFonts w:eastAsiaTheme="minorEastAsia" w:hint="eastAsia"/>
          <w:b/>
          <w:bCs/>
          <w:color w:val="000000"/>
          <w:kern w:val="0"/>
          <w:sz w:val="24"/>
        </w:rPr>
        <w:t xml:space="preserve"> </w:t>
      </w:r>
      <w:r w:rsidR="00220542" w:rsidRPr="005E324A">
        <w:rPr>
          <w:rFonts w:eastAsiaTheme="minorEastAsia"/>
          <w:b/>
          <w:color w:val="000000"/>
          <w:kern w:val="0"/>
          <w:sz w:val="24"/>
        </w:rPr>
        <w:t>报告期末持有的处于转股期的可转换债券明细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本基金本报告期末未持有处于转股期的可转换债券。</w:t>
      </w:r>
    </w:p>
    <w:p w:rsidR="00F924E0" w:rsidRDefault="00F924E0" w:rsidP="00576862">
      <w:pPr>
        <w:spacing w:line="360" w:lineRule="auto"/>
        <w:rPr>
          <w:rFonts w:eastAsiaTheme="minorEastAsia"/>
          <w:b/>
          <w:bCs/>
          <w:color w:val="000000"/>
          <w:kern w:val="0"/>
          <w:sz w:val="24"/>
        </w:rPr>
      </w:pP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w:t>
      </w:r>
      <w:r w:rsidR="00774535">
        <w:rPr>
          <w:rFonts w:eastAsiaTheme="minorEastAsia" w:hint="eastAsia"/>
          <w:b/>
          <w:bCs/>
          <w:color w:val="000000"/>
          <w:kern w:val="0"/>
          <w:sz w:val="24"/>
        </w:rPr>
        <w:t xml:space="preserve"> </w:t>
      </w:r>
      <w:r w:rsidR="00EE53E7" w:rsidRPr="005E324A">
        <w:rPr>
          <w:rFonts w:eastAsiaTheme="minorEastAsia"/>
          <w:b/>
          <w:bCs/>
          <w:color w:val="000000"/>
          <w:kern w:val="0"/>
          <w:sz w:val="24"/>
        </w:rPr>
        <w:t>报告</w:t>
      </w:r>
      <w:r w:rsidR="00EE53E7" w:rsidRPr="005E324A">
        <w:rPr>
          <w:rFonts w:eastAsiaTheme="minorEastAsia"/>
          <w:b/>
          <w:sz w:val="24"/>
        </w:rPr>
        <w:t>期末投资的</w:t>
      </w:r>
      <w:r w:rsidR="00055190" w:rsidRPr="005E324A">
        <w:rPr>
          <w:rFonts w:eastAsiaTheme="minorEastAsia"/>
          <w:b/>
          <w:sz w:val="24"/>
        </w:rPr>
        <w:t>股票中存在流通受限情况的说明</w:t>
      </w:r>
    </w:p>
    <w:p w:rsidR="00634900" w:rsidRPr="005E324A" w:rsidRDefault="001C123E" w:rsidP="00576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kern w:val="0"/>
          <w:sz w:val="24"/>
        </w:rPr>
      </w:pPr>
      <w:r w:rsidRPr="005E324A">
        <w:rPr>
          <w:rFonts w:eastAsiaTheme="minorEastAsia"/>
          <w:b/>
          <w:bCs/>
          <w:color w:val="000000"/>
          <w:kern w:val="0"/>
          <w:sz w:val="24"/>
        </w:rPr>
        <w:t>5.11.5.1</w:t>
      </w:r>
      <w:r w:rsidR="00774535">
        <w:rPr>
          <w:rFonts w:eastAsiaTheme="minorEastAsia" w:hint="eastAsia"/>
          <w:b/>
          <w:bCs/>
          <w:color w:val="000000"/>
          <w:kern w:val="0"/>
          <w:sz w:val="24"/>
        </w:rPr>
        <w:t xml:space="preserve"> </w:t>
      </w:r>
      <w:r w:rsidR="00EE53E7" w:rsidRPr="005E324A">
        <w:rPr>
          <w:rFonts w:eastAsiaTheme="minorEastAsia"/>
          <w:b/>
          <w:bCs/>
          <w:color w:val="000000"/>
          <w:kern w:val="0"/>
          <w:sz w:val="24"/>
        </w:rPr>
        <w:t>报告</w:t>
      </w:r>
      <w:r w:rsidR="00634900" w:rsidRPr="005E324A">
        <w:rPr>
          <w:b/>
          <w:kern w:val="0"/>
          <w:sz w:val="24"/>
        </w:rPr>
        <w:t>期末指数投资前十名股票中存在流通受限情况的说明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7A6BEA" w:rsidRPr="005E324A" w:rsidTr="007A6BEA">
        <w:tc>
          <w:tcPr>
            <w:tcW w:w="1083"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302"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301"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805"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流通受限部分的公允价值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55"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p>
        </w:tc>
        <w:tc>
          <w:tcPr>
            <w:tcW w:w="1367"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流通受限情况说明</w:t>
            </w:r>
          </w:p>
        </w:tc>
      </w:tr>
      <w:tr w:rsidR="00794A76">
        <w:tc>
          <w:tcPr>
            <w:tcW w:w="1083" w:type="dxa"/>
            <w:vAlign w:val="center"/>
          </w:tcPr>
          <w:p w:rsidR="00794A76" w:rsidRDefault="003B2589">
            <w:pPr>
              <w:jc w:val="center"/>
            </w:pPr>
            <w:r>
              <w:rPr>
                <w:rFonts w:eastAsiaTheme="minorEastAsia"/>
                <w:color w:val="000000"/>
                <w:sz w:val="24"/>
              </w:rPr>
              <w:t>1</w:t>
            </w:r>
          </w:p>
        </w:tc>
        <w:tc>
          <w:tcPr>
            <w:tcW w:w="1302" w:type="dxa"/>
            <w:vAlign w:val="center"/>
          </w:tcPr>
          <w:p w:rsidR="00794A76" w:rsidRDefault="003B2589">
            <w:pPr>
              <w:jc w:val="center"/>
            </w:pPr>
            <w:r>
              <w:rPr>
                <w:rFonts w:eastAsiaTheme="minorEastAsia"/>
                <w:color w:val="000000"/>
                <w:sz w:val="24"/>
              </w:rPr>
              <w:t>002249</w:t>
            </w:r>
          </w:p>
        </w:tc>
        <w:tc>
          <w:tcPr>
            <w:tcW w:w="1301" w:type="dxa"/>
            <w:vAlign w:val="center"/>
          </w:tcPr>
          <w:p w:rsidR="00794A76" w:rsidRDefault="003B2589">
            <w:pPr>
              <w:jc w:val="center"/>
            </w:pPr>
            <w:r>
              <w:rPr>
                <w:rFonts w:eastAsiaTheme="minorEastAsia"/>
                <w:color w:val="000000"/>
                <w:sz w:val="24"/>
              </w:rPr>
              <w:t>大洋电机</w:t>
            </w:r>
          </w:p>
        </w:tc>
        <w:tc>
          <w:tcPr>
            <w:tcW w:w="1805" w:type="dxa"/>
            <w:vAlign w:val="center"/>
          </w:tcPr>
          <w:p w:rsidR="00794A76" w:rsidRDefault="003B2589">
            <w:pPr>
              <w:jc w:val="right"/>
            </w:pPr>
            <w:r>
              <w:rPr>
                <w:rFonts w:eastAsiaTheme="minorEastAsia"/>
                <w:color w:val="000000"/>
                <w:sz w:val="24"/>
              </w:rPr>
              <w:t>22,016,421.00</w:t>
            </w:r>
          </w:p>
        </w:tc>
        <w:tc>
          <w:tcPr>
            <w:tcW w:w="1655" w:type="dxa"/>
            <w:vAlign w:val="center"/>
          </w:tcPr>
          <w:p w:rsidR="00794A76" w:rsidRDefault="003B2589">
            <w:pPr>
              <w:jc w:val="right"/>
            </w:pPr>
            <w:r>
              <w:rPr>
                <w:rFonts w:eastAsiaTheme="minorEastAsia"/>
                <w:color w:val="000000"/>
                <w:sz w:val="24"/>
              </w:rPr>
              <w:t>1.64</w:t>
            </w:r>
          </w:p>
        </w:tc>
        <w:tc>
          <w:tcPr>
            <w:tcW w:w="1367" w:type="dxa"/>
            <w:vAlign w:val="center"/>
          </w:tcPr>
          <w:p w:rsidR="00794A76" w:rsidRPr="00705A81" w:rsidRDefault="00705A81">
            <w:pPr>
              <w:jc w:val="right"/>
              <w:rPr>
                <w:rFonts w:eastAsiaTheme="minorEastAsia"/>
                <w:color w:val="000000"/>
                <w:sz w:val="24"/>
              </w:rPr>
            </w:pPr>
            <w:r>
              <w:rPr>
                <w:rFonts w:eastAsiaTheme="minorEastAsia" w:hint="eastAsia"/>
                <w:color w:val="000000"/>
                <w:sz w:val="24"/>
              </w:rPr>
              <w:t>重大事项</w:t>
            </w:r>
          </w:p>
        </w:tc>
      </w:tr>
      <w:tr w:rsidR="00794A76">
        <w:tc>
          <w:tcPr>
            <w:tcW w:w="1083" w:type="dxa"/>
            <w:vAlign w:val="center"/>
          </w:tcPr>
          <w:p w:rsidR="00794A76" w:rsidRDefault="003B2589">
            <w:pPr>
              <w:jc w:val="center"/>
            </w:pPr>
            <w:r>
              <w:rPr>
                <w:rFonts w:eastAsiaTheme="minorEastAsia"/>
                <w:color w:val="000000"/>
                <w:sz w:val="24"/>
              </w:rPr>
              <w:t>2</w:t>
            </w:r>
          </w:p>
        </w:tc>
        <w:tc>
          <w:tcPr>
            <w:tcW w:w="1302" w:type="dxa"/>
            <w:vAlign w:val="center"/>
          </w:tcPr>
          <w:p w:rsidR="00794A76" w:rsidRDefault="003B2589">
            <w:pPr>
              <w:jc w:val="center"/>
            </w:pPr>
            <w:r>
              <w:rPr>
                <w:rFonts w:eastAsiaTheme="minorEastAsia"/>
                <w:color w:val="000000"/>
                <w:sz w:val="24"/>
              </w:rPr>
              <w:t>002129</w:t>
            </w:r>
          </w:p>
        </w:tc>
        <w:tc>
          <w:tcPr>
            <w:tcW w:w="1301" w:type="dxa"/>
            <w:vAlign w:val="center"/>
          </w:tcPr>
          <w:p w:rsidR="00794A76" w:rsidRDefault="003B2589">
            <w:pPr>
              <w:jc w:val="center"/>
            </w:pPr>
            <w:r>
              <w:rPr>
                <w:rFonts w:eastAsiaTheme="minorEastAsia"/>
                <w:color w:val="000000"/>
                <w:sz w:val="24"/>
              </w:rPr>
              <w:t>中环股份</w:t>
            </w:r>
          </w:p>
        </w:tc>
        <w:tc>
          <w:tcPr>
            <w:tcW w:w="1805" w:type="dxa"/>
            <w:vAlign w:val="center"/>
          </w:tcPr>
          <w:p w:rsidR="00794A76" w:rsidRDefault="003B2589">
            <w:pPr>
              <w:jc w:val="right"/>
            </w:pPr>
            <w:r>
              <w:rPr>
                <w:rFonts w:eastAsiaTheme="minorEastAsia"/>
                <w:color w:val="000000"/>
                <w:sz w:val="24"/>
              </w:rPr>
              <w:t>21,146,662.56</w:t>
            </w:r>
          </w:p>
        </w:tc>
        <w:tc>
          <w:tcPr>
            <w:tcW w:w="1655" w:type="dxa"/>
            <w:vAlign w:val="center"/>
          </w:tcPr>
          <w:p w:rsidR="00794A76" w:rsidRDefault="003B2589">
            <w:pPr>
              <w:jc w:val="right"/>
            </w:pPr>
            <w:r>
              <w:rPr>
                <w:rFonts w:eastAsiaTheme="minorEastAsia"/>
                <w:color w:val="000000"/>
                <w:sz w:val="24"/>
              </w:rPr>
              <w:t>1.58</w:t>
            </w:r>
          </w:p>
        </w:tc>
        <w:tc>
          <w:tcPr>
            <w:tcW w:w="1367" w:type="dxa"/>
            <w:vAlign w:val="center"/>
          </w:tcPr>
          <w:p w:rsidR="00794A76" w:rsidRPr="00705A81" w:rsidRDefault="00705A81">
            <w:pPr>
              <w:jc w:val="right"/>
              <w:rPr>
                <w:rFonts w:eastAsiaTheme="minorEastAsia"/>
                <w:color w:val="000000"/>
                <w:sz w:val="24"/>
              </w:rPr>
            </w:pPr>
            <w:r>
              <w:rPr>
                <w:rFonts w:eastAsiaTheme="minorEastAsia" w:hint="eastAsia"/>
                <w:color w:val="000000"/>
                <w:sz w:val="24"/>
              </w:rPr>
              <w:t>重大事项</w:t>
            </w:r>
          </w:p>
        </w:tc>
      </w:tr>
    </w:tbl>
    <w:p w:rsidR="00F924E0" w:rsidRDefault="00F924E0" w:rsidP="00576862">
      <w:pPr>
        <w:spacing w:line="360" w:lineRule="auto"/>
        <w:rPr>
          <w:rFonts w:eastAsiaTheme="minorEastAsia"/>
          <w:b/>
          <w:bCs/>
          <w:color w:val="000000"/>
          <w:kern w:val="0"/>
          <w:sz w:val="24"/>
        </w:rPr>
      </w:pP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5.11.5.2</w:t>
      </w:r>
      <w:r w:rsidR="00774535">
        <w:rPr>
          <w:rFonts w:eastAsiaTheme="minorEastAsia" w:hint="eastAsia"/>
          <w:b/>
          <w:bCs/>
          <w:color w:val="000000"/>
          <w:kern w:val="0"/>
          <w:sz w:val="24"/>
        </w:rPr>
        <w:t xml:space="preserve"> </w:t>
      </w:r>
      <w:r w:rsidR="006B7BC0" w:rsidRPr="005E324A">
        <w:rPr>
          <w:rFonts w:eastAsiaTheme="minorEastAsia"/>
          <w:b/>
          <w:bCs/>
          <w:color w:val="000000"/>
          <w:kern w:val="0"/>
          <w:sz w:val="24"/>
        </w:rPr>
        <w:t>报告</w:t>
      </w:r>
      <w:r w:rsidR="005D44E4" w:rsidRPr="005E324A">
        <w:rPr>
          <w:rFonts w:eastAsiaTheme="minorEastAsia"/>
          <w:b/>
          <w:sz w:val="24"/>
        </w:rPr>
        <w:t>期末积极投资前五名股票中存在流通受限情况的说明</w:t>
      </w:r>
    </w:p>
    <w:p w:rsidR="005D44E4" w:rsidRPr="005E324A"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本基金本报告期末未持有积极投资的股票。</w:t>
      </w:r>
    </w:p>
    <w:p w:rsidR="000627CD" w:rsidRPr="005E324A" w:rsidRDefault="000627CD" w:rsidP="00576862">
      <w:pPr>
        <w:spacing w:line="360" w:lineRule="auto"/>
        <w:rPr>
          <w:rFonts w:eastAsiaTheme="minorEastAsia"/>
          <w:bCs/>
          <w:color w:val="000000"/>
          <w:sz w:val="24"/>
        </w:rPr>
      </w:pPr>
    </w:p>
    <w:p w:rsidR="00220542" w:rsidRPr="005E324A" w:rsidRDefault="001C123E" w:rsidP="00576862">
      <w:pPr>
        <w:spacing w:line="360" w:lineRule="auto"/>
        <w:rPr>
          <w:rFonts w:eastAsiaTheme="minorEastAsia"/>
          <w:b/>
          <w:color w:val="000000"/>
          <w:sz w:val="24"/>
        </w:rPr>
      </w:pPr>
      <w:r w:rsidRPr="005E324A">
        <w:rPr>
          <w:rFonts w:eastAsiaTheme="minorEastAsia"/>
          <w:b/>
          <w:bCs/>
          <w:color w:val="000000"/>
          <w:kern w:val="0"/>
          <w:sz w:val="24"/>
        </w:rPr>
        <w:t>5.11.6</w:t>
      </w:r>
      <w:r w:rsidR="006B5B3E" w:rsidRPr="005E324A">
        <w:rPr>
          <w:rFonts w:eastAsiaTheme="minorEastAsia"/>
          <w:b/>
          <w:bCs/>
          <w:color w:val="000000"/>
          <w:kern w:val="0"/>
          <w:sz w:val="24"/>
        </w:rPr>
        <w:t>投资组合报告附注的其他文字描述部分</w:t>
      </w:r>
    </w:p>
    <w:p w:rsidR="00220542" w:rsidRPr="005E324A" w:rsidRDefault="007A6BEA" w:rsidP="00576862">
      <w:pPr>
        <w:spacing w:line="360" w:lineRule="auto"/>
        <w:ind w:firstLineChars="200" w:firstLine="480"/>
        <w:rPr>
          <w:rFonts w:eastAsiaTheme="minorEastAsia"/>
          <w:color w:val="000000"/>
          <w:sz w:val="24"/>
        </w:rPr>
      </w:pPr>
      <w:r w:rsidRPr="005E324A">
        <w:rPr>
          <w:rFonts w:eastAsiaTheme="minorEastAsia"/>
          <w:color w:val="000000"/>
          <w:kern w:val="0"/>
          <w:sz w:val="24"/>
        </w:rPr>
        <w:t>由于四舍五入的原因，分项之和与合计项之间可能存在尾差。</w:t>
      </w:r>
    </w:p>
    <w:p w:rsidR="00220542" w:rsidRPr="005E324A" w:rsidRDefault="00220542" w:rsidP="003D6B62">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7F523A" w:rsidRPr="005E324A">
        <w:rPr>
          <w:rFonts w:eastAsiaTheme="minorEastAsia"/>
          <w:color w:val="000000"/>
          <w:kern w:val="0"/>
          <w:sz w:val="24"/>
          <w:szCs w:val="24"/>
        </w:rPr>
        <w:t>6</w:t>
      </w:r>
      <w:r w:rsidRPr="005E324A">
        <w:rPr>
          <w:rFonts w:eastAsiaTheme="minorEastAsia"/>
          <w:color w:val="000000"/>
          <w:kern w:val="0"/>
          <w:sz w:val="24"/>
          <w:szCs w:val="24"/>
        </w:rPr>
        <w:t xml:space="preserve">  </w:t>
      </w:r>
      <w:r w:rsidRPr="005E324A">
        <w:rPr>
          <w:rFonts w:eastAsiaTheme="minorEastAsia"/>
          <w:color w:val="000000"/>
          <w:kern w:val="0"/>
          <w:sz w:val="24"/>
          <w:szCs w:val="24"/>
        </w:rPr>
        <w:t>开放式基金份额变动</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单位：份</w:t>
      </w:r>
    </w:p>
    <w:tbl>
      <w:tblPr>
        <w:tblW w:w="8719" w:type="dxa"/>
        <w:tblInd w:w="-106" w:type="dxa"/>
        <w:tblLayout w:type="fixed"/>
        <w:tblLook w:val="0000" w:firstRow="0" w:lastRow="0" w:firstColumn="0" w:lastColumn="0" w:noHBand="0" w:noVBand="0"/>
      </w:tblPr>
      <w:tblGrid>
        <w:gridCol w:w="1774"/>
        <w:gridCol w:w="2409"/>
        <w:gridCol w:w="2410"/>
        <w:gridCol w:w="2126"/>
      </w:tblGrid>
      <w:tr w:rsidR="00745829"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项目</w:t>
            </w:r>
          </w:p>
        </w:tc>
        <w:tc>
          <w:tcPr>
            <w:tcW w:w="2409"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5B14F0">
            <w:pPr>
              <w:autoSpaceDE w:val="0"/>
              <w:autoSpaceDN w:val="0"/>
              <w:adjustRightInd w:val="0"/>
              <w:spacing w:before="29" w:line="360" w:lineRule="auto"/>
              <w:ind w:left="17"/>
              <w:jc w:val="right"/>
              <w:rPr>
                <w:rFonts w:eastAsiaTheme="minorEastAsia"/>
                <w:sz w:val="24"/>
              </w:rPr>
            </w:pPr>
            <w:r w:rsidRPr="005E324A">
              <w:rPr>
                <w:rFonts w:eastAsiaTheme="minorEastAsia"/>
                <w:sz w:val="24"/>
              </w:rPr>
              <w:t>交银新能</w:t>
            </w:r>
          </w:p>
        </w:tc>
        <w:tc>
          <w:tcPr>
            <w:tcW w:w="2410"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新能源</w:t>
            </w:r>
            <w:r w:rsidRPr="005E324A">
              <w:rPr>
                <w:rFonts w:eastAsiaTheme="minorEastAsia"/>
                <w:sz w:val="24"/>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新能源</w:t>
            </w:r>
            <w:r w:rsidRPr="005E324A">
              <w:rPr>
                <w:rFonts w:eastAsiaTheme="minorEastAsia"/>
                <w:sz w:val="24"/>
              </w:rPr>
              <w:t>B</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本报告期期初基金份额总额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693,961,345.15</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490,594,088.00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490,594,088.00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基金总申购份额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1,019,963,262.05</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减：</w:t>
            </w:r>
            <w:r w:rsidR="00F006CC" w:rsidRPr="005E324A">
              <w:rPr>
                <w:rFonts w:eastAsiaTheme="minorEastAsia"/>
                <w:color w:val="000000"/>
                <w:kern w:val="0"/>
                <w:sz w:val="24"/>
              </w:rPr>
              <w:t>本报告期</w:t>
            </w:r>
            <w:r w:rsidR="004A040B" w:rsidRPr="005E324A">
              <w:rPr>
                <w:rFonts w:eastAsiaTheme="minorEastAsia"/>
                <w:color w:val="000000"/>
                <w:kern w:val="0"/>
                <w:sz w:val="24"/>
              </w:rPr>
              <w:t>期间</w:t>
            </w:r>
            <w:r w:rsidRPr="005E324A">
              <w:rPr>
                <w:rFonts w:eastAsiaTheme="minorEastAsia"/>
                <w:color w:val="000000"/>
                <w:kern w:val="0"/>
                <w:sz w:val="24"/>
              </w:rPr>
              <w:t>基金总赎回份额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1,162,407,964.77</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491ABD">
        <w:trPr>
          <w:trHeight w:val="1718"/>
        </w:trPr>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基金拆分变动份额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103,087,776.00</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-51,543,888.00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-51,543,888.00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本报告期期末基金份额总额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654,604,418.43</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439,050,200.00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439,050,200.00</w:t>
            </w:r>
          </w:p>
        </w:tc>
      </w:tr>
    </w:tbl>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注：拆分变动份额为本基金三级份额之间的配对转换份额。</w:t>
      </w:r>
    </w:p>
    <w:p w:rsidR="003D4E5A" w:rsidRPr="005E324A" w:rsidRDefault="003D4E5A" w:rsidP="003D6B62">
      <w:pPr>
        <w:pStyle w:val="1"/>
        <w:tabs>
          <w:tab w:val="center" w:pos="4156"/>
          <w:tab w:val="right" w:pos="8312"/>
        </w:tabs>
        <w:spacing w:beforeLines="100" w:before="312" w:afterLines="100" w:after="312" w:line="360" w:lineRule="auto"/>
        <w:jc w:val="center"/>
        <w:rPr>
          <w:sz w:val="24"/>
          <w:szCs w:val="24"/>
        </w:rPr>
      </w:pPr>
      <w:r w:rsidRPr="005E324A">
        <w:rPr>
          <w:rFonts w:eastAsiaTheme="minorEastAsia"/>
          <w:color w:val="000000"/>
          <w:kern w:val="0"/>
          <w:sz w:val="24"/>
          <w:szCs w:val="24"/>
        </w:rPr>
        <w:t xml:space="preserve">§7  </w:t>
      </w:r>
      <w:r w:rsidRPr="005E324A">
        <w:rPr>
          <w:sz w:val="24"/>
          <w:szCs w:val="24"/>
        </w:rPr>
        <w:t>基金管理人运用固有资金投资本基金情况</w:t>
      </w:r>
    </w:p>
    <w:p w:rsidR="003D4E5A" w:rsidRPr="005E324A" w:rsidRDefault="003D4E5A" w:rsidP="003D4E5A">
      <w:pPr>
        <w:spacing w:line="360" w:lineRule="auto"/>
        <w:jc w:val="left"/>
        <w:rPr>
          <w:sz w:val="24"/>
        </w:rPr>
      </w:pPr>
      <w:r w:rsidRPr="005E324A">
        <w:rPr>
          <w:b/>
          <w:sz w:val="24"/>
        </w:rPr>
        <w:t xml:space="preserve">7.1 </w:t>
      </w:r>
      <w:r w:rsidRPr="005E324A">
        <w:rPr>
          <w:b/>
          <w:sz w:val="24"/>
        </w:rPr>
        <w:t>基金管理人持有本基金份额变动情况</w:t>
      </w:r>
    </w:p>
    <w:p w:rsidR="003D4E5A" w:rsidRPr="005E324A" w:rsidRDefault="003D4E5A" w:rsidP="003D4E5A">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单位：份</w:t>
      </w:r>
    </w:p>
    <w:tbl>
      <w:tblPr>
        <w:tblW w:w="8415" w:type="dxa"/>
        <w:tblInd w:w="108" w:type="dxa"/>
        <w:tblLayout w:type="fixed"/>
        <w:tblLook w:val="04A0" w:firstRow="1" w:lastRow="0" w:firstColumn="1" w:lastColumn="0" w:noHBand="0" w:noVBand="1"/>
      </w:tblPr>
      <w:tblGrid>
        <w:gridCol w:w="5954"/>
        <w:gridCol w:w="2461"/>
      </w:tblGrid>
      <w:tr w:rsidR="003D4E5A" w:rsidRPr="005E324A" w:rsidTr="003B2589">
        <w:tc>
          <w:tcPr>
            <w:tcW w:w="5954"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pStyle w:val="ad"/>
              <w:adjustRightInd w:val="0"/>
              <w:snapToGrid w:val="0"/>
              <w:spacing w:line="360" w:lineRule="exact"/>
              <w:rPr>
                <w:rFonts w:eastAsia="方正仿宋简体"/>
                <w:color w:val="000000"/>
                <w:szCs w:val="24"/>
              </w:rPr>
            </w:pPr>
            <w:r w:rsidRPr="005E324A">
              <w:rPr>
                <w:color w:val="000000"/>
                <w:szCs w:val="24"/>
              </w:rPr>
              <w:t>报告期期初管理人持有的本基金份额</w:t>
            </w:r>
          </w:p>
        </w:tc>
        <w:tc>
          <w:tcPr>
            <w:tcW w:w="2461"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jc w:val="right"/>
              <w:rPr>
                <w:rFonts w:eastAsiaTheme="minorEastAsia"/>
                <w:sz w:val="24"/>
              </w:rPr>
            </w:pPr>
            <w:r w:rsidRPr="005E324A">
              <w:rPr>
                <w:rFonts w:eastAsiaTheme="minorEastAsia"/>
                <w:color w:val="000000"/>
                <w:sz w:val="24"/>
              </w:rPr>
              <w:t>20,352,593.88</w:t>
            </w:r>
          </w:p>
        </w:tc>
      </w:tr>
      <w:tr w:rsidR="003D4E5A" w:rsidRPr="005E324A" w:rsidTr="003B2589">
        <w:tc>
          <w:tcPr>
            <w:tcW w:w="5954"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adjustRightInd w:val="0"/>
              <w:snapToGrid w:val="0"/>
              <w:spacing w:line="360" w:lineRule="exact"/>
              <w:rPr>
                <w:color w:val="000000"/>
                <w:sz w:val="24"/>
              </w:rPr>
            </w:pPr>
            <w:r w:rsidRPr="005E324A">
              <w:rPr>
                <w:rFonts w:eastAsiaTheme="minorEastAsia"/>
                <w:color w:val="000000"/>
                <w:kern w:val="0"/>
                <w:sz w:val="24"/>
              </w:rPr>
              <w:t>本报告期</w:t>
            </w:r>
            <w:r w:rsidR="00C14D56" w:rsidRPr="005E324A">
              <w:rPr>
                <w:rFonts w:eastAsiaTheme="minorEastAsia"/>
                <w:color w:val="000000"/>
                <w:kern w:val="0"/>
                <w:sz w:val="24"/>
              </w:rPr>
              <w:t>期间</w:t>
            </w:r>
            <w:r w:rsidRPr="005E324A">
              <w:rPr>
                <w:color w:val="000000"/>
                <w:sz w:val="24"/>
              </w:rPr>
              <w:t>买入</w:t>
            </w:r>
            <w:r w:rsidRPr="005E324A">
              <w:rPr>
                <w:color w:val="000000"/>
                <w:sz w:val="24"/>
              </w:rPr>
              <w:t>/</w:t>
            </w:r>
            <w:r w:rsidRPr="005E324A">
              <w:rPr>
                <w:color w:val="000000"/>
                <w:sz w:val="24"/>
              </w:rPr>
              <w:t>申购总份额</w:t>
            </w:r>
          </w:p>
        </w:tc>
        <w:tc>
          <w:tcPr>
            <w:tcW w:w="2461"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jc w:val="right"/>
              <w:rPr>
                <w:rFonts w:eastAsiaTheme="minorEastAsia"/>
                <w:color w:val="000000"/>
                <w:kern w:val="0"/>
                <w:sz w:val="24"/>
              </w:rPr>
            </w:pPr>
            <w:r w:rsidRPr="005E324A">
              <w:rPr>
                <w:rFonts w:eastAsiaTheme="minorEastAsia"/>
                <w:color w:val="000000"/>
                <w:sz w:val="24"/>
              </w:rPr>
              <w:t>-</w:t>
            </w:r>
          </w:p>
        </w:tc>
      </w:tr>
      <w:tr w:rsidR="003D4E5A" w:rsidRPr="005E324A" w:rsidTr="003B2589">
        <w:tc>
          <w:tcPr>
            <w:tcW w:w="5954"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adjustRightInd w:val="0"/>
              <w:snapToGrid w:val="0"/>
              <w:spacing w:line="360" w:lineRule="exact"/>
              <w:rPr>
                <w:color w:val="000000"/>
                <w:sz w:val="24"/>
              </w:rPr>
            </w:pPr>
            <w:r w:rsidRPr="005E324A">
              <w:rPr>
                <w:rFonts w:eastAsiaTheme="minorEastAsia"/>
                <w:color w:val="000000"/>
                <w:kern w:val="0"/>
                <w:sz w:val="24"/>
              </w:rPr>
              <w:t>本报告期</w:t>
            </w:r>
            <w:r w:rsidR="00C14D56" w:rsidRPr="005E324A">
              <w:rPr>
                <w:rFonts w:eastAsiaTheme="minorEastAsia"/>
                <w:color w:val="000000"/>
                <w:kern w:val="0"/>
                <w:sz w:val="24"/>
              </w:rPr>
              <w:t>期间</w:t>
            </w:r>
            <w:r w:rsidRPr="005E324A">
              <w:rPr>
                <w:color w:val="000000"/>
                <w:sz w:val="24"/>
              </w:rPr>
              <w:t>卖出</w:t>
            </w:r>
            <w:r w:rsidRPr="005E324A">
              <w:rPr>
                <w:color w:val="000000"/>
                <w:sz w:val="24"/>
              </w:rPr>
              <w:t>/</w:t>
            </w:r>
            <w:r w:rsidRPr="005E324A">
              <w:rPr>
                <w:color w:val="000000"/>
                <w:sz w:val="24"/>
              </w:rPr>
              <w:t>赎回总份额</w:t>
            </w:r>
          </w:p>
        </w:tc>
        <w:tc>
          <w:tcPr>
            <w:tcW w:w="2461"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jc w:val="right"/>
              <w:rPr>
                <w:rFonts w:eastAsiaTheme="minorEastAsia"/>
                <w:color w:val="000000"/>
                <w:kern w:val="0"/>
                <w:sz w:val="24"/>
              </w:rPr>
            </w:pPr>
            <w:r w:rsidRPr="005E324A">
              <w:rPr>
                <w:rFonts w:eastAsiaTheme="minorEastAsia"/>
                <w:color w:val="000000"/>
                <w:sz w:val="24"/>
              </w:rPr>
              <w:t>-</w:t>
            </w:r>
          </w:p>
        </w:tc>
      </w:tr>
      <w:tr w:rsidR="003D4E5A" w:rsidRPr="005E324A" w:rsidTr="003B2589">
        <w:tc>
          <w:tcPr>
            <w:tcW w:w="5954"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adjustRightInd w:val="0"/>
              <w:snapToGrid w:val="0"/>
              <w:spacing w:line="360" w:lineRule="exact"/>
              <w:rPr>
                <w:color w:val="000000"/>
                <w:sz w:val="24"/>
              </w:rPr>
            </w:pPr>
            <w:r w:rsidRPr="005E324A">
              <w:rPr>
                <w:color w:val="000000"/>
                <w:sz w:val="24"/>
              </w:rPr>
              <w:t>报告期期末管理人持有的本基金份额</w:t>
            </w:r>
          </w:p>
        </w:tc>
        <w:tc>
          <w:tcPr>
            <w:tcW w:w="2461"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jc w:val="right"/>
              <w:rPr>
                <w:rFonts w:eastAsiaTheme="minorEastAsia"/>
                <w:sz w:val="24"/>
              </w:rPr>
            </w:pPr>
            <w:r w:rsidRPr="005E324A">
              <w:rPr>
                <w:rFonts w:eastAsiaTheme="minorEastAsia"/>
                <w:color w:val="000000"/>
                <w:sz w:val="24"/>
              </w:rPr>
              <w:t>20,352,593.88</w:t>
            </w:r>
          </w:p>
        </w:tc>
      </w:tr>
      <w:tr w:rsidR="003D4E5A" w:rsidRPr="005E324A" w:rsidTr="003B2589">
        <w:tc>
          <w:tcPr>
            <w:tcW w:w="5954"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adjustRightInd w:val="0"/>
              <w:snapToGrid w:val="0"/>
              <w:spacing w:line="360" w:lineRule="exact"/>
              <w:rPr>
                <w:color w:val="000000"/>
                <w:sz w:val="24"/>
              </w:rPr>
            </w:pPr>
            <w:r w:rsidRPr="005E324A">
              <w:rPr>
                <w:color w:val="000000"/>
                <w:sz w:val="24"/>
              </w:rPr>
              <w:t>报告期期末持有的本基金份额占基金总份额比例（</w:t>
            </w:r>
            <w:r w:rsidRPr="005E324A">
              <w:rPr>
                <w:color w:val="000000"/>
                <w:sz w:val="24"/>
              </w:rPr>
              <w:t>%</w:t>
            </w:r>
            <w:r w:rsidRPr="005E324A">
              <w:rPr>
                <w:color w:val="000000"/>
                <w:sz w:val="24"/>
              </w:rPr>
              <w:t>）</w:t>
            </w:r>
          </w:p>
        </w:tc>
        <w:tc>
          <w:tcPr>
            <w:tcW w:w="2461"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jc w:val="right"/>
              <w:rPr>
                <w:rFonts w:eastAsiaTheme="minorEastAsia"/>
                <w:color w:val="000000"/>
                <w:kern w:val="0"/>
                <w:sz w:val="24"/>
              </w:rPr>
            </w:pPr>
            <w:r w:rsidRPr="005E324A">
              <w:rPr>
                <w:rFonts w:eastAsiaTheme="minorEastAsia"/>
                <w:color w:val="000000"/>
                <w:sz w:val="24"/>
              </w:rPr>
              <w:t>1.33</w:t>
            </w:r>
          </w:p>
        </w:tc>
      </w:tr>
    </w:tbl>
    <w:p w:rsidR="003D4E5A" w:rsidRPr="005E324A" w:rsidRDefault="003D4E5A" w:rsidP="003D4E5A">
      <w:pPr>
        <w:autoSpaceDE w:val="0"/>
        <w:autoSpaceDN w:val="0"/>
        <w:adjustRightInd w:val="0"/>
        <w:spacing w:line="360" w:lineRule="auto"/>
        <w:jc w:val="left"/>
        <w:rPr>
          <w:rFonts w:eastAsiaTheme="minorEastAsia"/>
          <w:kern w:val="0"/>
          <w:sz w:val="24"/>
        </w:rPr>
      </w:pPr>
    </w:p>
    <w:p w:rsidR="003D4E5A" w:rsidRPr="005E324A" w:rsidRDefault="003D4E5A" w:rsidP="003D4E5A">
      <w:pPr>
        <w:spacing w:line="360" w:lineRule="auto"/>
        <w:jc w:val="left"/>
        <w:rPr>
          <w:sz w:val="24"/>
        </w:rPr>
      </w:pPr>
      <w:r w:rsidRPr="005E324A">
        <w:rPr>
          <w:b/>
          <w:sz w:val="24"/>
        </w:rPr>
        <w:t xml:space="preserve">7.2 </w:t>
      </w:r>
      <w:r w:rsidRPr="005E324A">
        <w:rPr>
          <w:b/>
          <w:sz w:val="24"/>
        </w:rPr>
        <w:t>基金管理人运用固有资金投资本基金交易明细</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本基金管理人本报告期内未进行本基金的申购、赎回、红利再投等。</w:t>
      </w:r>
    </w:p>
    <w:p w:rsidR="00220542" w:rsidRPr="005E324A" w:rsidRDefault="00220542" w:rsidP="003D6B62">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CC0994" w:rsidRPr="005E324A">
        <w:rPr>
          <w:rFonts w:eastAsiaTheme="minorEastAsia"/>
          <w:color w:val="000000"/>
          <w:kern w:val="0"/>
          <w:sz w:val="24"/>
          <w:szCs w:val="24"/>
        </w:rPr>
        <w:t>8</w:t>
      </w:r>
      <w:r w:rsidRPr="005E324A">
        <w:rPr>
          <w:rFonts w:eastAsiaTheme="minorEastAsia"/>
          <w:color w:val="000000"/>
          <w:kern w:val="0"/>
          <w:sz w:val="24"/>
          <w:szCs w:val="24"/>
        </w:rPr>
        <w:t xml:space="preserve">  </w:t>
      </w:r>
      <w:r w:rsidRPr="005E324A">
        <w:rPr>
          <w:rFonts w:eastAsiaTheme="minorEastAsia"/>
          <w:color w:val="000000"/>
          <w:kern w:val="0"/>
          <w:sz w:val="24"/>
          <w:szCs w:val="24"/>
        </w:rPr>
        <w:t>备查文件目录</w:t>
      </w:r>
    </w:p>
    <w:p w:rsidR="00220542" w:rsidRPr="005E324A" w:rsidRDefault="00CC0994" w:rsidP="001078B6">
      <w:pPr>
        <w:spacing w:line="360" w:lineRule="auto"/>
        <w:rPr>
          <w:rFonts w:eastAsiaTheme="minorEastAsia"/>
          <w:b/>
          <w:color w:val="000000"/>
          <w:kern w:val="0"/>
          <w:sz w:val="24"/>
        </w:rPr>
      </w:pPr>
      <w:r w:rsidRPr="005E324A">
        <w:rPr>
          <w:rFonts w:eastAsiaTheme="minorEastAsia"/>
          <w:b/>
          <w:color w:val="000000"/>
          <w:sz w:val="24"/>
        </w:rPr>
        <w:t>8</w:t>
      </w:r>
      <w:r w:rsidR="004A3F71" w:rsidRPr="005E324A">
        <w:rPr>
          <w:rFonts w:eastAsiaTheme="minorEastAsia"/>
          <w:b/>
          <w:color w:val="000000"/>
          <w:sz w:val="24"/>
        </w:rPr>
        <w:t>.1</w:t>
      </w:r>
      <w:r w:rsidR="00220542" w:rsidRPr="005E324A">
        <w:rPr>
          <w:rFonts w:eastAsiaTheme="minorEastAsia"/>
          <w:b/>
          <w:color w:val="000000"/>
          <w:sz w:val="24"/>
        </w:rPr>
        <w:t xml:space="preserve"> </w:t>
      </w:r>
      <w:r w:rsidR="00220542" w:rsidRPr="005E324A">
        <w:rPr>
          <w:rFonts w:eastAsiaTheme="minorEastAsia"/>
          <w:b/>
          <w:color w:val="000000"/>
          <w:sz w:val="24"/>
        </w:rPr>
        <w:t>备查文件目录</w:t>
      </w:r>
    </w:p>
    <w:p w:rsidR="00794A76" w:rsidRDefault="003B2589">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、中国证监会准予交银施罗德国证新能源指数分级证券投资基金募集注册的文件；</w:t>
      </w:r>
      <w:r>
        <w:rPr>
          <w:rFonts w:eastAsiaTheme="minorEastAsia"/>
          <w:color w:val="000000"/>
          <w:sz w:val="24"/>
        </w:rPr>
        <w:t xml:space="preserve"> </w:t>
      </w:r>
    </w:p>
    <w:p w:rsidR="00794A76" w:rsidRDefault="003B2589">
      <w:pPr>
        <w:spacing w:line="360"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、《交银施罗德国证新能源指数分级证券投资基金基金合同》；</w:t>
      </w:r>
    </w:p>
    <w:p w:rsidR="00794A76" w:rsidRDefault="003B2589">
      <w:pPr>
        <w:spacing w:line="360"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、《交银施罗德国证新能源指数分级证券投资基金招募说明书》；</w:t>
      </w:r>
      <w:r>
        <w:rPr>
          <w:rFonts w:eastAsiaTheme="minorEastAsia"/>
          <w:color w:val="000000"/>
          <w:sz w:val="24"/>
        </w:rPr>
        <w:t xml:space="preserve"> </w:t>
      </w:r>
    </w:p>
    <w:p w:rsidR="00794A76" w:rsidRDefault="003B2589">
      <w:pPr>
        <w:spacing w:line="360"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、《交银施罗德国证新能源指数分级证券投资基金托管协议》；</w:t>
      </w:r>
      <w:r>
        <w:rPr>
          <w:rFonts w:eastAsiaTheme="minorEastAsia"/>
          <w:color w:val="000000"/>
          <w:sz w:val="24"/>
        </w:rPr>
        <w:t xml:space="preserve"> </w:t>
      </w:r>
    </w:p>
    <w:p w:rsidR="00794A76" w:rsidRDefault="003B2589">
      <w:pPr>
        <w:spacing w:line="360"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794A76" w:rsidRDefault="003B2589">
      <w:pPr>
        <w:spacing w:line="360"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794A76" w:rsidRDefault="003B2589">
      <w:pPr>
        <w:spacing w:line="360"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、关于申请募集注册交银施罗德国证新能源指数分级证券投资基金的法律意见书；</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8</w:t>
      </w:r>
      <w:r w:rsidRPr="005E324A">
        <w:rPr>
          <w:rFonts w:eastAsiaTheme="minorEastAsia"/>
          <w:color w:val="000000"/>
          <w:sz w:val="24"/>
        </w:rPr>
        <w:t>、报告期内交银施罗德国证新能源指数分级证券投资基金在指定报刊上各项公告的原稿。</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8.2</w:t>
      </w:r>
      <w:r w:rsidR="00220542" w:rsidRPr="005E324A">
        <w:rPr>
          <w:rFonts w:eastAsiaTheme="minorEastAsia"/>
          <w:b/>
          <w:color w:val="000000"/>
          <w:sz w:val="24"/>
        </w:rPr>
        <w:t xml:space="preserve"> </w:t>
      </w:r>
      <w:r w:rsidR="00220542" w:rsidRPr="005E324A">
        <w:rPr>
          <w:rFonts w:eastAsiaTheme="minorEastAsia"/>
          <w:b/>
          <w:color w:val="000000"/>
          <w:sz w:val="24"/>
        </w:rPr>
        <w:t>存放地点</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备查文件存放于基金管理人的办公场所。</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8.3</w:t>
      </w:r>
      <w:r w:rsidR="00220542" w:rsidRPr="005E324A">
        <w:rPr>
          <w:rFonts w:eastAsiaTheme="minorEastAsia"/>
          <w:b/>
          <w:color w:val="000000"/>
          <w:sz w:val="24"/>
        </w:rPr>
        <w:t xml:space="preserve"> </w:t>
      </w:r>
      <w:r w:rsidR="00220542" w:rsidRPr="005E324A">
        <w:rPr>
          <w:rFonts w:eastAsiaTheme="minorEastAsia"/>
          <w:b/>
          <w:color w:val="000000"/>
          <w:sz w:val="24"/>
        </w:rPr>
        <w:t>查阅方式</w:t>
      </w:r>
    </w:p>
    <w:p w:rsidR="00794A76" w:rsidRDefault="003B2589">
      <w:pPr>
        <w:spacing w:line="360"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066BC3" w:rsidRDefault="007A6BEA" w:rsidP="00066BC3">
      <w:pPr>
        <w:spacing w:line="360" w:lineRule="auto"/>
        <w:ind w:firstLineChars="200" w:firstLine="480"/>
        <w:rPr>
          <w:rFonts w:eastAsiaTheme="minorEastAsia"/>
          <w:color w:val="000000"/>
          <w:sz w:val="24"/>
        </w:rPr>
      </w:pPr>
      <w:r w:rsidRPr="005E324A">
        <w:rPr>
          <w:rFonts w:eastAsiaTheme="minorEastAsia"/>
          <w:color w:val="000000"/>
          <w:sz w:val="24"/>
        </w:rPr>
        <w:t>投资者对本报告书如有疑问，可咨询本基金管理人交银施罗德基金管理有限公司。本公司客户服务中心电话：</w:t>
      </w:r>
      <w:r w:rsidRPr="005E324A">
        <w:rPr>
          <w:rFonts w:eastAsiaTheme="minorEastAsia"/>
          <w:color w:val="000000"/>
          <w:sz w:val="24"/>
        </w:rPr>
        <w:t>400-700-5000</w:t>
      </w:r>
      <w:r w:rsidRPr="005E324A">
        <w:rPr>
          <w:rFonts w:eastAsiaTheme="minorEastAsia"/>
          <w:color w:val="000000"/>
          <w:sz w:val="24"/>
        </w:rPr>
        <w:t>（免长途话费），</w:t>
      </w:r>
      <w:r w:rsidRPr="005E324A">
        <w:rPr>
          <w:rFonts w:eastAsiaTheme="minorEastAsia"/>
          <w:color w:val="000000"/>
          <w:sz w:val="24"/>
        </w:rPr>
        <w:t>021-61055000</w:t>
      </w:r>
      <w:r w:rsidRPr="005E324A">
        <w:rPr>
          <w:rFonts w:eastAsiaTheme="minorEastAsia"/>
          <w:color w:val="000000"/>
          <w:sz w:val="24"/>
        </w:rPr>
        <w:t>，电子邮件：</w:t>
      </w:r>
      <w:r w:rsidRPr="005E324A">
        <w:rPr>
          <w:rFonts w:eastAsiaTheme="minorEastAsia"/>
          <w:color w:val="000000"/>
          <w:sz w:val="24"/>
        </w:rPr>
        <w:t>services@jysld.com</w:t>
      </w:r>
      <w:r w:rsidRPr="005E324A">
        <w:rPr>
          <w:rFonts w:eastAsiaTheme="minorEastAsia"/>
          <w:color w:val="000000"/>
          <w:sz w:val="24"/>
        </w:rPr>
        <w:t>。</w:t>
      </w:r>
    </w:p>
    <w:sectPr w:rsidR="009B1B32" w:rsidRPr="00066BC3" w:rsidSect="00DB4450">
      <w:footerReference w:type="even" r:id="rId10"/>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0C3" w:rsidRDefault="00EC50C3">
      <w:r>
        <w:separator/>
      </w:r>
    </w:p>
  </w:endnote>
  <w:endnote w:type="continuationSeparator" w:id="0">
    <w:p w:rsidR="00EC50C3" w:rsidRDefault="00EC5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1D0DB0" w:rsidRDefault="003A4DA3" w:rsidP="00230A66">
    <w:pPr>
      <w:pStyle w:val="a6"/>
      <w:jc w:val="center"/>
    </w:pPr>
    <w:r>
      <w:rPr>
        <w:rFonts w:hint="eastAsia"/>
        <w:kern w:val="0"/>
        <w:szCs w:val="21"/>
      </w:rPr>
      <w:t>第</w:t>
    </w:r>
    <w:r w:rsidR="00676AC0">
      <w:rPr>
        <w:kern w:val="0"/>
        <w:szCs w:val="21"/>
      </w:rPr>
      <w:fldChar w:fldCharType="begin"/>
    </w:r>
    <w:r>
      <w:rPr>
        <w:kern w:val="0"/>
        <w:szCs w:val="21"/>
      </w:rPr>
      <w:instrText xml:space="preserve"> PAGE </w:instrText>
    </w:r>
    <w:r w:rsidR="00676AC0">
      <w:rPr>
        <w:kern w:val="0"/>
        <w:szCs w:val="21"/>
      </w:rPr>
      <w:fldChar w:fldCharType="separate"/>
    </w:r>
    <w:r w:rsidR="00467F91">
      <w:rPr>
        <w:noProof/>
        <w:kern w:val="0"/>
        <w:szCs w:val="21"/>
      </w:rPr>
      <w:t>1</w:t>
    </w:r>
    <w:r w:rsidR="00676AC0">
      <w:rPr>
        <w:kern w:val="0"/>
        <w:szCs w:val="21"/>
      </w:rPr>
      <w:fldChar w:fldCharType="end"/>
    </w:r>
    <w:r>
      <w:rPr>
        <w:rFonts w:hint="eastAsia"/>
        <w:kern w:val="0"/>
        <w:szCs w:val="21"/>
      </w:rPr>
      <w:t>页共</w:t>
    </w:r>
    <w:r w:rsidR="00676AC0">
      <w:rPr>
        <w:kern w:val="0"/>
        <w:szCs w:val="21"/>
      </w:rPr>
      <w:fldChar w:fldCharType="begin"/>
    </w:r>
    <w:r>
      <w:rPr>
        <w:kern w:val="0"/>
        <w:szCs w:val="21"/>
      </w:rPr>
      <w:instrText xml:space="preserve"> NUMPAGES </w:instrText>
    </w:r>
    <w:r w:rsidR="00676AC0">
      <w:rPr>
        <w:kern w:val="0"/>
        <w:szCs w:val="21"/>
      </w:rPr>
      <w:fldChar w:fldCharType="separate"/>
    </w:r>
    <w:r w:rsidR="00467F91">
      <w:rPr>
        <w:noProof/>
        <w:kern w:val="0"/>
        <w:szCs w:val="21"/>
      </w:rPr>
      <w:t>15</w:t>
    </w:r>
    <w:r w:rsidR="00676AC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676AC0">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end"/>
    </w:r>
  </w:p>
  <w:p w:rsidR="003A4DA3" w:rsidRDefault="003A4DA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676AC0">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separate"/>
    </w:r>
    <w:r w:rsidR="00467F91">
      <w:rPr>
        <w:rStyle w:val="a7"/>
        <w:noProof/>
      </w:rPr>
      <w:t>10</w:t>
    </w:r>
    <w:r>
      <w:rPr>
        <w:rStyle w:val="a7"/>
      </w:rPr>
      <w:fldChar w:fldCharType="end"/>
    </w:r>
  </w:p>
  <w:p w:rsidR="003A4DA3" w:rsidRDefault="003A4D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0C3" w:rsidRDefault="00EC50C3">
      <w:r>
        <w:separator/>
      </w:r>
    </w:p>
  </w:footnote>
  <w:footnote w:type="continuationSeparator" w:id="0">
    <w:p w:rsidR="00EC50C3" w:rsidRDefault="00EC5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D55B61" w:rsidP="00FB572A">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635</wp:posOffset>
          </wp:positionH>
          <wp:positionV relativeFrom="paragraph">
            <wp:posOffset>-340360</wp:posOffset>
          </wp:positionV>
          <wp:extent cx="2085340" cy="4572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340"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48F1"/>
    <w:rsid w:val="0001536C"/>
    <w:rsid w:val="00017581"/>
    <w:rsid w:val="00020149"/>
    <w:rsid w:val="00020583"/>
    <w:rsid w:val="00021DD4"/>
    <w:rsid w:val="00023BE7"/>
    <w:rsid w:val="00026AAE"/>
    <w:rsid w:val="00037FCF"/>
    <w:rsid w:val="000421B8"/>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66BC3"/>
    <w:rsid w:val="00070CD1"/>
    <w:rsid w:val="0007171B"/>
    <w:rsid w:val="00074E9F"/>
    <w:rsid w:val="00081D05"/>
    <w:rsid w:val="00085449"/>
    <w:rsid w:val="00087CF7"/>
    <w:rsid w:val="00090B0F"/>
    <w:rsid w:val="00091214"/>
    <w:rsid w:val="00094876"/>
    <w:rsid w:val="00095912"/>
    <w:rsid w:val="00095CE0"/>
    <w:rsid w:val="00096933"/>
    <w:rsid w:val="00097230"/>
    <w:rsid w:val="0009778D"/>
    <w:rsid w:val="000A457E"/>
    <w:rsid w:val="000A53FD"/>
    <w:rsid w:val="000A549A"/>
    <w:rsid w:val="000A72F2"/>
    <w:rsid w:val="000B0C56"/>
    <w:rsid w:val="000B3E43"/>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60FF"/>
    <w:rsid w:val="000F635F"/>
    <w:rsid w:val="000F6C61"/>
    <w:rsid w:val="001008A1"/>
    <w:rsid w:val="00100C12"/>
    <w:rsid w:val="00102E56"/>
    <w:rsid w:val="001049B6"/>
    <w:rsid w:val="001051C6"/>
    <w:rsid w:val="001078B6"/>
    <w:rsid w:val="0011177A"/>
    <w:rsid w:val="00116E31"/>
    <w:rsid w:val="00120BED"/>
    <w:rsid w:val="0012304E"/>
    <w:rsid w:val="001248EF"/>
    <w:rsid w:val="001257C7"/>
    <w:rsid w:val="00126DDF"/>
    <w:rsid w:val="001270BF"/>
    <w:rsid w:val="00127BAC"/>
    <w:rsid w:val="00134868"/>
    <w:rsid w:val="001366D4"/>
    <w:rsid w:val="00142A56"/>
    <w:rsid w:val="00144DF5"/>
    <w:rsid w:val="00145A97"/>
    <w:rsid w:val="00146485"/>
    <w:rsid w:val="00147338"/>
    <w:rsid w:val="001506B4"/>
    <w:rsid w:val="00150A6E"/>
    <w:rsid w:val="00150AD6"/>
    <w:rsid w:val="00153B40"/>
    <w:rsid w:val="00154ADA"/>
    <w:rsid w:val="00154D81"/>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EF3"/>
    <w:rsid w:val="00182F00"/>
    <w:rsid w:val="0018325A"/>
    <w:rsid w:val="00183C9E"/>
    <w:rsid w:val="00184556"/>
    <w:rsid w:val="00186199"/>
    <w:rsid w:val="001928F7"/>
    <w:rsid w:val="00194537"/>
    <w:rsid w:val="0019563C"/>
    <w:rsid w:val="001A21A9"/>
    <w:rsid w:val="001A363B"/>
    <w:rsid w:val="001A59D8"/>
    <w:rsid w:val="001A5FA6"/>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2A6A"/>
    <w:rsid w:val="001E3DC2"/>
    <w:rsid w:val="001E56FF"/>
    <w:rsid w:val="001E5C6B"/>
    <w:rsid w:val="001E6E4D"/>
    <w:rsid w:val="001F03E1"/>
    <w:rsid w:val="001F218E"/>
    <w:rsid w:val="001F3CC6"/>
    <w:rsid w:val="001F40BA"/>
    <w:rsid w:val="001F4530"/>
    <w:rsid w:val="002010DE"/>
    <w:rsid w:val="00202968"/>
    <w:rsid w:val="00202C32"/>
    <w:rsid w:val="00203AEF"/>
    <w:rsid w:val="00210344"/>
    <w:rsid w:val="00211A26"/>
    <w:rsid w:val="002125F7"/>
    <w:rsid w:val="00213171"/>
    <w:rsid w:val="00214463"/>
    <w:rsid w:val="002146DA"/>
    <w:rsid w:val="00214756"/>
    <w:rsid w:val="00215CF2"/>
    <w:rsid w:val="00215E33"/>
    <w:rsid w:val="00220542"/>
    <w:rsid w:val="00220684"/>
    <w:rsid w:val="00221174"/>
    <w:rsid w:val="00225ADC"/>
    <w:rsid w:val="00230732"/>
    <w:rsid w:val="00230A66"/>
    <w:rsid w:val="00230EC2"/>
    <w:rsid w:val="002359EB"/>
    <w:rsid w:val="002363AB"/>
    <w:rsid w:val="0024172D"/>
    <w:rsid w:val="0024260D"/>
    <w:rsid w:val="00243E40"/>
    <w:rsid w:val="00245012"/>
    <w:rsid w:val="0024504E"/>
    <w:rsid w:val="0024651F"/>
    <w:rsid w:val="00250BE3"/>
    <w:rsid w:val="00251290"/>
    <w:rsid w:val="0025158D"/>
    <w:rsid w:val="00251D17"/>
    <w:rsid w:val="0025281A"/>
    <w:rsid w:val="00253D3C"/>
    <w:rsid w:val="0025435F"/>
    <w:rsid w:val="00255292"/>
    <w:rsid w:val="00260200"/>
    <w:rsid w:val="00263563"/>
    <w:rsid w:val="002648D8"/>
    <w:rsid w:val="00270548"/>
    <w:rsid w:val="00272E0C"/>
    <w:rsid w:val="00273F86"/>
    <w:rsid w:val="002752B0"/>
    <w:rsid w:val="002774F0"/>
    <w:rsid w:val="0028459B"/>
    <w:rsid w:val="00284C5F"/>
    <w:rsid w:val="002873F0"/>
    <w:rsid w:val="00292198"/>
    <w:rsid w:val="002964F9"/>
    <w:rsid w:val="002A1F14"/>
    <w:rsid w:val="002A2678"/>
    <w:rsid w:val="002A2E01"/>
    <w:rsid w:val="002A398F"/>
    <w:rsid w:val="002A44F9"/>
    <w:rsid w:val="002A5C6B"/>
    <w:rsid w:val="002A5D31"/>
    <w:rsid w:val="002A714F"/>
    <w:rsid w:val="002B1851"/>
    <w:rsid w:val="002B27FF"/>
    <w:rsid w:val="002B4429"/>
    <w:rsid w:val="002B6793"/>
    <w:rsid w:val="002C1726"/>
    <w:rsid w:val="002C1DF3"/>
    <w:rsid w:val="002C21A6"/>
    <w:rsid w:val="002C26D5"/>
    <w:rsid w:val="002C5777"/>
    <w:rsid w:val="002D1791"/>
    <w:rsid w:val="002D32E3"/>
    <w:rsid w:val="002E0FEB"/>
    <w:rsid w:val="002E1EBA"/>
    <w:rsid w:val="002E45F3"/>
    <w:rsid w:val="002E7966"/>
    <w:rsid w:val="002F0F79"/>
    <w:rsid w:val="002F280E"/>
    <w:rsid w:val="002F3709"/>
    <w:rsid w:val="002F3A6C"/>
    <w:rsid w:val="002F4296"/>
    <w:rsid w:val="00300951"/>
    <w:rsid w:val="003023C9"/>
    <w:rsid w:val="00302CA8"/>
    <w:rsid w:val="00302DE9"/>
    <w:rsid w:val="003041B1"/>
    <w:rsid w:val="00305084"/>
    <w:rsid w:val="00307735"/>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22AA"/>
    <w:rsid w:val="0035432B"/>
    <w:rsid w:val="00357EB5"/>
    <w:rsid w:val="00361E7E"/>
    <w:rsid w:val="00370AA4"/>
    <w:rsid w:val="003713CA"/>
    <w:rsid w:val="00371FF4"/>
    <w:rsid w:val="00373015"/>
    <w:rsid w:val="00377520"/>
    <w:rsid w:val="00380D36"/>
    <w:rsid w:val="003822D3"/>
    <w:rsid w:val="0038409E"/>
    <w:rsid w:val="00386630"/>
    <w:rsid w:val="00390522"/>
    <w:rsid w:val="00390B25"/>
    <w:rsid w:val="00390C86"/>
    <w:rsid w:val="00397156"/>
    <w:rsid w:val="00397960"/>
    <w:rsid w:val="003A0A5A"/>
    <w:rsid w:val="003A12DE"/>
    <w:rsid w:val="003A3BC4"/>
    <w:rsid w:val="003A458A"/>
    <w:rsid w:val="003A4DA3"/>
    <w:rsid w:val="003B07C8"/>
    <w:rsid w:val="003B2082"/>
    <w:rsid w:val="003B2589"/>
    <w:rsid w:val="003B2A2E"/>
    <w:rsid w:val="003B2F13"/>
    <w:rsid w:val="003B405E"/>
    <w:rsid w:val="003B57D3"/>
    <w:rsid w:val="003C1F58"/>
    <w:rsid w:val="003C792F"/>
    <w:rsid w:val="003D124B"/>
    <w:rsid w:val="003D18F3"/>
    <w:rsid w:val="003D4E5A"/>
    <w:rsid w:val="003D5951"/>
    <w:rsid w:val="003D6B62"/>
    <w:rsid w:val="003D78B5"/>
    <w:rsid w:val="003E1062"/>
    <w:rsid w:val="003E244F"/>
    <w:rsid w:val="003E3AE8"/>
    <w:rsid w:val="003E5D05"/>
    <w:rsid w:val="003E62A6"/>
    <w:rsid w:val="003E695F"/>
    <w:rsid w:val="003E6C9B"/>
    <w:rsid w:val="003E709C"/>
    <w:rsid w:val="003E7B89"/>
    <w:rsid w:val="003F20D3"/>
    <w:rsid w:val="003F4241"/>
    <w:rsid w:val="003F7C45"/>
    <w:rsid w:val="0040132C"/>
    <w:rsid w:val="00405085"/>
    <w:rsid w:val="004066FC"/>
    <w:rsid w:val="00407C10"/>
    <w:rsid w:val="004113B4"/>
    <w:rsid w:val="00414827"/>
    <w:rsid w:val="00414CF1"/>
    <w:rsid w:val="00416C10"/>
    <w:rsid w:val="004217C8"/>
    <w:rsid w:val="004222C8"/>
    <w:rsid w:val="0042253F"/>
    <w:rsid w:val="00424EF3"/>
    <w:rsid w:val="004268BB"/>
    <w:rsid w:val="00431047"/>
    <w:rsid w:val="004318F0"/>
    <w:rsid w:val="00431B86"/>
    <w:rsid w:val="00431BC5"/>
    <w:rsid w:val="004408EC"/>
    <w:rsid w:val="00441B38"/>
    <w:rsid w:val="00441D14"/>
    <w:rsid w:val="00441E6A"/>
    <w:rsid w:val="00443C8F"/>
    <w:rsid w:val="00452481"/>
    <w:rsid w:val="004542DD"/>
    <w:rsid w:val="00454C9D"/>
    <w:rsid w:val="00456CE0"/>
    <w:rsid w:val="004575E9"/>
    <w:rsid w:val="00457804"/>
    <w:rsid w:val="004646BF"/>
    <w:rsid w:val="00464744"/>
    <w:rsid w:val="00465C86"/>
    <w:rsid w:val="004665E3"/>
    <w:rsid w:val="00467F91"/>
    <w:rsid w:val="004731F1"/>
    <w:rsid w:val="0047652F"/>
    <w:rsid w:val="00480BC8"/>
    <w:rsid w:val="00481265"/>
    <w:rsid w:val="004814BF"/>
    <w:rsid w:val="004828AE"/>
    <w:rsid w:val="0048587E"/>
    <w:rsid w:val="00487C2B"/>
    <w:rsid w:val="00491ABD"/>
    <w:rsid w:val="0049297D"/>
    <w:rsid w:val="004929F2"/>
    <w:rsid w:val="00495A03"/>
    <w:rsid w:val="00497079"/>
    <w:rsid w:val="004A040B"/>
    <w:rsid w:val="004A1BBA"/>
    <w:rsid w:val="004A3E3C"/>
    <w:rsid w:val="004A3F71"/>
    <w:rsid w:val="004B0E6D"/>
    <w:rsid w:val="004B16E8"/>
    <w:rsid w:val="004B2326"/>
    <w:rsid w:val="004B6250"/>
    <w:rsid w:val="004B76B1"/>
    <w:rsid w:val="004C0057"/>
    <w:rsid w:val="004C0541"/>
    <w:rsid w:val="004C2C46"/>
    <w:rsid w:val="004C7235"/>
    <w:rsid w:val="004C7955"/>
    <w:rsid w:val="004D047F"/>
    <w:rsid w:val="004D3D96"/>
    <w:rsid w:val="004D650F"/>
    <w:rsid w:val="004E2133"/>
    <w:rsid w:val="004E32E2"/>
    <w:rsid w:val="004E5AB9"/>
    <w:rsid w:val="004E60FB"/>
    <w:rsid w:val="004F779C"/>
    <w:rsid w:val="004F7846"/>
    <w:rsid w:val="005000D4"/>
    <w:rsid w:val="005015FA"/>
    <w:rsid w:val="00505411"/>
    <w:rsid w:val="00510CAF"/>
    <w:rsid w:val="005128C5"/>
    <w:rsid w:val="00514754"/>
    <w:rsid w:val="0051478B"/>
    <w:rsid w:val="0051566A"/>
    <w:rsid w:val="00515D7B"/>
    <w:rsid w:val="005166E9"/>
    <w:rsid w:val="0052009E"/>
    <w:rsid w:val="00523C1F"/>
    <w:rsid w:val="00525E59"/>
    <w:rsid w:val="00530D61"/>
    <w:rsid w:val="005318CC"/>
    <w:rsid w:val="00531D1B"/>
    <w:rsid w:val="005349B1"/>
    <w:rsid w:val="005374BC"/>
    <w:rsid w:val="00537A4E"/>
    <w:rsid w:val="00543188"/>
    <w:rsid w:val="00543367"/>
    <w:rsid w:val="00543BFA"/>
    <w:rsid w:val="00547D9C"/>
    <w:rsid w:val="00547DA1"/>
    <w:rsid w:val="005505E1"/>
    <w:rsid w:val="0055513C"/>
    <w:rsid w:val="00557A54"/>
    <w:rsid w:val="00560C94"/>
    <w:rsid w:val="0056150F"/>
    <w:rsid w:val="0056291C"/>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7057"/>
    <w:rsid w:val="00597D8B"/>
    <w:rsid w:val="005A1C30"/>
    <w:rsid w:val="005A229D"/>
    <w:rsid w:val="005A3295"/>
    <w:rsid w:val="005A46FF"/>
    <w:rsid w:val="005A5AE2"/>
    <w:rsid w:val="005B011E"/>
    <w:rsid w:val="005B14F0"/>
    <w:rsid w:val="005B2E84"/>
    <w:rsid w:val="005B7B0E"/>
    <w:rsid w:val="005C526E"/>
    <w:rsid w:val="005C5409"/>
    <w:rsid w:val="005C69AC"/>
    <w:rsid w:val="005C6DCF"/>
    <w:rsid w:val="005C722E"/>
    <w:rsid w:val="005D01A4"/>
    <w:rsid w:val="005D14DE"/>
    <w:rsid w:val="005D44E4"/>
    <w:rsid w:val="005D45B3"/>
    <w:rsid w:val="005D4CEB"/>
    <w:rsid w:val="005E0C14"/>
    <w:rsid w:val="005E1D51"/>
    <w:rsid w:val="005E324A"/>
    <w:rsid w:val="005E7140"/>
    <w:rsid w:val="005F04E6"/>
    <w:rsid w:val="005F43B9"/>
    <w:rsid w:val="005F621F"/>
    <w:rsid w:val="005F68CB"/>
    <w:rsid w:val="005F6A4A"/>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6A06"/>
    <w:rsid w:val="00657CAF"/>
    <w:rsid w:val="00661974"/>
    <w:rsid w:val="00662F58"/>
    <w:rsid w:val="00664551"/>
    <w:rsid w:val="0066704D"/>
    <w:rsid w:val="006676A0"/>
    <w:rsid w:val="006706B6"/>
    <w:rsid w:val="00670857"/>
    <w:rsid w:val="00671124"/>
    <w:rsid w:val="006727B0"/>
    <w:rsid w:val="0067307E"/>
    <w:rsid w:val="00676AC0"/>
    <w:rsid w:val="006848C1"/>
    <w:rsid w:val="006868CD"/>
    <w:rsid w:val="00687AD5"/>
    <w:rsid w:val="00691D14"/>
    <w:rsid w:val="00693A72"/>
    <w:rsid w:val="00695251"/>
    <w:rsid w:val="00695296"/>
    <w:rsid w:val="00695ADE"/>
    <w:rsid w:val="00695C0D"/>
    <w:rsid w:val="00696356"/>
    <w:rsid w:val="006A72C6"/>
    <w:rsid w:val="006B02DA"/>
    <w:rsid w:val="006B10DA"/>
    <w:rsid w:val="006B2065"/>
    <w:rsid w:val="006B3940"/>
    <w:rsid w:val="006B5B3E"/>
    <w:rsid w:val="006B7BC0"/>
    <w:rsid w:val="006C168D"/>
    <w:rsid w:val="006C642C"/>
    <w:rsid w:val="006C6FC6"/>
    <w:rsid w:val="006D0E4F"/>
    <w:rsid w:val="006D676F"/>
    <w:rsid w:val="006D7693"/>
    <w:rsid w:val="006E063E"/>
    <w:rsid w:val="006E231B"/>
    <w:rsid w:val="006E346E"/>
    <w:rsid w:val="006E34B7"/>
    <w:rsid w:val="006F103E"/>
    <w:rsid w:val="006F20EC"/>
    <w:rsid w:val="006F4CD8"/>
    <w:rsid w:val="006F53D9"/>
    <w:rsid w:val="007004DC"/>
    <w:rsid w:val="007027B6"/>
    <w:rsid w:val="00703E8A"/>
    <w:rsid w:val="00705A81"/>
    <w:rsid w:val="007069B8"/>
    <w:rsid w:val="00706E10"/>
    <w:rsid w:val="00707FB8"/>
    <w:rsid w:val="0071006D"/>
    <w:rsid w:val="00711522"/>
    <w:rsid w:val="007124FE"/>
    <w:rsid w:val="00713186"/>
    <w:rsid w:val="00713757"/>
    <w:rsid w:val="00716F79"/>
    <w:rsid w:val="00717772"/>
    <w:rsid w:val="00721AF1"/>
    <w:rsid w:val="0072280F"/>
    <w:rsid w:val="00722B5E"/>
    <w:rsid w:val="00723EC0"/>
    <w:rsid w:val="0072708F"/>
    <w:rsid w:val="00727C6C"/>
    <w:rsid w:val="0073150B"/>
    <w:rsid w:val="00732D1D"/>
    <w:rsid w:val="00736034"/>
    <w:rsid w:val="0073681C"/>
    <w:rsid w:val="00740619"/>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674F7"/>
    <w:rsid w:val="0077111A"/>
    <w:rsid w:val="00772272"/>
    <w:rsid w:val="00774535"/>
    <w:rsid w:val="007756ED"/>
    <w:rsid w:val="007870FC"/>
    <w:rsid w:val="0078729B"/>
    <w:rsid w:val="00787CD0"/>
    <w:rsid w:val="00791053"/>
    <w:rsid w:val="00791A3A"/>
    <w:rsid w:val="00794196"/>
    <w:rsid w:val="00794A76"/>
    <w:rsid w:val="007951F3"/>
    <w:rsid w:val="0079671E"/>
    <w:rsid w:val="00797637"/>
    <w:rsid w:val="007A3680"/>
    <w:rsid w:val="007A59B8"/>
    <w:rsid w:val="007A6BEA"/>
    <w:rsid w:val="007B2862"/>
    <w:rsid w:val="007B662A"/>
    <w:rsid w:val="007C6049"/>
    <w:rsid w:val="007C7E22"/>
    <w:rsid w:val="007D1C16"/>
    <w:rsid w:val="007D28C9"/>
    <w:rsid w:val="007D3CC8"/>
    <w:rsid w:val="007D62F9"/>
    <w:rsid w:val="007D63A4"/>
    <w:rsid w:val="007E008D"/>
    <w:rsid w:val="007E1AA2"/>
    <w:rsid w:val="007E1AD0"/>
    <w:rsid w:val="007E312F"/>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11E0"/>
    <w:rsid w:val="008B1773"/>
    <w:rsid w:val="008B1823"/>
    <w:rsid w:val="008B6481"/>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F2477"/>
    <w:rsid w:val="00900DD1"/>
    <w:rsid w:val="009010F0"/>
    <w:rsid w:val="00901162"/>
    <w:rsid w:val="0090223A"/>
    <w:rsid w:val="009028E2"/>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5CF5"/>
    <w:rsid w:val="009500A1"/>
    <w:rsid w:val="0095037E"/>
    <w:rsid w:val="00952AAD"/>
    <w:rsid w:val="00952F4F"/>
    <w:rsid w:val="00954567"/>
    <w:rsid w:val="009547A9"/>
    <w:rsid w:val="00957466"/>
    <w:rsid w:val="0096260B"/>
    <w:rsid w:val="00963F05"/>
    <w:rsid w:val="00965469"/>
    <w:rsid w:val="009664D5"/>
    <w:rsid w:val="00970C69"/>
    <w:rsid w:val="00971F1C"/>
    <w:rsid w:val="0097211D"/>
    <w:rsid w:val="00972E10"/>
    <w:rsid w:val="009746CA"/>
    <w:rsid w:val="0097608D"/>
    <w:rsid w:val="0097659D"/>
    <w:rsid w:val="0097692D"/>
    <w:rsid w:val="00981963"/>
    <w:rsid w:val="00983C82"/>
    <w:rsid w:val="00983D29"/>
    <w:rsid w:val="00983E6E"/>
    <w:rsid w:val="00984520"/>
    <w:rsid w:val="0098545C"/>
    <w:rsid w:val="00990AAA"/>
    <w:rsid w:val="00992BA2"/>
    <w:rsid w:val="00992F83"/>
    <w:rsid w:val="0099508A"/>
    <w:rsid w:val="00997231"/>
    <w:rsid w:val="009974EB"/>
    <w:rsid w:val="009A1126"/>
    <w:rsid w:val="009A5029"/>
    <w:rsid w:val="009A63AC"/>
    <w:rsid w:val="009B1584"/>
    <w:rsid w:val="009B1B32"/>
    <w:rsid w:val="009B21CA"/>
    <w:rsid w:val="009B2648"/>
    <w:rsid w:val="009B285E"/>
    <w:rsid w:val="009C03E5"/>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401"/>
    <w:rsid w:val="009E6C54"/>
    <w:rsid w:val="009F2261"/>
    <w:rsid w:val="009F2A25"/>
    <w:rsid w:val="009F3EB4"/>
    <w:rsid w:val="009F5235"/>
    <w:rsid w:val="009F531A"/>
    <w:rsid w:val="009F6550"/>
    <w:rsid w:val="009F7655"/>
    <w:rsid w:val="009F786E"/>
    <w:rsid w:val="00A008DA"/>
    <w:rsid w:val="00A00902"/>
    <w:rsid w:val="00A039FF"/>
    <w:rsid w:val="00A05ACE"/>
    <w:rsid w:val="00A078CB"/>
    <w:rsid w:val="00A14AE3"/>
    <w:rsid w:val="00A16675"/>
    <w:rsid w:val="00A22CD6"/>
    <w:rsid w:val="00A234EC"/>
    <w:rsid w:val="00A2417A"/>
    <w:rsid w:val="00A2610D"/>
    <w:rsid w:val="00A26668"/>
    <w:rsid w:val="00A27804"/>
    <w:rsid w:val="00A36822"/>
    <w:rsid w:val="00A36AB5"/>
    <w:rsid w:val="00A37A23"/>
    <w:rsid w:val="00A411D1"/>
    <w:rsid w:val="00A43389"/>
    <w:rsid w:val="00A43E71"/>
    <w:rsid w:val="00A45753"/>
    <w:rsid w:val="00A47B15"/>
    <w:rsid w:val="00A52F84"/>
    <w:rsid w:val="00A5533F"/>
    <w:rsid w:val="00A56B05"/>
    <w:rsid w:val="00A57678"/>
    <w:rsid w:val="00A60E2F"/>
    <w:rsid w:val="00A63284"/>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A1B53"/>
    <w:rsid w:val="00AA3556"/>
    <w:rsid w:val="00AA35FD"/>
    <w:rsid w:val="00AA3DB7"/>
    <w:rsid w:val="00AB0340"/>
    <w:rsid w:val="00AB3012"/>
    <w:rsid w:val="00AB321C"/>
    <w:rsid w:val="00AB3450"/>
    <w:rsid w:val="00AB5B99"/>
    <w:rsid w:val="00AB688F"/>
    <w:rsid w:val="00AB75EA"/>
    <w:rsid w:val="00AB7AA2"/>
    <w:rsid w:val="00AC4BC1"/>
    <w:rsid w:val="00AD04BD"/>
    <w:rsid w:val="00AD1C72"/>
    <w:rsid w:val="00AD25F6"/>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25CAD"/>
    <w:rsid w:val="00B306AA"/>
    <w:rsid w:val="00B32AB3"/>
    <w:rsid w:val="00B34E7C"/>
    <w:rsid w:val="00B368EA"/>
    <w:rsid w:val="00B37EEF"/>
    <w:rsid w:val="00B424F8"/>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B0187"/>
    <w:rsid w:val="00BB1EB3"/>
    <w:rsid w:val="00BB2678"/>
    <w:rsid w:val="00BC013A"/>
    <w:rsid w:val="00BC1F94"/>
    <w:rsid w:val="00BC2343"/>
    <w:rsid w:val="00BC41FB"/>
    <w:rsid w:val="00BD30C8"/>
    <w:rsid w:val="00BD3EB4"/>
    <w:rsid w:val="00BD5C65"/>
    <w:rsid w:val="00BD71EE"/>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4D56"/>
    <w:rsid w:val="00C152FE"/>
    <w:rsid w:val="00C16739"/>
    <w:rsid w:val="00C22C7D"/>
    <w:rsid w:val="00C22CCE"/>
    <w:rsid w:val="00C231D6"/>
    <w:rsid w:val="00C23BA2"/>
    <w:rsid w:val="00C272C4"/>
    <w:rsid w:val="00C31C12"/>
    <w:rsid w:val="00C32AF2"/>
    <w:rsid w:val="00C331A9"/>
    <w:rsid w:val="00C33204"/>
    <w:rsid w:val="00C338EB"/>
    <w:rsid w:val="00C3465D"/>
    <w:rsid w:val="00C35643"/>
    <w:rsid w:val="00C379E9"/>
    <w:rsid w:val="00C4274D"/>
    <w:rsid w:val="00C439FB"/>
    <w:rsid w:val="00C43F23"/>
    <w:rsid w:val="00C50011"/>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A3F"/>
    <w:rsid w:val="00C96F5F"/>
    <w:rsid w:val="00C97391"/>
    <w:rsid w:val="00CA5927"/>
    <w:rsid w:val="00CA79EC"/>
    <w:rsid w:val="00CB39C2"/>
    <w:rsid w:val="00CB4664"/>
    <w:rsid w:val="00CB4C8C"/>
    <w:rsid w:val="00CB6782"/>
    <w:rsid w:val="00CC080A"/>
    <w:rsid w:val="00CC0994"/>
    <w:rsid w:val="00CD0AAD"/>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200BD"/>
    <w:rsid w:val="00D22399"/>
    <w:rsid w:val="00D33751"/>
    <w:rsid w:val="00D33924"/>
    <w:rsid w:val="00D34559"/>
    <w:rsid w:val="00D36F6E"/>
    <w:rsid w:val="00D3705B"/>
    <w:rsid w:val="00D37343"/>
    <w:rsid w:val="00D4205E"/>
    <w:rsid w:val="00D43EDF"/>
    <w:rsid w:val="00D45DB6"/>
    <w:rsid w:val="00D5574C"/>
    <w:rsid w:val="00D55B61"/>
    <w:rsid w:val="00D604CE"/>
    <w:rsid w:val="00D61982"/>
    <w:rsid w:val="00D6267A"/>
    <w:rsid w:val="00D67D12"/>
    <w:rsid w:val="00D7585A"/>
    <w:rsid w:val="00D77B06"/>
    <w:rsid w:val="00D80618"/>
    <w:rsid w:val="00D82494"/>
    <w:rsid w:val="00D84A4B"/>
    <w:rsid w:val="00D87506"/>
    <w:rsid w:val="00D92168"/>
    <w:rsid w:val="00D926C7"/>
    <w:rsid w:val="00D940B5"/>
    <w:rsid w:val="00D95CB0"/>
    <w:rsid w:val="00D977C0"/>
    <w:rsid w:val="00DA00A3"/>
    <w:rsid w:val="00DA13F3"/>
    <w:rsid w:val="00DA23C3"/>
    <w:rsid w:val="00DA2DE3"/>
    <w:rsid w:val="00DA7146"/>
    <w:rsid w:val="00DA716A"/>
    <w:rsid w:val="00DB1F4F"/>
    <w:rsid w:val="00DB37EE"/>
    <w:rsid w:val="00DB4450"/>
    <w:rsid w:val="00DB7B69"/>
    <w:rsid w:val="00DC234A"/>
    <w:rsid w:val="00DC27AD"/>
    <w:rsid w:val="00DC41E4"/>
    <w:rsid w:val="00DC5116"/>
    <w:rsid w:val="00DC7C77"/>
    <w:rsid w:val="00DD2417"/>
    <w:rsid w:val="00DD47BB"/>
    <w:rsid w:val="00DD7251"/>
    <w:rsid w:val="00DD7EA2"/>
    <w:rsid w:val="00DE00F2"/>
    <w:rsid w:val="00DE117F"/>
    <w:rsid w:val="00DE401C"/>
    <w:rsid w:val="00DE5E81"/>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738C"/>
    <w:rsid w:val="00E210DA"/>
    <w:rsid w:val="00E22D28"/>
    <w:rsid w:val="00E230E3"/>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722B7"/>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13E8"/>
    <w:rsid w:val="00EA2244"/>
    <w:rsid w:val="00EA5D6D"/>
    <w:rsid w:val="00EA6FA7"/>
    <w:rsid w:val="00EB067F"/>
    <w:rsid w:val="00EB0BF5"/>
    <w:rsid w:val="00EB1F02"/>
    <w:rsid w:val="00EB3E72"/>
    <w:rsid w:val="00EB5BC5"/>
    <w:rsid w:val="00EC086C"/>
    <w:rsid w:val="00EC42D0"/>
    <w:rsid w:val="00EC50C3"/>
    <w:rsid w:val="00EC58C8"/>
    <w:rsid w:val="00EC638F"/>
    <w:rsid w:val="00EC64D3"/>
    <w:rsid w:val="00ED0183"/>
    <w:rsid w:val="00ED48AC"/>
    <w:rsid w:val="00EE01D9"/>
    <w:rsid w:val="00EE224C"/>
    <w:rsid w:val="00EE26F3"/>
    <w:rsid w:val="00EE4874"/>
    <w:rsid w:val="00EE53E7"/>
    <w:rsid w:val="00EE79A6"/>
    <w:rsid w:val="00EF03C6"/>
    <w:rsid w:val="00EF6111"/>
    <w:rsid w:val="00EF698A"/>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3D24"/>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91F6D"/>
    <w:rsid w:val="00F924E0"/>
    <w:rsid w:val="00F966DC"/>
    <w:rsid w:val="00F97B71"/>
    <w:rsid w:val="00FA2DDA"/>
    <w:rsid w:val="00FA34CA"/>
    <w:rsid w:val="00FA4A55"/>
    <w:rsid w:val="00FA4D4F"/>
    <w:rsid w:val="00FA54E8"/>
    <w:rsid w:val="00FA7193"/>
    <w:rsid w:val="00FA7910"/>
    <w:rsid w:val="00FB2D17"/>
    <w:rsid w:val="00FB2F69"/>
    <w:rsid w:val="00FB368B"/>
    <w:rsid w:val="00FB45FF"/>
    <w:rsid w:val="00FB572A"/>
    <w:rsid w:val="00FB5D97"/>
    <w:rsid w:val="00FB60BE"/>
    <w:rsid w:val="00FC1CA5"/>
    <w:rsid w:val="00FC219C"/>
    <w:rsid w:val="00FC2979"/>
    <w:rsid w:val="00FC7578"/>
    <w:rsid w:val="00FD1C3C"/>
    <w:rsid w:val="00FD1E02"/>
    <w:rsid w:val="00FD38A8"/>
    <w:rsid w:val="00FD5F64"/>
    <w:rsid w:val="00FD6AC8"/>
    <w:rsid w:val="00FE3EA1"/>
    <w:rsid w:val="00FE4818"/>
    <w:rsid w:val="00FE5D80"/>
    <w:rsid w:val="00FE67F1"/>
    <w:rsid w:val="00FF1577"/>
    <w:rsid w:val="00FF351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5:docId w15:val="{08FAAC48-88AC-481E-94BE-FB9EB862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FD1E02"/>
    <w:pPr>
      <w:keepNext/>
      <w:keepLines/>
      <w:spacing w:before="340" w:after="330" w:line="578" w:lineRule="auto"/>
      <w:outlineLvl w:val="0"/>
    </w:pPr>
    <w:rPr>
      <w:b/>
      <w:bCs/>
      <w:kern w:val="44"/>
      <w:sz w:val="44"/>
      <w:szCs w:val="44"/>
    </w:rPr>
  </w:style>
  <w:style w:type="paragraph" w:styleId="2">
    <w:name w:val="heading 2"/>
    <w:basedOn w:val="a"/>
    <w:next w:val="a0"/>
    <w:qFormat/>
    <w:rsid w:val="00C1289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12898"/>
    <w:pPr>
      <w:ind w:firstLineChars="200" w:firstLine="420"/>
    </w:pPr>
  </w:style>
  <w:style w:type="paragraph" w:styleId="a4">
    <w:name w:val="Body Text Indent"/>
    <w:basedOn w:val="a"/>
    <w:rsid w:val="00C1289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C12898"/>
    <w:rPr>
      <w:rFonts w:ascii="宋体" w:hAnsi="Courier New"/>
      <w:szCs w:val="21"/>
    </w:rPr>
  </w:style>
  <w:style w:type="paragraph" w:styleId="20">
    <w:name w:val="Body Text Indent 2"/>
    <w:basedOn w:val="a"/>
    <w:rsid w:val="00C12898"/>
    <w:pPr>
      <w:spacing w:line="560" w:lineRule="exact"/>
      <w:ind w:firstLineChars="200" w:firstLine="480"/>
    </w:pPr>
    <w:rPr>
      <w:rFonts w:ascii="宋体" w:hAnsi="宋体"/>
      <w:color w:val="FF0000"/>
      <w:sz w:val="24"/>
    </w:rPr>
  </w:style>
  <w:style w:type="paragraph" w:styleId="a6">
    <w:name w:val="footer"/>
    <w:basedOn w:val="a"/>
    <w:rsid w:val="00C12898"/>
    <w:pPr>
      <w:tabs>
        <w:tab w:val="center" w:pos="4153"/>
        <w:tab w:val="right" w:pos="8306"/>
      </w:tabs>
      <w:snapToGrid w:val="0"/>
      <w:jc w:val="left"/>
    </w:pPr>
    <w:rPr>
      <w:sz w:val="18"/>
      <w:szCs w:val="18"/>
    </w:rPr>
  </w:style>
  <w:style w:type="character" w:styleId="a7">
    <w:name w:val="page number"/>
    <w:basedOn w:val="a1"/>
    <w:rsid w:val="00C12898"/>
  </w:style>
  <w:style w:type="character" w:styleId="a8">
    <w:name w:val="Hyperlink"/>
    <w:basedOn w:val="a1"/>
    <w:rsid w:val="00C12898"/>
    <w:rPr>
      <w:color w:val="0000FF"/>
      <w:u w:val="single"/>
    </w:rPr>
  </w:style>
  <w:style w:type="paragraph" w:styleId="3">
    <w:name w:val="Body Text Indent 3"/>
    <w:basedOn w:val="a"/>
    <w:rsid w:val="00C12898"/>
    <w:pPr>
      <w:spacing w:line="560" w:lineRule="exact"/>
      <w:ind w:firstLineChars="200" w:firstLine="420"/>
    </w:pPr>
    <w:rPr>
      <w:rFonts w:ascii="Arial" w:hAnsi="Arial" w:cs="Arial"/>
      <w:color w:val="FF0000"/>
    </w:rPr>
  </w:style>
  <w:style w:type="paragraph" w:styleId="a9">
    <w:name w:val="header"/>
    <w:basedOn w:val="a"/>
    <w:link w:val="Char0"/>
    <w:uiPriority w:val="99"/>
    <w:rsid w:val="00C12898"/>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C12898"/>
    <w:rPr>
      <w:color w:val="800080"/>
      <w:u w:val="single"/>
    </w:rPr>
  </w:style>
  <w:style w:type="paragraph" w:styleId="ab">
    <w:name w:val="List"/>
    <w:basedOn w:val="ac"/>
    <w:rsid w:val="00C12898"/>
    <w:pPr>
      <w:spacing w:after="220" w:line="220" w:lineRule="atLeast"/>
      <w:ind w:left="1440" w:hanging="360"/>
    </w:pPr>
    <w:rPr>
      <w:szCs w:val="20"/>
    </w:rPr>
  </w:style>
  <w:style w:type="paragraph" w:styleId="ac">
    <w:name w:val="Body Text"/>
    <w:basedOn w:val="a"/>
    <w:rsid w:val="00C12898"/>
    <w:pPr>
      <w:spacing w:after="120"/>
    </w:pPr>
  </w:style>
  <w:style w:type="paragraph" w:styleId="ad">
    <w:name w:val="Date"/>
    <w:basedOn w:val="a"/>
    <w:next w:val="a"/>
    <w:link w:val="Char1"/>
    <w:rsid w:val="00C12898"/>
    <w:rPr>
      <w:sz w:val="24"/>
      <w:szCs w:val="20"/>
    </w:rPr>
  </w:style>
  <w:style w:type="character" w:customStyle="1" w:styleId="c1">
    <w:name w:val="c1"/>
    <w:basedOn w:val="a1"/>
    <w:rsid w:val="00C12898"/>
    <w:rPr>
      <w:color w:val="000000"/>
      <w:sz w:val="18"/>
      <w:szCs w:val="18"/>
    </w:rPr>
  </w:style>
  <w:style w:type="paragraph" w:styleId="10">
    <w:name w:val="index 1"/>
    <w:basedOn w:val="a"/>
    <w:next w:val="a"/>
    <w:autoRedefine/>
    <w:semiHidden/>
    <w:rsid w:val="00C12898"/>
    <w:pPr>
      <w:jc w:val="right"/>
    </w:pPr>
    <w:rPr>
      <w:color w:val="008000"/>
    </w:rPr>
  </w:style>
  <w:style w:type="paragraph" w:customStyle="1" w:styleId="font5">
    <w:name w:val="font5"/>
    <w:basedOn w:val="a"/>
    <w:rsid w:val="00C1289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C1289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C12898"/>
    <w:rPr>
      <w:sz w:val="18"/>
      <w:szCs w:val="18"/>
    </w:rPr>
  </w:style>
  <w:style w:type="character" w:styleId="af">
    <w:name w:val="annotation reference"/>
    <w:basedOn w:val="a1"/>
    <w:semiHidden/>
    <w:rsid w:val="00C12898"/>
    <w:rPr>
      <w:sz w:val="21"/>
      <w:szCs w:val="21"/>
    </w:rPr>
  </w:style>
  <w:style w:type="paragraph" w:styleId="af0">
    <w:name w:val="annotation text"/>
    <w:basedOn w:val="a"/>
    <w:semiHidden/>
    <w:rsid w:val="00C12898"/>
    <w:pPr>
      <w:jc w:val="left"/>
    </w:pPr>
  </w:style>
  <w:style w:type="paragraph" w:styleId="af1">
    <w:name w:val="annotation subject"/>
    <w:basedOn w:val="af0"/>
    <w:next w:val="af0"/>
    <w:semiHidden/>
    <w:rsid w:val="00C12898"/>
    <w:rPr>
      <w:b/>
      <w:bCs/>
    </w:rPr>
  </w:style>
  <w:style w:type="paragraph" w:customStyle="1" w:styleId="Char2">
    <w:name w:val="Char"/>
    <w:basedOn w:val="a"/>
    <w:rsid w:val="00C12898"/>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42253F"/>
    <w:rPr>
      <w:rFonts w:ascii="宋体" w:hAnsi="Courier New"/>
      <w:kern w:val="2"/>
      <w:sz w:val="21"/>
      <w:szCs w:val="21"/>
    </w:rPr>
  </w:style>
  <w:style w:type="paragraph" w:customStyle="1" w:styleId="Default">
    <w:name w:val="Default"/>
    <w:rsid w:val="00695296"/>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FB572A"/>
    <w:rPr>
      <w:kern w:val="2"/>
      <w:sz w:val="18"/>
      <w:szCs w:val="18"/>
    </w:rPr>
  </w:style>
  <w:style w:type="character" w:customStyle="1" w:styleId="1Char">
    <w:name w:val="标题 1 Char"/>
    <w:basedOn w:val="a1"/>
    <w:link w:val="1"/>
    <w:rsid w:val="00FD1E02"/>
    <w:rPr>
      <w:b/>
      <w:bCs/>
      <w:kern w:val="44"/>
      <w:sz w:val="44"/>
      <w:szCs w:val="44"/>
    </w:rPr>
  </w:style>
  <w:style w:type="paragraph" w:styleId="HTML">
    <w:name w:val="HTML Preformatted"/>
    <w:basedOn w:val="a"/>
    <w:link w:val="HTMLChar"/>
    <w:uiPriority w:val="99"/>
    <w:unhideWhenUsed/>
    <w:rsid w:val="00634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34900"/>
    <w:rPr>
      <w:rFonts w:ascii="宋体" w:hAnsi="宋体" w:cs="宋体"/>
      <w:sz w:val="24"/>
      <w:szCs w:val="24"/>
    </w:rPr>
  </w:style>
  <w:style w:type="character" w:customStyle="1" w:styleId="Char1">
    <w:name w:val="日期 Char"/>
    <w:basedOn w:val="a1"/>
    <w:link w:val="ad"/>
    <w:rsid w:val="00F27C38"/>
    <w:rPr>
      <w:kern w:val="2"/>
      <w:sz w:val="24"/>
    </w:rPr>
  </w:style>
  <w:style w:type="character" w:styleId="af8">
    <w:name w:val="Strong"/>
    <w:basedOn w:val="a1"/>
    <w:uiPriority w:val="22"/>
    <w:qFormat/>
    <w:rsid w:val="00C4274D"/>
    <w:rPr>
      <w:b/>
      <w:bCs/>
    </w:rPr>
  </w:style>
  <w:style w:type="paragraph" w:styleId="af9">
    <w:name w:val="Revision"/>
    <w:hidden/>
    <w:uiPriority w:val="99"/>
    <w:semiHidden/>
    <w:rsid w:val="00F924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7698193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81725568">
      <w:bodyDiv w:val="1"/>
      <w:marLeft w:val="0"/>
      <w:marRight w:val="0"/>
      <w:marTop w:val="0"/>
      <w:marBottom w:val="0"/>
      <w:divBdr>
        <w:top w:val="none" w:sz="0" w:space="0" w:color="auto"/>
        <w:left w:val="none" w:sz="0" w:space="0" w:color="auto"/>
        <w:bottom w:val="none" w:sz="0" w:space="0" w:color="auto"/>
        <w:right w:val="none" w:sz="0" w:space="0" w:color="auto"/>
      </w:divBdr>
    </w:div>
    <w:div w:id="1649044647">
      <w:bodyDiv w:val="1"/>
      <w:marLeft w:val="0"/>
      <w:marRight w:val="0"/>
      <w:marTop w:val="0"/>
      <w:marBottom w:val="0"/>
      <w:divBdr>
        <w:top w:val="none" w:sz="0" w:space="0" w:color="auto"/>
        <w:left w:val="none" w:sz="0" w:space="0" w:color="auto"/>
        <w:bottom w:val="none" w:sz="0" w:space="0" w:color="auto"/>
        <w:right w:val="none" w:sz="0" w:space="0" w:color="auto"/>
      </w:divBdr>
    </w:div>
    <w:div w:id="1970474325">
      <w:bodyDiv w:val="1"/>
      <w:marLeft w:val="0"/>
      <w:marRight w:val="0"/>
      <w:marTop w:val="0"/>
      <w:marBottom w:val="0"/>
      <w:divBdr>
        <w:top w:val="none" w:sz="0" w:space="0" w:color="auto"/>
        <w:left w:val="none" w:sz="0" w:space="0" w:color="auto"/>
        <w:bottom w:val="none" w:sz="0" w:space="0" w:color="auto"/>
        <w:right w:val="none" w:sz="0" w:space="0" w:color="auto"/>
      </w:divBdr>
    </w:div>
    <w:div w:id="21201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15</Pages>
  <Words>1117</Words>
  <Characters>6368</Characters>
  <Application>Microsoft Office Word</Application>
  <DocSecurity>0</DocSecurity>
  <Lines>53</Lines>
  <Paragraphs>14</Paragraphs>
  <ScaleCrop>false</ScaleCrop>
  <Company>TRT. Ltd. Co.</Company>
  <LinksUpToDate>false</LinksUpToDate>
  <CharactersWithSpaces>7471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174</cp:revision>
  <cp:lastPrinted>2007-07-19T00:46:00Z</cp:lastPrinted>
  <dcterms:created xsi:type="dcterms:W3CDTF">2012-11-28T02:28:00Z</dcterms:created>
  <dcterms:modified xsi:type="dcterms:W3CDTF">2016-07-19T06:56:00Z</dcterms:modified>
</cp:coreProperties>
</file>