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425,488,278.42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C91722">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402,154,039.59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23,334,238.83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7,749,889.46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411,516.78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-971,467.44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-93,184.06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428,209,795.95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24,749,923.27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1.061</w:t>
            </w:r>
          </w:p>
        </w:tc>
      </w:tr>
    </w:tbl>
    <w:p w:rsidR="005E5314" w:rsidRDefault="006A7A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E5314">
        <w:trPr>
          <w:jc w:val="center"/>
        </w:trPr>
        <w:tc>
          <w:tcPr>
            <w:tcW w:w="1266" w:type="dxa"/>
            <w:vAlign w:val="center"/>
          </w:tcPr>
          <w:p w:rsidR="005E5314" w:rsidRDefault="006A7A57">
            <w:pPr>
              <w:jc w:val="left"/>
            </w:pPr>
            <w:r>
              <w:rPr>
                <w:color w:val="000000"/>
                <w:sz w:val="24"/>
              </w:rPr>
              <w:lastRenderedPageBreak/>
              <w:t>过去三个月</w:t>
            </w:r>
          </w:p>
        </w:tc>
        <w:tc>
          <w:tcPr>
            <w:tcW w:w="1267" w:type="dxa"/>
            <w:vAlign w:val="center"/>
          </w:tcPr>
          <w:p w:rsidR="005E5314" w:rsidRDefault="006A7A57">
            <w:pPr>
              <w:jc w:val="center"/>
            </w:pPr>
            <w:r>
              <w:rPr>
                <w:color w:val="000000"/>
                <w:sz w:val="24"/>
              </w:rPr>
              <w:t>-0.19%</w:t>
            </w:r>
          </w:p>
        </w:tc>
        <w:tc>
          <w:tcPr>
            <w:tcW w:w="1267" w:type="dxa"/>
            <w:vAlign w:val="center"/>
          </w:tcPr>
          <w:p w:rsidR="005E5314" w:rsidRDefault="006A7A57">
            <w:pPr>
              <w:jc w:val="center"/>
            </w:pPr>
            <w:r>
              <w:rPr>
                <w:color w:val="000000"/>
                <w:sz w:val="24"/>
              </w:rPr>
              <w:t>0.10%</w:t>
            </w:r>
          </w:p>
        </w:tc>
        <w:tc>
          <w:tcPr>
            <w:tcW w:w="1267" w:type="dxa"/>
            <w:vAlign w:val="center"/>
          </w:tcPr>
          <w:p w:rsidR="005E5314" w:rsidRDefault="006A7A57">
            <w:pPr>
              <w:jc w:val="center"/>
            </w:pPr>
            <w:r>
              <w:rPr>
                <w:color w:val="000000"/>
                <w:sz w:val="24"/>
              </w:rPr>
              <w:t>0.85%</w:t>
            </w:r>
          </w:p>
        </w:tc>
        <w:tc>
          <w:tcPr>
            <w:tcW w:w="1267" w:type="dxa"/>
            <w:vAlign w:val="center"/>
          </w:tcPr>
          <w:p w:rsidR="005E5314" w:rsidRDefault="006A7A57">
            <w:pPr>
              <w:jc w:val="center"/>
            </w:pPr>
            <w:r>
              <w:rPr>
                <w:color w:val="000000"/>
                <w:sz w:val="24"/>
              </w:rPr>
              <w:t>0.01%</w:t>
            </w:r>
          </w:p>
        </w:tc>
        <w:tc>
          <w:tcPr>
            <w:tcW w:w="1267" w:type="dxa"/>
            <w:vAlign w:val="center"/>
          </w:tcPr>
          <w:p w:rsidR="005E5314" w:rsidRDefault="006A7A57">
            <w:pPr>
              <w:jc w:val="center"/>
            </w:pPr>
            <w:r>
              <w:rPr>
                <w:color w:val="000000"/>
                <w:sz w:val="24"/>
              </w:rPr>
              <w:t>-1.04%</w:t>
            </w:r>
          </w:p>
        </w:tc>
        <w:tc>
          <w:tcPr>
            <w:tcW w:w="1267" w:type="dxa"/>
            <w:vAlign w:val="center"/>
          </w:tcPr>
          <w:p w:rsidR="005E5314" w:rsidRDefault="006A7A57">
            <w:pPr>
              <w:jc w:val="center"/>
            </w:pPr>
            <w:r>
              <w:rPr>
                <w:color w:val="000000"/>
                <w:sz w:val="24"/>
              </w:rPr>
              <w:t>0.09%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E5314">
        <w:trPr>
          <w:jc w:val="center"/>
        </w:trPr>
        <w:tc>
          <w:tcPr>
            <w:tcW w:w="1266" w:type="dxa"/>
            <w:vAlign w:val="center"/>
          </w:tcPr>
          <w:p w:rsidR="005E5314" w:rsidRDefault="006A7A57">
            <w:pPr>
              <w:jc w:val="left"/>
            </w:pPr>
            <w:r>
              <w:rPr>
                <w:color w:val="000000"/>
                <w:sz w:val="24"/>
              </w:rPr>
              <w:t>过去三个月</w:t>
            </w:r>
          </w:p>
        </w:tc>
        <w:tc>
          <w:tcPr>
            <w:tcW w:w="1267" w:type="dxa"/>
            <w:vAlign w:val="center"/>
          </w:tcPr>
          <w:p w:rsidR="005E5314" w:rsidRDefault="006A7A57">
            <w:pPr>
              <w:jc w:val="center"/>
            </w:pPr>
            <w:r>
              <w:rPr>
                <w:color w:val="000000"/>
                <w:sz w:val="24"/>
              </w:rPr>
              <w:t>-0.38%</w:t>
            </w:r>
          </w:p>
        </w:tc>
        <w:tc>
          <w:tcPr>
            <w:tcW w:w="1267" w:type="dxa"/>
            <w:vAlign w:val="center"/>
          </w:tcPr>
          <w:p w:rsidR="005E5314" w:rsidRDefault="006A7A57">
            <w:pPr>
              <w:jc w:val="center"/>
            </w:pPr>
            <w:r>
              <w:rPr>
                <w:color w:val="000000"/>
                <w:sz w:val="24"/>
              </w:rPr>
              <w:t>0.11%</w:t>
            </w:r>
          </w:p>
        </w:tc>
        <w:tc>
          <w:tcPr>
            <w:tcW w:w="1267" w:type="dxa"/>
            <w:vAlign w:val="center"/>
          </w:tcPr>
          <w:p w:rsidR="005E5314" w:rsidRDefault="006A7A57">
            <w:pPr>
              <w:jc w:val="center"/>
            </w:pPr>
            <w:r>
              <w:rPr>
                <w:color w:val="000000"/>
                <w:sz w:val="24"/>
              </w:rPr>
              <w:t>0.85%</w:t>
            </w:r>
          </w:p>
        </w:tc>
        <w:tc>
          <w:tcPr>
            <w:tcW w:w="1267" w:type="dxa"/>
            <w:vAlign w:val="center"/>
          </w:tcPr>
          <w:p w:rsidR="005E5314" w:rsidRDefault="006A7A57">
            <w:pPr>
              <w:jc w:val="center"/>
            </w:pPr>
            <w:r>
              <w:rPr>
                <w:color w:val="000000"/>
                <w:sz w:val="24"/>
              </w:rPr>
              <w:t>0.01%</w:t>
            </w:r>
          </w:p>
        </w:tc>
        <w:tc>
          <w:tcPr>
            <w:tcW w:w="1267" w:type="dxa"/>
            <w:vAlign w:val="center"/>
          </w:tcPr>
          <w:p w:rsidR="005E5314" w:rsidRDefault="006A7A57">
            <w:pPr>
              <w:jc w:val="center"/>
            </w:pPr>
            <w:r>
              <w:rPr>
                <w:color w:val="000000"/>
                <w:sz w:val="24"/>
              </w:rPr>
              <w:t>-1.23%</w:t>
            </w:r>
          </w:p>
        </w:tc>
        <w:tc>
          <w:tcPr>
            <w:tcW w:w="1267" w:type="dxa"/>
            <w:vAlign w:val="center"/>
          </w:tcPr>
          <w:p w:rsidR="005E5314" w:rsidRDefault="006A7A57">
            <w:pPr>
              <w:jc w:val="center"/>
            </w:pPr>
            <w:r>
              <w:rPr>
                <w:color w:val="000000"/>
                <w:sz w:val="24"/>
              </w:rPr>
              <w:t>0.10%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E5314">
        <w:trPr>
          <w:jc w:val="center"/>
        </w:trPr>
        <w:tc>
          <w:tcPr>
            <w:tcW w:w="946" w:type="dxa"/>
            <w:vAlign w:val="center"/>
          </w:tcPr>
          <w:p w:rsidR="005E5314" w:rsidRDefault="006A7A57">
            <w:pPr>
              <w:jc w:val="center"/>
            </w:pPr>
            <w:r>
              <w:rPr>
                <w:color w:val="000000"/>
                <w:sz w:val="24"/>
              </w:rPr>
              <w:t>孙超</w:t>
            </w:r>
          </w:p>
        </w:tc>
        <w:tc>
          <w:tcPr>
            <w:tcW w:w="924" w:type="dxa"/>
            <w:vAlign w:val="center"/>
          </w:tcPr>
          <w:p w:rsidR="005E5314" w:rsidRDefault="006A7A57">
            <w:pPr>
              <w:jc w:val="center"/>
            </w:pPr>
            <w:r>
              <w:rPr>
                <w:color w:val="000000"/>
                <w:sz w:val="24"/>
              </w:rPr>
              <w:t>交银增利债券、交银纯债债券发起、交银荣祥保本混合、交银荣泰</w:t>
            </w:r>
            <w:r>
              <w:rPr>
                <w:color w:val="000000"/>
                <w:sz w:val="24"/>
              </w:rPr>
              <w:lastRenderedPageBreak/>
              <w:t>保本混合、交银定期支付月月丰债券、交银强化回报债券、交银丰润收益债券、交银丰享收益债券、交银丰泽收益债券、交银丰硕收益债券、交银荣鑫保本混合的基金经理</w:t>
            </w:r>
          </w:p>
        </w:tc>
        <w:tc>
          <w:tcPr>
            <w:tcW w:w="1202" w:type="dxa"/>
            <w:vAlign w:val="center"/>
          </w:tcPr>
          <w:p w:rsidR="005E5314" w:rsidRDefault="006A7A57">
            <w:pPr>
              <w:jc w:val="center"/>
            </w:pPr>
            <w:r>
              <w:rPr>
                <w:color w:val="000000"/>
                <w:sz w:val="24"/>
              </w:rPr>
              <w:lastRenderedPageBreak/>
              <w:t>2014-12-15</w:t>
            </w:r>
          </w:p>
        </w:tc>
        <w:tc>
          <w:tcPr>
            <w:tcW w:w="1300" w:type="dxa"/>
            <w:vAlign w:val="center"/>
          </w:tcPr>
          <w:p w:rsidR="005E5314" w:rsidRDefault="006A7A57">
            <w:pPr>
              <w:jc w:val="center"/>
            </w:pPr>
            <w:r>
              <w:rPr>
                <w:color w:val="000000"/>
                <w:sz w:val="24"/>
              </w:rPr>
              <w:t>-</w:t>
            </w:r>
          </w:p>
        </w:tc>
        <w:tc>
          <w:tcPr>
            <w:tcW w:w="1245" w:type="dxa"/>
            <w:vAlign w:val="center"/>
          </w:tcPr>
          <w:p w:rsidR="005E5314" w:rsidRDefault="006A7A57">
            <w:pPr>
              <w:jc w:val="center"/>
            </w:pPr>
            <w:r>
              <w:rPr>
                <w:color w:val="000000"/>
                <w:sz w:val="24"/>
              </w:rPr>
              <w:t>5</w:t>
            </w:r>
            <w:r>
              <w:rPr>
                <w:color w:val="000000"/>
                <w:sz w:val="24"/>
              </w:rPr>
              <w:t>年</w:t>
            </w:r>
          </w:p>
        </w:tc>
        <w:tc>
          <w:tcPr>
            <w:tcW w:w="3251" w:type="dxa"/>
            <w:vAlign w:val="center"/>
          </w:tcPr>
          <w:p w:rsidR="005E5314" w:rsidRDefault="006A7A5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r w:rsidR="005E5314">
        <w:trPr>
          <w:jc w:val="center"/>
        </w:trPr>
        <w:tc>
          <w:tcPr>
            <w:tcW w:w="946" w:type="dxa"/>
            <w:vAlign w:val="center"/>
          </w:tcPr>
          <w:p w:rsidR="005E5314" w:rsidRDefault="006A7A57">
            <w:pPr>
              <w:jc w:val="center"/>
            </w:pPr>
            <w:r>
              <w:rPr>
                <w:color w:val="000000"/>
                <w:sz w:val="24"/>
              </w:rPr>
              <w:lastRenderedPageBreak/>
              <w:t>连端清</w:t>
            </w:r>
          </w:p>
        </w:tc>
        <w:tc>
          <w:tcPr>
            <w:tcW w:w="924" w:type="dxa"/>
            <w:vAlign w:val="center"/>
          </w:tcPr>
          <w:p w:rsidR="005E5314" w:rsidRDefault="006A7A57">
            <w:pPr>
              <w:jc w:val="center"/>
            </w:pPr>
            <w:r>
              <w:rPr>
                <w:color w:val="000000"/>
                <w:sz w:val="24"/>
              </w:rPr>
              <w:t>交银货币、交银理财</w:t>
            </w:r>
            <w:r>
              <w:rPr>
                <w:color w:val="000000"/>
                <w:sz w:val="24"/>
              </w:rPr>
              <w:t>60</w:t>
            </w:r>
            <w:r>
              <w:rPr>
                <w:color w:val="000000"/>
                <w:sz w:val="24"/>
              </w:rPr>
              <w:t>天债券、交银丰盈收益</w:t>
            </w:r>
            <w:r>
              <w:rPr>
                <w:color w:val="000000"/>
                <w:sz w:val="24"/>
              </w:rPr>
              <w:lastRenderedPageBreak/>
              <w:t>债券、交银现金宝货币、交银丰润收益债券的基金经理</w:t>
            </w:r>
          </w:p>
        </w:tc>
        <w:tc>
          <w:tcPr>
            <w:tcW w:w="1202" w:type="dxa"/>
            <w:vAlign w:val="center"/>
          </w:tcPr>
          <w:p w:rsidR="005E5314" w:rsidRDefault="006A7A57">
            <w:pPr>
              <w:jc w:val="center"/>
            </w:pPr>
            <w:r>
              <w:rPr>
                <w:color w:val="000000"/>
                <w:sz w:val="24"/>
              </w:rPr>
              <w:lastRenderedPageBreak/>
              <w:t>2015-08-04</w:t>
            </w:r>
          </w:p>
        </w:tc>
        <w:tc>
          <w:tcPr>
            <w:tcW w:w="1300" w:type="dxa"/>
            <w:vAlign w:val="center"/>
          </w:tcPr>
          <w:p w:rsidR="005E5314" w:rsidRDefault="006A7A57">
            <w:pPr>
              <w:jc w:val="center"/>
            </w:pPr>
            <w:r>
              <w:rPr>
                <w:color w:val="000000"/>
                <w:sz w:val="24"/>
              </w:rPr>
              <w:t>-</w:t>
            </w:r>
          </w:p>
        </w:tc>
        <w:tc>
          <w:tcPr>
            <w:tcW w:w="1245" w:type="dxa"/>
            <w:vAlign w:val="center"/>
          </w:tcPr>
          <w:p w:rsidR="005E5314" w:rsidRDefault="006A7A57">
            <w:pPr>
              <w:jc w:val="center"/>
            </w:pPr>
            <w:r>
              <w:rPr>
                <w:color w:val="000000"/>
                <w:sz w:val="24"/>
              </w:rPr>
              <w:t>5</w:t>
            </w:r>
            <w:r>
              <w:rPr>
                <w:color w:val="000000"/>
                <w:sz w:val="24"/>
              </w:rPr>
              <w:t>年</w:t>
            </w:r>
          </w:p>
        </w:tc>
        <w:tc>
          <w:tcPr>
            <w:tcW w:w="3251" w:type="dxa"/>
            <w:vAlign w:val="center"/>
          </w:tcPr>
          <w:p w:rsidR="005E5314" w:rsidRDefault="006A7A5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5E5314" w:rsidRDefault="006A7A57">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E5314" w:rsidRDefault="006A7A5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E5314" w:rsidRDefault="006A7A5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E5314" w:rsidRDefault="006A7A5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E5314" w:rsidRDefault="006A7A57">
      <w:pPr>
        <w:spacing w:before="29" w:line="288" w:lineRule="auto"/>
        <w:ind w:firstLineChars="200" w:firstLine="480"/>
        <w:rPr>
          <w:color w:val="000000"/>
          <w:sz w:val="24"/>
        </w:rPr>
      </w:pPr>
      <w:r>
        <w:rPr>
          <w:color w:val="000000"/>
          <w:sz w:val="24"/>
        </w:rPr>
        <w:t>2016</w:t>
      </w:r>
      <w:r>
        <w:rPr>
          <w:color w:val="000000"/>
          <w:sz w:val="24"/>
        </w:rPr>
        <w:t>年二季度，房价飙升引发各界担忧，部分城市开始再次收紧房地产政策。</w:t>
      </w:r>
      <w:r>
        <w:rPr>
          <w:color w:val="000000"/>
          <w:sz w:val="24"/>
        </w:rPr>
        <w:t>5</w:t>
      </w:r>
      <w:r>
        <w:rPr>
          <w:color w:val="000000"/>
          <w:sz w:val="24"/>
        </w:rPr>
        <w:t>月份权威人士指出未来几年经济呈</w:t>
      </w:r>
      <w:r>
        <w:rPr>
          <w:color w:val="000000"/>
          <w:sz w:val="24"/>
        </w:rPr>
        <w:t>L</w:t>
      </w:r>
      <w:r>
        <w:rPr>
          <w:color w:val="000000"/>
          <w:sz w:val="24"/>
        </w:rPr>
        <w:t>型走势，强调</w:t>
      </w:r>
      <w:r>
        <w:rPr>
          <w:color w:val="000000"/>
          <w:sz w:val="24"/>
        </w:rPr>
        <w:t>“</w:t>
      </w:r>
      <w:r>
        <w:rPr>
          <w:color w:val="000000"/>
          <w:sz w:val="24"/>
        </w:rPr>
        <w:t>坚定不移以推进供给侧结构性改革为主线</w:t>
      </w:r>
      <w:r>
        <w:rPr>
          <w:color w:val="000000"/>
          <w:sz w:val="24"/>
        </w:rPr>
        <w:t>……</w:t>
      </w:r>
      <w:r>
        <w:rPr>
          <w:color w:val="000000"/>
          <w:sz w:val="24"/>
        </w:rPr>
        <w:t>不能也没必要用加杠杆的办法硬推经济增长</w:t>
      </w:r>
      <w:r>
        <w:rPr>
          <w:color w:val="000000"/>
          <w:sz w:val="24"/>
        </w:rPr>
        <w:t>”</w:t>
      </w:r>
      <w:r>
        <w:rPr>
          <w:color w:val="000000"/>
          <w:sz w:val="24"/>
        </w:rPr>
        <w:t>。</w:t>
      </w:r>
      <w:r>
        <w:rPr>
          <w:color w:val="000000"/>
          <w:sz w:val="24"/>
        </w:rPr>
        <w:t>4</w:t>
      </w:r>
      <w:r>
        <w:rPr>
          <w:color w:val="000000"/>
          <w:sz w:val="24"/>
        </w:rPr>
        <w:t>月份房地产投资增速虽然惯性上冲到</w:t>
      </w:r>
      <w:r>
        <w:rPr>
          <w:color w:val="000000"/>
          <w:sz w:val="24"/>
        </w:rPr>
        <w:t>7.2%</w:t>
      </w:r>
      <w:r>
        <w:rPr>
          <w:color w:val="000000"/>
          <w:sz w:val="24"/>
        </w:rPr>
        <w:t>，但</w:t>
      </w:r>
      <w:r>
        <w:rPr>
          <w:color w:val="000000"/>
          <w:sz w:val="24"/>
        </w:rPr>
        <w:t>5</w:t>
      </w:r>
      <w:r>
        <w:rPr>
          <w:color w:val="000000"/>
          <w:sz w:val="24"/>
        </w:rPr>
        <w:t>月份回落至</w:t>
      </w:r>
      <w:r>
        <w:rPr>
          <w:color w:val="000000"/>
          <w:sz w:val="24"/>
        </w:rPr>
        <w:t>7%</w:t>
      </w:r>
      <w:r>
        <w:rPr>
          <w:color w:val="000000"/>
          <w:sz w:val="24"/>
        </w:rPr>
        <w:t>。</w:t>
      </w:r>
      <w:r>
        <w:rPr>
          <w:color w:val="000000"/>
          <w:sz w:val="24"/>
        </w:rPr>
        <w:t>2016</w:t>
      </w:r>
      <w:r>
        <w:rPr>
          <w:color w:val="000000"/>
          <w:sz w:val="24"/>
        </w:rPr>
        <w:t>年二季度，</w:t>
      </w:r>
      <w:r>
        <w:rPr>
          <w:color w:val="000000"/>
          <w:sz w:val="24"/>
        </w:rPr>
        <w:t>CPI</w:t>
      </w:r>
      <w:r>
        <w:rPr>
          <w:color w:val="000000"/>
          <w:sz w:val="24"/>
        </w:rPr>
        <w:t>与中采</w:t>
      </w:r>
      <w:r>
        <w:rPr>
          <w:color w:val="000000"/>
          <w:sz w:val="24"/>
        </w:rPr>
        <w:t>PMI</w:t>
      </w:r>
      <w:r>
        <w:rPr>
          <w:color w:val="000000"/>
          <w:sz w:val="24"/>
        </w:rPr>
        <w:t>也呈回落态势。货币政策上，央行通过公开市场操作与定向工具来维持适度宽松的流动性，公开市场净投放力度较</w:t>
      </w:r>
      <w:r>
        <w:rPr>
          <w:color w:val="000000"/>
          <w:sz w:val="24"/>
        </w:rPr>
        <w:t>2016</w:t>
      </w:r>
      <w:r>
        <w:rPr>
          <w:color w:val="000000"/>
          <w:sz w:val="24"/>
        </w:rPr>
        <w:t>年一季度增强。</w:t>
      </w:r>
    </w:p>
    <w:p w:rsidR="005E5314" w:rsidRDefault="006A7A57">
      <w:pPr>
        <w:spacing w:before="29" w:line="288" w:lineRule="auto"/>
        <w:ind w:firstLineChars="200" w:firstLine="480"/>
        <w:rPr>
          <w:color w:val="000000"/>
          <w:sz w:val="24"/>
        </w:rPr>
      </w:pPr>
      <w:r>
        <w:rPr>
          <w:color w:val="000000"/>
          <w:sz w:val="24"/>
        </w:rPr>
        <w:t>2016</w:t>
      </w:r>
      <w:r>
        <w:rPr>
          <w:color w:val="000000"/>
          <w:sz w:val="24"/>
        </w:rPr>
        <w:t>年二季度在央行呵护下市场资金面整体上相对宽松，债市波动较大。</w:t>
      </w:r>
      <w:r>
        <w:rPr>
          <w:color w:val="000000"/>
          <w:sz w:val="24"/>
        </w:rPr>
        <w:t>4</w:t>
      </w:r>
      <w:r>
        <w:rPr>
          <w:color w:val="000000"/>
          <w:sz w:val="24"/>
        </w:rPr>
        <w:t>月份，受中铁物资等信用违约事件超预期影响，政金债及信用债收益率快速大幅回调。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月份，债市迎来诸多利好，经济走弱，信用事件相对平稳，市场资金面宽松，同时在美联储加息预期减弱及英国退欧风险冲击下，债市再度大涨。</w:t>
      </w:r>
    </w:p>
    <w:p w:rsidR="005E5314" w:rsidRDefault="006A7A57">
      <w:pPr>
        <w:spacing w:before="29" w:line="288" w:lineRule="auto"/>
        <w:ind w:firstLineChars="200" w:firstLine="480"/>
        <w:rPr>
          <w:color w:val="000000"/>
          <w:sz w:val="24"/>
        </w:rPr>
      </w:pPr>
      <w:r>
        <w:rPr>
          <w:color w:val="000000"/>
          <w:sz w:val="24"/>
        </w:rPr>
        <w:t>基金操作方面，报告期内本基金注重信用风险控制，卖出部分债券，降低组合的杠杆与久期，在大幅震荡的市场中获得相对较为稳健。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三季度，房地产投资较大概率走弱，基建投资可能维持一定的增速，央行货币政策操作思路预计以中性偏松为主，主要以定向工具及公开市场操作为主来调节流动性。组合管理方面，本基金将密切关注国内外经济走势与央行货币政策动态，控制信用风险，择机减持债券，努力为持有人创造稳健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1.065</w:t>
      </w:r>
      <w:r w:rsidRPr="007F52FA">
        <w:rPr>
          <w:color w:val="000000"/>
          <w:sz w:val="24"/>
        </w:rPr>
        <w:t>元，本报告期份额净值增长率为</w:t>
      </w:r>
      <w:r w:rsidRPr="007F52FA">
        <w:rPr>
          <w:color w:val="000000"/>
          <w:sz w:val="24"/>
        </w:rPr>
        <w:t>-0.19%</w:t>
      </w:r>
      <w:r w:rsidRPr="007F52FA">
        <w:rPr>
          <w:color w:val="000000"/>
          <w:sz w:val="24"/>
        </w:rPr>
        <w:t>，同期业绩比较基准增长率为</w:t>
      </w:r>
      <w:r w:rsidRPr="007F52FA">
        <w:rPr>
          <w:color w:val="000000"/>
          <w:sz w:val="24"/>
        </w:rPr>
        <w:t>0.85%</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1.061</w:t>
      </w:r>
      <w:r w:rsidRPr="007F52FA">
        <w:rPr>
          <w:color w:val="000000"/>
          <w:sz w:val="24"/>
        </w:rPr>
        <w:t>元，本报告期份额净值增长率为</w:t>
      </w:r>
      <w:r w:rsidRPr="007F52FA">
        <w:rPr>
          <w:color w:val="000000"/>
          <w:sz w:val="24"/>
        </w:rPr>
        <w:t>-0.38%</w:t>
      </w:r>
      <w:r w:rsidRPr="007F52FA">
        <w:rPr>
          <w:color w:val="000000"/>
          <w:sz w:val="24"/>
        </w:rPr>
        <w:t>，同期业绩比较基准增长率为</w:t>
      </w:r>
      <w:r w:rsidRPr="007F52FA">
        <w:rPr>
          <w:color w:val="000000"/>
          <w:sz w:val="24"/>
        </w:rPr>
        <w:t>0.85%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519,325,746.90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519,325,746.90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78,261,062.62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9,917,956.66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607,504,766.18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F451FE" w:rsidRDefault="00F451FE"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073480">
        <w:rPr>
          <w:rFonts w:eastAsiaTheme="minorEastAsia" w:hint="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31,797,000.00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337,627,746.90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74.54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70,136,000.00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15.48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79,765,000.00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17.61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519,325,746.90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E5314">
        <w:trPr>
          <w:jc w:val="center"/>
        </w:trPr>
        <w:tc>
          <w:tcPr>
            <w:tcW w:w="1075" w:type="dxa"/>
            <w:vAlign w:val="center"/>
          </w:tcPr>
          <w:p w:rsidR="005E5314" w:rsidRDefault="006A7A57">
            <w:pPr>
              <w:jc w:val="center"/>
            </w:pPr>
            <w:r>
              <w:rPr>
                <w:color w:val="000000"/>
                <w:sz w:val="24"/>
              </w:rPr>
              <w:t>1</w:t>
            </w:r>
          </w:p>
        </w:tc>
        <w:tc>
          <w:tcPr>
            <w:tcW w:w="1533" w:type="dxa"/>
            <w:vAlign w:val="center"/>
          </w:tcPr>
          <w:p w:rsidR="005E5314" w:rsidRDefault="006A7A57">
            <w:pPr>
              <w:jc w:val="center"/>
            </w:pPr>
            <w:r>
              <w:rPr>
                <w:color w:val="000000"/>
                <w:sz w:val="24"/>
              </w:rPr>
              <w:t>122367</w:t>
            </w:r>
          </w:p>
        </w:tc>
        <w:tc>
          <w:tcPr>
            <w:tcW w:w="1533" w:type="dxa"/>
            <w:vAlign w:val="center"/>
          </w:tcPr>
          <w:p w:rsidR="005E5314" w:rsidRDefault="006A7A57">
            <w:pPr>
              <w:jc w:val="center"/>
            </w:pPr>
            <w:r>
              <w:rPr>
                <w:color w:val="000000"/>
                <w:sz w:val="24"/>
              </w:rPr>
              <w:t>14</w:t>
            </w:r>
            <w:r>
              <w:rPr>
                <w:color w:val="000000"/>
                <w:sz w:val="24"/>
              </w:rPr>
              <w:t>财富债</w:t>
            </w:r>
          </w:p>
        </w:tc>
        <w:tc>
          <w:tcPr>
            <w:tcW w:w="1394" w:type="dxa"/>
            <w:vAlign w:val="center"/>
          </w:tcPr>
          <w:p w:rsidR="005E5314" w:rsidRDefault="006A7A57">
            <w:pPr>
              <w:jc w:val="right"/>
            </w:pPr>
            <w:r>
              <w:rPr>
                <w:color w:val="000000"/>
                <w:sz w:val="24"/>
              </w:rPr>
              <w:t>400,000</w:t>
            </w:r>
          </w:p>
        </w:tc>
        <w:tc>
          <w:tcPr>
            <w:tcW w:w="1944" w:type="dxa"/>
            <w:vAlign w:val="center"/>
          </w:tcPr>
          <w:p w:rsidR="005E5314" w:rsidRDefault="006A7A57">
            <w:pPr>
              <w:jc w:val="right"/>
            </w:pPr>
            <w:r>
              <w:rPr>
                <w:color w:val="000000"/>
                <w:sz w:val="24"/>
              </w:rPr>
              <w:t>42,228,000.00</w:t>
            </w:r>
          </w:p>
        </w:tc>
        <w:tc>
          <w:tcPr>
            <w:tcW w:w="1389" w:type="dxa"/>
            <w:vAlign w:val="center"/>
          </w:tcPr>
          <w:p w:rsidR="005E5314" w:rsidRDefault="006A7A57">
            <w:pPr>
              <w:jc w:val="right"/>
            </w:pPr>
            <w:r>
              <w:rPr>
                <w:color w:val="000000"/>
                <w:sz w:val="24"/>
              </w:rPr>
              <w:t>9.32</w:t>
            </w:r>
          </w:p>
        </w:tc>
      </w:tr>
      <w:tr w:rsidR="005E5314">
        <w:trPr>
          <w:jc w:val="center"/>
        </w:trPr>
        <w:tc>
          <w:tcPr>
            <w:tcW w:w="1075" w:type="dxa"/>
            <w:vAlign w:val="center"/>
          </w:tcPr>
          <w:p w:rsidR="005E5314" w:rsidRDefault="006A7A57">
            <w:pPr>
              <w:jc w:val="center"/>
            </w:pPr>
            <w:r>
              <w:rPr>
                <w:color w:val="000000"/>
                <w:sz w:val="24"/>
              </w:rPr>
              <w:t>2</w:t>
            </w:r>
          </w:p>
        </w:tc>
        <w:tc>
          <w:tcPr>
            <w:tcW w:w="1533" w:type="dxa"/>
            <w:vAlign w:val="center"/>
          </w:tcPr>
          <w:p w:rsidR="005E5314" w:rsidRDefault="006A7A57">
            <w:pPr>
              <w:jc w:val="center"/>
            </w:pPr>
            <w:r>
              <w:rPr>
                <w:color w:val="000000"/>
                <w:sz w:val="24"/>
              </w:rPr>
              <w:t>101553002</w:t>
            </w:r>
          </w:p>
        </w:tc>
        <w:tc>
          <w:tcPr>
            <w:tcW w:w="1533" w:type="dxa"/>
            <w:vAlign w:val="center"/>
          </w:tcPr>
          <w:p w:rsidR="005E5314" w:rsidRDefault="006A7A57">
            <w:pPr>
              <w:jc w:val="center"/>
            </w:pPr>
            <w:r>
              <w:rPr>
                <w:color w:val="000000"/>
                <w:sz w:val="24"/>
              </w:rPr>
              <w:t>15</w:t>
            </w:r>
            <w:r>
              <w:rPr>
                <w:color w:val="000000"/>
                <w:sz w:val="24"/>
              </w:rPr>
              <w:t>峰峰</w:t>
            </w:r>
            <w:r>
              <w:rPr>
                <w:color w:val="000000"/>
                <w:sz w:val="24"/>
              </w:rPr>
              <w:t>MTN001</w:t>
            </w:r>
          </w:p>
        </w:tc>
        <w:tc>
          <w:tcPr>
            <w:tcW w:w="1394" w:type="dxa"/>
            <w:vAlign w:val="center"/>
          </w:tcPr>
          <w:p w:rsidR="005E5314" w:rsidRDefault="006A7A57">
            <w:pPr>
              <w:jc w:val="right"/>
            </w:pPr>
            <w:r>
              <w:rPr>
                <w:color w:val="000000"/>
                <w:sz w:val="24"/>
              </w:rPr>
              <w:t>400,000</w:t>
            </w:r>
          </w:p>
        </w:tc>
        <w:tc>
          <w:tcPr>
            <w:tcW w:w="1944" w:type="dxa"/>
            <w:vAlign w:val="center"/>
          </w:tcPr>
          <w:p w:rsidR="005E5314" w:rsidRDefault="006A7A57">
            <w:pPr>
              <w:jc w:val="right"/>
            </w:pPr>
            <w:r>
              <w:rPr>
                <w:color w:val="000000"/>
                <w:sz w:val="24"/>
              </w:rPr>
              <w:t>38,956,000.00</w:t>
            </w:r>
          </w:p>
        </w:tc>
        <w:tc>
          <w:tcPr>
            <w:tcW w:w="1389" w:type="dxa"/>
            <w:vAlign w:val="center"/>
          </w:tcPr>
          <w:p w:rsidR="005E5314" w:rsidRDefault="006A7A57">
            <w:pPr>
              <w:jc w:val="right"/>
            </w:pPr>
            <w:r>
              <w:rPr>
                <w:color w:val="000000"/>
                <w:sz w:val="24"/>
              </w:rPr>
              <w:t>8.60</w:t>
            </w:r>
          </w:p>
        </w:tc>
      </w:tr>
      <w:tr w:rsidR="005E5314">
        <w:trPr>
          <w:jc w:val="center"/>
        </w:trPr>
        <w:tc>
          <w:tcPr>
            <w:tcW w:w="1075" w:type="dxa"/>
            <w:vAlign w:val="center"/>
          </w:tcPr>
          <w:p w:rsidR="005E5314" w:rsidRDefault="006A7A57">
            <w:pPr>
              <w:jc w:val="center"/>
            </w:pPr>
            <w:r>
              <w:rPr>
                <w:color w:val="000000"/>
                <w:sz w:val="24"/>
              </w:rPr>
              <w:t>3</w:t>
            </w:r>
          </w:p>
        </w:tc>
        <w:tc>
          <w:tcPr>
            <w:tcW w:w="1533" w:type="dxa"/>
            <w:vAlign w:val="center"/>
          </w:tcPr>
          <w:p w:rsidR="005E5314" w:rsidRDefault="006A7A57">
            <w:pPr>
              <w:jc w:val="center"/>
            </w:pPr>
            <w:r>
              <w:rPr>
                <w:color w:val="000000"/>
                <w:sz w:val="24"/>
              </w:rPr>
              <w:t>122342</w:t>
            </w:r>
          </w:p>
        </w:tc>
        <w:tc>
          <w:tcPr>
            <w:tcW w:w="1533" w:type="dxa"/>
            <w:vAlign w:val="center"/>
          </w:tcPr>
          <w:p w:rsidR="005E5314" w:rsidRDefault="006A7A57">
            <w:pPr>
              <w:jc w:val="center"/>
            </w:pPr>
            <w:r>
              <w:rPr>
                <w:color w:val="000000"/>
                <w:sz w:val="24"/>
              </w:rPr>
              <w:t>13</w:t>
            </w:r>
            <w:r>
              <w:rPr>
                <w:color w:val="000000"/>
                <w:sz w:val="24"/>
              </w:rPr>
              <w:t>包钢</w:t>
            </w:r>
            <w:r>
              <w:rPr>
                <w:color w:val="000000"/>
                <w:sz w:val="24"/>
              </w:rPr>
              <w:t>03</w:t>
            </w:r>
          </w:p>
        </w:tc>
        <w:tc>
          <w:tcPr>
            <w:tcW w:w="1394" w:type="dxa"/>
            <w:vAlign w:val="center"/>
          </w:tcPr>
          <w:p w:rsidR="005E5314" w:rsidRDefault="006A7A57">
            <w:pPr>
              <w:jc w:val="right"/>
            </w:pPr>
            <w:r>
              <w:rPr>
                <w:color w:val="000000"/>
                <w:sz w:val="24"/>
              </w:rPr>
              <w:t>400,000</w:t>
            </w:r>
          </w:p>
        </w:tc>
        <w:tc>
          <w:tcPr>
            <w:tcW w:w="1944" w:type="dxa"/>
            <w:vAlign w:val="center"/>
          </w:tcPr>
          <w:p w:rsidR="005E5314" w:rsidRDefault="006A7A57">
            <w:pPr>
              <w:jc w:val="right"/>
            </w:pPr>
            <w:r>
              <w:rPr>
                <w:color w:val="000000"/>
                <w:sz w:val="24"/>
              </w:rPr>
              <w:t>38,280,000.00</w:t>
            </w:r>
          </w:p>
        </w:tc>
        <w:tc>
          <w:tcPr>
            <w:tcW w:w="1389" w:type="dxa"/>
            <w:vAlign w:val="center"/>
          </w:tcPr>
          <w:p w:rsidR="005E5314" w:rsidRDefault="006A7A57">
            <w:pPr>
              <w:jc w:val="right"/>
            </w:pPr>
            <w:r>
              <w:rPr>
                <w:color w:val="000000"/>
                <w:sz w:val="24"/>
              </w:rPr>
              <w:t>8.45</w:t>
            </w:r>
          </w:p>
        </w:tc>
      </w:tr>
      <w:tr w:rsidR="005E5314">
        <w:trPr>
          <w:jc w:val="center"/>
        </w:trPr>
        <w:tc>
          <w:tcPr>
            <w:tcW w:w="1075" w:type="dxa"/>
            <w:vAlign w:val="center"/>
          </w:tcPr>
          <w:p w:rsidR="005E5314" w:rsidRDefault="006A7A57">
            <w:pPr>
              <w:jc w:val="center"/>
            </w:pPr>
            <w:r>
              <w:rPr>
                <w:color w:val="000000"/>
                <w:sz w:val="24"/>
              </w:rPr>
              <w:t>4</w:t>
            </w:r>
          </w:p>
        </w:tc>
        <w:tc>
          <w:tcPr>
            <w:tcW w:w="1533" w:type="dxa"/>
            <w:vAlign w:val="center"/>
          </w:tcPr>
          <w:p w:rsidR="005E5314" w:rsidRDefault="006A7A57">
            <w:pPr>
              <w:jc w:val="center"/>
            </w:pPr>
            <w:r>
              <w:rPr>
                <w:color w:val="000000"/>
                <w:sz w:val="24"/>
              </w:rPr>
              <w:t>123306</w:t>
            </w:r>
          </w:p>
        </w:tc>
        <w:tc>
          <w:tcPr>
            <w:tcW w:w="1533" w:type="dxa"/>
            <w:vAlign w:val="center"/>
          </w:tcPr>
          <w:p w:rsidR="005E5314" w:rsidRDefault="006A7A57">
            <w:pPr>
              <w:jc w:val="center"/>
            </w:pPr>
            <w:r>
              <w:rPr>
                <w:color w:val="000000"/>
                <w:sz w:val="24"/>
              </w:rPr>
              <w:t>14</w:t>
            </w:r>
            <w:r>
              <w:rPr>
                <w:color w:val="000000"/>
                <w:sz w:val="24"/>
              </w:rPr>
              <w:t>财通</w:t>
            </w:r>
            <w:r>
              <w:rPr>
                <w:color w:val="000000"/>
                <w:sz w:val="24"/>
              </w:rPr>
              <w:t>02</w:t>
            </w:r>
          </w:p>
        </w:tc>
        <w:tc>
          <w:tcPr>
            <w:tcW w:w="1394" w:type="dxa"/>
            <w:vAlign w:val="center"/>
          </w:tcPr>
          <w:p w:rsidR="005E5314" w:rsidRDefault="006A7A57">
            <w:pPr>
              <w:jc w:val="right"/>
            </w:pPr>
            <w:r>
              <w:rPr>
                <w:color w:val="000000"/>
                <w:sz w:val="24"/>
              </w:rPr>
              <w:t>300,000</w:t>
            </w:r>
          </w:p>
        </w:tc>
        <w:tc>
          <w:tcPr>
            <w:tcW w:w="1944" w:type="dxa"/>
            <w:vAlign w:val="center"/>
          </w:tcPr>
          <w:p w:rsidR="005E5314" w:rsidRDefault="006A7A57">
            <w:pPr>
              <w:jc w:val="right"/>
            </w:pPr>
            <w:r>
              <w:rPr>
                <w:color w:val="000000"/>
                <w:sz w:val="24"/>
              </w:rPr>
              <w:t>31,797,000.00</w:t>
            </w:r>
          </w:p>
        </w:tc>
        <w:tc>
          <w:tcPr>
            <w:tcW w:w="1389" w:type="dxa"/>
            <w:vAlign w:val="center"/>
          </w:tcPr>
          <w:p w:rsidR="005E5314" w:rsidRDefault="006A7A57">
            <w:pPr>
              <w:jc w:val="right"/>
            </w:pPr>
            <w:r>
              <w:rPr>
                <w:color w:val="000000"/>
                <w:sz w:val="24"/>
              </w:rPr>
              <w:t>7.02</w:t>
            </w:r>
          </w:p>
        </w:tc>
      </w:tr>
      <w:tr w:rsidR="005E5314">
        <w:trPr>
          <w:jc w:val="center"/>
        </w:trPr>
        <w:tc>
          <w:tcPr>
            <w:tcW w:w="1075" w:type="dxa"/>
            <w:vAlign w:val="center"/>
          </w:tcPr>
          <w:p w:rsidR="005E5314" w:rsidRDefault="006A7A57">
            <w:pPr>
              <w:jc w:val="center"/>
            </w:pPr>
            <w:r>
              <w:rPr>
                <w:color w:val="000000"/>
                <w:sz w:val="24"/>
              </w:rPr>
              <w:t>5</w:t>
            </w:r>
          </w:p>
        </w:tc>
        <w:tc>
          <w:tcPr>
            <w:tcW w:w="1533" w:type="dxa"/>
            <w:vAlign w:val="center"/>
          </w:tcPr>
          <w:p w:rsidR="005E5314" w:rsidRDefault="006A7A57">
            <w:pPr>
              <w:jc w:val="center"/>
            </w:pPr>
            <w:r>
              <w:rPr>
                <w:color w:val="000000"/>
                <w:sz w:val="24"/>
              </w:rPr>
              <w:t>122344</w:t>
            </w:r>
          </w:p>
        </w:tc>
        <w:tc>
          <w:tcPr>
            <w:tcW w:w="1533" w:type="dxa"/>
            <w:vAlign w:val="center"/>
          </w:tcPr>
          <w:p w:rsidR="005E5314" w:rsidRDefault="006A7A57">
            <w:pPr>
              <w:jc w:val="center"/>
            </w:pPr>
            <w:r>
              <w:rPr>
                <w:color w:val="000000"/>
                <w:sz w:val="24"/>
              </w:rPr>
              <w:t>13</w:t>
            </w:r>
            <w:r>
              <w:rPr>
                <w:color w:val="000000"/>
                <w:sz w:val="24"/>
              </w:rPr>
              <w:t>尖峰</w:t>
            </w:r>
            <w:r>
              <w:rPr>
                <w:color w:val="000000"/>
                <w:sz w:val="24"/>
              </w:rPr>
              <w:t>02</w:t>
            </w:r>
          </w:p>
        </w:tc>
        <w:tc>
          <w:tcPr>
            <w:tcW w:w="1394" w:type="dxa"/>
            <w:vAlign w:val="center"/>
          </w:tcPr>
          <w:p w:rsidR="005E5314" w:rsidRDefault="006A7A57">
            <w:pPr>
              <w:jc w:val="right"/>
            </w:pPr>
            <w:r>
              <w:rPr>
                <w:color w:val="000000"/>
                <w:sz w:val="24"/>
              </w:rPr>
              <w:t>300,000</w:t>
            </w:r>
          </w:p>
        </w:tc>
        <w:tc>
          <w:tcPr>
            <w:tcW w:w="1944" w:type="dxa"/>
            <w:vAlign w:val="center"/>
          </w:tcPr>
          <w:p w:rsidR="005E5314" w:rsidRDefault="006A7A57">
            <w:pPr>
              <w:jc w:val="right"/>
            </w:pPr>
            <w:r>
              <w:rPr>
                <w:color w:val="000000"/>
                <w:sz w:val="24"/>
              </w:rPr>
              <w:t>30,777,000.00</w:t>
            </w:r>
          </w:p>
        </w:tc>
        <w:tc>
          <w:tcPr>
            <w:tcW w:w="1389" w:type="dxa"/>
            <w:vAlign w:val="center"/>
          </w:tcPr>
          <w:p w:rsidR="005E5314" w:rsidRDefault="006A7A57">
            <w:pPr>
              <w:jc w:val="right"/>
            </w:pPr>
            <w:r>
              <w:rPr>
                <w:color w:val="000000"/>
                <w:sz w:val="24"/>
              </w:rPr>
              <w:t>6.79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2,884.30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9,915,072.36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9,917,956.66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w:t>
      </w:r>
      <w:r w:rsidR="006A7A57">
        <w:rPr>
          <w:color w:val="000000"/>
          <w:kern w:val="0"/>
          <w:sz w:val="24"/>
          <w:szCs w:val="24"/>
        </w:rPr>
        <w:t>6</w:t>
      </w:r>
      <w:r w:rsidRPr="000673DA">
        <w:rPr>
          <w:color w:val="000000"/>
          <w:kern w:val="0"/>
          <w:sz w:val="24"/>
          <w:szCs w:val="24"/>
        </w:rPr>
        <w:t xml:space="preserve">  </w:t>
      </w:r>
      <w:r w:rsidRPr="000673DA">
        <w:rPr>
          <w:rFonts w:hAnsi="宋体"/>
          <w:sz w:val="24"/>
          <w:szCs w:val="24"/>
        </w:rPr>
        <w:t>基金管理人运用固有资金投资本基金情况</w:t>
      </w:r>
    </w:p>
    <w:p w:rsidR="000673DA" w:rsidRPr="000673DA" w:rsidRDefault="006A7A57" w:rsidP="007C14DF">
      <w:pPr>
        <w:spacing w:line="288" w:lineRule="auto"/>
        <w:jc w:val="left"/>
        <w:rPr>
          <w:sz w:val="24"/>
        </w:rPr>
      </w:pPr>
      <w:r>
        <w:rPr>
          <w:b/>
          <w:sz w:val="24"/>
        </w:rPr>
        <w:t>6</w:t>
      </w:r>
      <w:r w:rsidR="000673DA" w:rsidRPr="000673DA">
        <w:rPr>
          <w:b/>
          <w:sz w:val="24"/>
        </w:rPr>
        <w:t xml:space="preserve">.1 </w:t>
      </w:r>
      <w:r w:rsidR="000673DA"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6A7A57" w:rsidP="00646AEE">
      <w:pPr>
        <w:autoSpaceDE w:val="0"/>
        <w:autoSpaceDN w:val="0"/>
        <w:adjustRightInd w:val="0"/>
        <w:spacing w:before="29" w:line="288" w:lineRule="auto"/>
        <w:jc w:val="left"/>
        <w:rPr>
          <w:b/>
          <w:color w:val="000000"/>
          <w:sz w:val="24"/>
        </w:rPr>
      </w:pPr>
      <w:r>
        <w:rPr>
          <w:rFonts w:hint="eastAsia"/>
          <w:b/>
          <w:sz w:val="24"/>
        </w:rPr>
        <w:t>6</w:t>
      </w:r>
      <w:r w:rsidR="000673DA" w:rsidRPr="008A3BCC">
        <w:rPr>
          <w:b/>
          <w:sz w:val="24"/>
        </w:rPr>
        <w:t>.</w:t>
      </w:r>
      <w:r w:rsidR="000673DA" w:rsidRPr="008A3BCC">
        <w:rPr>
          <w:rFonts w:hint="eastAsia"/>
          <w:b/>
          <w:sz w:val="24"/>
        </w:rPr>
        <w:t xml:space="preserve">2 </w:t>
      </w:r>
      <w:r w:rsidR="000673DA" w:rsidRPr="008A3BCC">
        <w:rPr>
          <w:rFonts w:hint="eastAsia"/>
          <w:b/>
          <w:sz w:val="24"/>
        </w:rPr>
        <w:t>基</w:t>
      </w:r>
      <w:r w:rsidR="000673DA"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6A7A57">
        <w:rPr>
          <w:rFonts w:eastAsiaTheme="minorEastAsia"/>
          <w:color w:val="000000"/>
          <w:kern w:val="0"/>
          <w:sz w:val="24"/>
          <w:szCs w:val="24"/>
        </w:rPr>
        <w:t>7</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6A7A57"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6A7A57"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6A7A57"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E5314" w:rsidRDefault="006A7A5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8C3" w:rsidRDefault="00E648C3">
      <w:r>
        <w:separator/>
      </w:r>
    </w:p>
  </w:endnote>
  <w:endnote w:type="continuationSeparator" w:id="0">
    <w:p w:rsidR="00E648C3" w:rsidRDefault="00E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73480">
      <w:rPr>
        <w:noProof/>
        <w:kern w:val="0"/>
        <w:szCs w:val="21"/>
      </w:rPr>
      <w:t>9</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073480">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8C3" w:rsidRDefault="00E648C3">
      <w:r>
        <w:separator/>
      </w:r>
    </w:p>
  </w:footnote>
  <w:footnote w:type="continuationSeparator" w:id="0">
    <w:p w:rsidR="00E648C3" w:rsidRDefault="00E64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648C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3480"/>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2A0F"/>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531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A57"/>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1722"/>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4180"/>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48C3"/>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51F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F2CF-B2F7-48E0-8AF0-FA3805C2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194</TotalTime>
  <Pages>1</Pages>
  <Words>994</Words>
  <Characters>5669</Characters>
  <Application>Microsoft Office Word</Application>
  <DocSecurity>0</DocSecurity>
  <Lines>47</Lines>
  <Paragraphs>13</Paragraphs>
  <ScaleCrop>false</ScaleCrop>
  <Company>TRT. Ltd. Co.</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371</cp:revision>
  <cp:lastPrinted>2007-07-19T00:46:00Z</cp:lastPrinted>
  <dcterms:created xsi:type="dcterms:W3CDTF">2014-01-17T06:19:00Z</dcterms:created>
  <dcterms:modified xsi:type="dcterms:W3CDTF">2016-07-18T06:42:00Z</dcterms:modified>
</cp:coreProperties>
</file>