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23DAE" w:rsidRDefault="005214F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23DAE" w:rsidRDefault="005214F1">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23DAE" w:rsidRDefault="005214F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23DAE" w:rsidRDefault="005214F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23DAE" w:rsidRDefault="005214F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248,363,489.95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214F1" w:rsidRDefault="005214F1" w:rsidP="005214F1">
      <w:pPr>
        <w:pStyle w:val="1"/>
        <w:spacing w:beforeLines="100" w:before="312" w:afterLines="100" w:after="312" w:line="288" w:lineRule="auto"/>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214F1" w:rsidRPr="00414345" w:rsidTr="005214F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214F1" w:rsidRPr="00414345" w:rsidTr="005214F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3,623,914.63</w:t>
            </w:r>
          </w:p>
        </w:tc>
      </w:tr>
      <w:tr w:rsidR="005214F1" w:rsidRPr="00414345" w:rsidTr="005214F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27,999,193.13</w:t>
            </w:r>
          </w:p>
        </w:tc>
      </w:tr>
      <w:tr w:rsidR="005214F1" w:rsidRPr="00414345" w:rsidTr="005214F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0.1123</w:t>
            </w:r>
          </w:p>
        </w:tc>
      </w:tr>
      <w:tr w:rsidR="005214F1" w:rsidRPr="00414345" w:rsidTr="005214F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417,775,157.18</w:t>
            </w:r>
          </w:p>
        </w:tc>
      </w:tr>
      <w:tr w:rsidR="005214F1" w:rsidRPr="00414345" w:rsidTr="005214F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1.682</w:t>
            </w:r>
          </w:p>
        </w:tc>
      </w:tr>
    </w:tbl>
    <w:p w:rsidR="00F23DAE" w:rsidRDefault="005214F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23DAE">
        <w:trPr>
          <w:jc w:val="center"/>
        </w:trPr>
        <w:tc>
          <w:tcPr>
            <w:tcW w:w="1701" w:type="dxa"/>
            <w:vAlign w:val="center"/>
          </w:tcPr>
          <w:p w:rsidR="00F23DAE" w:rsidRDefault="005214F1">
            <w:pPr>
              <w:jc w:val="left"/>
            </w:pPr>
            <w:r>
              <w:rPr>
                <w:color w:val="000000"/>
                <w:sz w:val="24"/>
                <w:szCs w:val="24"/>
              </w:rPr>
              <w:t>过去三个月</w:t>
            </w:r>
          </w:p>
        </w:tc>
        <w:tc>
          <w:tcPr>
            <w:tcW w:w="1045" w:type="dxa"/>
            <w:vAlign w:val="center"/>
          </w:tcPr>
          <w:p w:rsidR="00F23DAE" w:rsidRDefault="005214F1">
            <w:pPr>
              <w:jc w:val="center"/>
            </w:pPr>
            <w:r>
              <w:rPr>
                <w:color w:val="000000"/>
                <w:sz w:val="24"/>
                <w:szCs w:val="24"/>
              </w:rPr>
              <w:t>7.13%</w:t>
            </w:r>
          </w:p>
        </w:tc>
        <w:tc>
          <w:tcPr>
            <w:tcW w:w="1344" w:type="dxa"/>
            <w:vAlign w:val="center"/>
          </w:tcPr>
          <w:p w:rsidR="00F23DAE" w:rsidRDefault="005214F1">
            <w:pPr>
              <w:jc w:val="center"/>
            </w:pPr>
            <w:r>
              <w:rPr>
                <w:color w:val="000000"/>
                <w:sz w:val="24"/>
                <w:szCs w:val="24"/>
              </w:rPr>
              <w:t>1.46%</w:t>
            </w:r>
          </w:p>
        </w:tc>
        <w:tc>
          <w:tcPr>
            <w:tcW w:w="1194" w:type="dxa"/>
            <w:vAlign w:val="center"/>
          </w:tcPr>
          <w:p w:rsidR="00F23DAE" w:rsidRDefault="005214F1">
            <w:pPr>
              <w:jc w:val="center"/>
            </w:pPr>
            <w:r>
              <w:rPr>
                <w:color w:val="000000"/>
                <w:sz w:val="24"/>
                <w:szCs w:val="24"/>
              </w:rPr>
              <w:t>-1.30%</w:t>
            </w:r>
          </w:p>
        </w:tc>
        <w:tc>
          <w:tcPr>
            <w:tcW w:w="1492" w:type="dxa"/>
            <w:vAlign w:val="center"/>
          </w:tcPr>
          <w:p w:rsidR="00F23DAE" w:rsidRDefault="005214F1">
            <w:pPr>
              <w:jc w:val="center"/>
            </w:pPr>
            <w:r>
              <w:rPr>
                <w:color w:val="000000"/>
                <w:sz w:val="24"/>
                <w:szCs w:val="24"/>
              </w:rPr>
              <w:t>1.05%</w:t>
            </w:r>
          </w:p>
        </w:tc>
        <w:tc>
          <w:tcPr>
            <w:tcW w:w="1194" w:type="dxa"/>
            <w:vAlign w:val="center"/>
          </w:tcPr>
          <w:p w:rsidR="00F23DAE" w:rsidRDefault="005214F1">
            <w:pPr>
              <w:jc w:val="center"/>
            </w:pPr>
            <w:r>
              <w:rPr>
                <w:color w:val="000000"/>
                <w:sz w:val="24"/>
                <w:szCs w:val="24"/>
              </w:rPr>
              <w:t>8.43%</w:t>
            </w:r>
          </w:p>
        </w:tc>
        <w:tc>
          <w:tcPr>
            <w:tcW w:w="898" w:type="dxa"/>
            <w:vAlign w:val="center"/>
          </w:tcPr>
          <w:p w:rsidR="00F23DAE" w:rsidRDefault="005214F1">
            <w:pPr>
              <w:jc w:val="center"/>
            </w:pPr>
            <w:r>
              <w:rPr>
                <w:color w:val="000000"/>
                <w:sz w:val="24"/>
                <w:szCs w:val="24"/>
              </w:rPr>
              <w:t>0.41%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23DAE">
        <w:trPr>
          <w:jc w:val="center"/>
        </w:trPr>
        <w:tc>
          <w:tcPr>
            <w:tcW w:w="846" w:type="dxa"/>
            <w:vAlign w:val="center"/>
          </w:tcPr>
          <w:p w:rsidR="00F23DAE" w:rsidRDefault="005214F1">
            <w:pPr>
              <w:jc w:val="center"/>
            </w:pPr>
            <w:r>
              <w:rPr>
                <w:color w:val="000000"/>
                <w:sz w:val="24"/>
                <w:szCs w:val="24"/>
              </w:rPr>
              <w:t>王崇</w:t>
            </w:r>
          </w:p>
        </w:tc>
        <w:tc>
          <w:tcPr>
            <w:tcW w:w="845" w:type="dxa"/>
            <w:vAlign w:val="center"/>
          </w:tcPr>
          <w:p w:rsidR="00F23DAE" w:rsidRDefault="005214F1">
            <w:pPr>
              <w:jc w:val="center"/>
            </w:pPr>
            <w:r>
              <w:rPr>
                <w:color w:val="000000"/>
                <w:sz w:val="24"/>
                <w:szCs w:val="24"/>
              </w:rPr>
              <w:t>交银新成长混合的基金经理</w:t>
            </w:r>
          </w:p>
        </w:tc>
        <w:tc>
          <w:tcPr>
            <w:tcW w:w="1549" w:type="dxa"/>
            <w:vAlign w:val="center"/>
          </w:tcPr>
          <w:p w:rsidR="00F23DAE" w:rsidRDefault="005214F1">
            <w:pPr>
              <w:jc w:val="center"/>
            </w:pPr>
            <w:r>
              <w:rPr>
                <w:color w:val="000000"/>
                <w:sz w:val="24"/>
                <w:szCs w:val="24"/>
              </w:rPr>
              <w:t>2014-10-22</w:t>
            </w:r>
          </w:p>
        </w:tc>
        <w:tc>
          <w:tcPr>
            <w:tcW w:w="1548" w:type="dxa"/>
            <w:vAlign w:val="center"/>
          </w:tcPr>
          <w:p w:rsidR="00F23DAE" w:rsidRDefault="005214F1">
            <w:pPr>
              <w:jc w:val="center"/>
            </w:pPr>
            <w:r>
              <w:rPr>
                <w:color w:val="000000"/>
                <w:sz w:val="24"/>
                <w:szCs w:val="24"/>
              </w:rPr>
              <w:t>-</w:t>
            </w:r>
          </w:p>
        </w:tc>
        <w:tc>
          <w:tcPr>
            <w:tcW w:w="1407" w:type="dxa"/>
            <w:vAlign w:val="center"/>
          </w:tcPr>
          <w:p w:rsidR="00F23DAE" w:rsidRDefault="005214F1">
            <w:pPr>
              <w:jc w:val="center"/>
            </w:pPr>
            <w:r>
              <w:rPr>
                <w:color w:val="000000"/>
                <w:sz w:val="24"/>
                <w:szCs w:val="24"/>
              </w:rPr>
              <w:t>8</w:t>
            </w:r>
            <w:r>
              <w:rPr>
                <w:color w:val="000000"/>
                <w:sz w:val="24"/>
                <w:szCs w:val="24"/>
              </w:rPr>
              <w:t>年</w:t>
            </w:r>
          </w:p>
        </w:tc>
        <w:tc>
          <w:tcPr>
            <w:tcW w:w="2673" w:type="dxa"/>
            <w:vAlign w:val="center"/>
          </w:tcPr>
          <w:p w:rsidR="00F23DAE" w:rsidRDefault="005214F1">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4.2 </w:t>
      </w:r>
      <w:r w:rsidRPr="00414345">
        <w:rPr>
          <w:b/>
          <w:bCs/>
          <w:color w:val="000000"/>
          <w:kern w:val="0"/>
          <w:sz w:val="24"/>
          <w:szCs w:val="24"/>
        </w:rPr>
        <w:t>管理人对报告期内本基金运作遵规守信情况的说明</w:t>
      </w:r>
    </w:p>
    <w:p w:rsidR="00F23DAE" w:rsidRDefault="005214F1">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23DAE" w:rsidRDefault="005214F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23DAE" w:rsidRDefault="005214F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23DAE" w:rsidRDefault="005214F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23DAE" w:rsidRDefault="005214F1">
      <w:pPr>
        <w:spacing w:before="29" w:line="288" w:lineRule="auto"/>
        <w:ind w:firstLineChars="200" w:firstLine="480"/>
        <w:rPr>
          <w:color w:val="000000"/>
          <w:sz w:val="24"/>
          <w:szCs w:val="24"/>
        </w:rPr>
      </w:pPr>
      <w:r>
        <w:rPr>
          <w:color w:val="000000"/>
          <w:sz w:val="24"/>
          <w:szCs w:val="24"/>
        </w:rPr>
        <w:t>2016</w:t>
      </w:r>
      <w:r>
        <w:rPr>
          <w:color w:val="000000"/>
          <w:sz w:val="24"/>
          <w:szCs w:val="24"/>
        </w:rPr>
        <w:t>年二季度国内经济数据总体平稳，</w:t>
      </w:r>
      <w:r>
        <w:rPr>
          <w:color w:val="000000"/>
          <w:sz w:val="24"/>
          <w:szCs w:val="24"/>
        </w:rPr>
        <w:t>CPI</w:t>
      </w:r>
      <w:r>
        <w:rPr>
          <w:color w:val="000000"/>
          <w:sz w:val="24"/>
          <w:szCs w:val="24"/>
        </w:rPr>
        <w:t>较</w:t>
      </w:r>
      <w:r>
        <w:rPr>
          <w:color w:val="000000"/>
          <w:sz w:val="24"/>
          <w:szCs w:val="24"/>
        </w:rPr>
        <w:t>2016</w:t>
      </w:r>
      <w:r>
        <w:rPr>
          <w:color w:val="000000"/>
          <w:sz w:val="24"/>
          <w:szCs w:val="24"/>
        </w:rPr>
        <w:t>年一季度小幅回落。尽管有加入</w:t>
      </w:r>
      <w:r>
        <w:rPr>
          <w:color w:val="000000"/>
          <w:sz w:val="24"/>
          <w:szCs w:val="24"/>
        </w:rPr>
        <w:t>MSCI</w:t>
      </w:r>
      <w:r>
        <w:rPr>
          <w:color w:val="000000"/>
          <w:sz w:val="24"/>
          <w:szCs w:val="24"/>
        </w:rPr>
        <w:t>失败以及英国脱欧等利空影响，</w:t>
      </w:r>
      <w:r>
        <w:rPr>
          <w:color w:val="000000"/>
          <w:sz w:val="24"/>
          <w:szCs w:val="24"/>
        </w:rPr>
        <w:t>A</w:t>
      </w:r>
      <w:r>
        <w:rPr>
          <w:color w:val="000000"/>
          <w:sz w:val="24"/>
          <w:szCs w:val="24"/>
        </w:rPr>
        <w:t>股市场仍旧保持弱势反弹趋势。虽然</w:t>
      </w:r>
      <w:r>
        <w:rPr>
          <w:color w:val="000000"/>
          <w:sz w:val="24"/>
          <w:szCs w:val="24"/>
        </w:rPr>
        <w:t>A</w:t>
      </w:r>
      <w:r>
        <w:rPr>
          <w:color w:val="000000"/>
          <w:sz w:val="24"/>
          <w:szCs w:val="24"/>
        </w:rPr>
        <w:t>股指数涨幅不大，但市场热点纷呈，次新股、</w:t>
      </w:r>
      <w:r>
        <w:rPr>
          <w:color w:val="000000"/>
          <w:sz w:val="24"/>
          <w:szCs w:val="24"/>
        </w:rPr>
        <w:t>OLED</w:t>
      </w:r>
      <w:r>
        <w:rPr>
          <w:color w:val="000000"/>
          <w:sz w:val="24"/>
          <w:szCs w:val="24"/>
        </w:rPr>
        <w:t>和半导体、新能源汽车产业链、贵金</w:t>
      </w:r>
      <w:r>
        <w:rPr>
          <w:color w:val="000000"/>
          <w:sz w:val="24"/>
          <w:szCs w:val="24"/>
        </w:rPr>
        <w:lastRenderedPageBreak/>
        <w:t>属、白酒等板块表现突出，市场结构性行情明显。</w:t>
      </w:r>
    </w:p>
    <w:p w:rsidR="00F23DAE" w:rsidRDefault="005214F1">
      <w:pPr>
        <w:spacing w:before="29" w:line="288" w:lineRule="auto"/>
        <w:ind w:firstLineChars="200" w:firstLine="480"/>
        <w:rPr>
          <w:color w:val="000000"/>
          <w:sz w:val="24"/>
          <w:szCs w:val="24"/>
        </w:rPr>
      </w:pPr>
      <w:r>
        <w:rPr>
          <w:color w:val="000000"/>
          <w:sz w:val="24"/>
          <w:szCs w:val="24"/>
        </w:rPr>
        <w:t>本基金</w:t>
      </w:r>
      <w:r>
        <w:rPr>
          <w:color w:val="000000"/>
          <w:sz w:val="24"/>
          <w:szCs w:val="24"/>
        </w:rPr>
        <w:t>2016</w:t>
      </w:r>
      <w:r>
        <w:rPr>
          <w:color w:val="000000"/>
          <w:sz w:val="24"/>
          <w:szCs w:val="24"/>
        </w:rPr>
        <w:t>年二季度继续采取稳健投资策略，维持中性仓位，精选估值有安全边际的优质公司股票。重仓持股较一季度变化不大，主要减持了机械、电子、医药等行业配置比重，增持了计算机、通信、医疗服务等优质蓝筹配置比重。</w:t>
      </w:r>
      <w:r>
        <w:rPr>
          <w:color w:val="000000"/>
          <w:sz w:val="24"/>
          <w:szCs w:val="24"/>
        </w:rPr>
        <w:t>2016</w:t>
      </w:r>
      <w:r>
        <w:rPr>
          <w:color w:val="000000"/>
          <w:sz w:val="24"/>
          <w:szCs w:val="24"/>
        </w:rPr>
        <w:t>年二季度本基金在市场热门行业投资方面参与相对较少，整体业绩表现一般。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年三季度，国内经济预计整体平稳，通胀维持低位，英国脱欧对国内经济影响短期也比较有限，同时可能推迟美联储加息时点。对于</w:t>
      </w:r>
      <w:r w:rsidRPr="00414345">
        <w:rPr>
          <w:color w:val="000000"/>
          <w:sz w:val="24"/>
          <w:szCs w:val="24"/>
        </w:rPr>
        <w:t>2016</w:t>
      </w:r>
      <w:r w:rsidRPr="00414345">
        <w:rPr>
          <w:color w:val="000000"/>
          <w:sz w:val="24"/>
          <w:szCs w:val="24"/>
        </w:rPr>
        <w:t>年三季度的</w:t>
      </w:r>
      <w:r w:rsidRPr="00414345">
        <w:rPr>
          <w:color w:val="000000"/>
          <w:sz w:val="24"/>
          <w:szCs w:val="24"/>
        </w:rPr>
        <w:t>A</w:t>
      </w:r>
      <w:r w:rsidRPr="00414345">
        <w:rPr>
          <w:color w:val="000000"/>
          <w:sz w:val="24"/>
          <w:szCs w:val="24"/>
        </w:rPr>
        <w:t>股市场，我们持谨慎乐观的态度，拟继续维持中性略高仓位，看好医疗服务、旅游、互联网、环保以及国企改革主题下的投资机会，继续规避透支未来基本面的高估值热门板块，精选具有安全边际的优质公司股票做中期布局，分享优质公司的成长，努力为基金份额持有人创造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1.682</w:t>
      </w:r>
      <w:r w:rsidRPr="00414345">
        <w:rPr>
          <w:color w:val="000000"/>
          <w:sz w:val="24"/>
          <w:szCs w:val="24"/>
        </w:rPr>
        <w:t>元，本报告期份额净值增长率为</w:t>
      </w:r>
      <w:r w:rsidRPr="00414345">
        <w:rPr>
          <w:color w:val="000000"/>
          <w:sz w:val="24"/>
          <w:szCs w:val="24"/>
        </w:rPr>
        <w:t>7.13%</w:t>
      </w:r>
      <w:r w:rsidRPr="00414345">
        <w:rPr>
          <w:color w:val="000000"/>
          <w:sz w:val="24"/>
          <w:szCs w:val="24"/>
        </w:rPr>
        <w:t>，同期业绩比较基准增长率为</w:t>
      </w:r>
      <w:r w:rsidRPr="00414345">
        <w:rPr>
          <w:color w:val="000000"/>
          <w:sz w:val="24"/>
          <w:szCs w:val="24"/>
        </w:rPr>
        <w:t>-1.30%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5214F1" w:rsidRDefault="005214F1" w:rsidP="00421CD2">
      <w:pPr>
        <w:spacing w:before="29" w:line="288" w:lineRule="auto"/>
        <w:ind w:firstLineChars="200" w:firstLine="480"/>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340,735,322.81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340,735,322.81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20,016,000.00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20,016,000.00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57,678,681.58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13.73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1,522,456.42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419,952,460.81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169,895,122.84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14,755,725.88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64,585,147.00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37,027,192.95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46,774,171.93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7,697,962.21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340,735,322.81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81.56</w:t>
            </w:r>
          </w:p>
        </w:tc>
      </w:tr>
    </w:tbl>
    <w:p w:rsidR="008339A4" w:rsidRDefault="008339A4"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C4005D">
        <w:rPr>
          <w:rFonts w:hint="eastAsia"/>
          <w:b/>
          <w:bCs/>
          <w:color w:val="000000"/>
          <w:kern w:val="0"/>
          <w:sz w:val="24"/>
          <w:szCs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4061AC" w:rsidRPr="005214F1" w:rsidRDefault="00F51C4E" w:rsidP="005214F1">
      <w:pPr>
        <w:spacing w:before="29" w:line="360" w:lineRule="auto"/>
        <w:ind w:left="17"/>
        <w:rPr>
          <w:color w:val="000000"/>
          <w:sz w:val="24"/>
        </w:rPr>
      </w:pPr>
      <w:r w:rsidRPr="00FF0BBF">
        <w:rPr>
          <w:color w:val="000000"/>
          <w:sz w:val="24"/>
        </w:rPr>
        <w:t>本基金本报告期末未持</w:t>
      </w:r>
      <w:bookmarkStart w:id="0" w:name="_GoBack"/>
      <w:bookmarkEnd w:id="0"/>
      <w:r w:rsidRPr="00FF0BBF">
        <w:rPr>
          <w:color w:val="000000"/>
          <w:sz w:val="24"/>
        </w:rPr>
        <w:t>有通过沪港通投资的股票。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23DAE">
        <w:trPr>
          <w:jc w:val="center"/>
        </w:trPr>
        <w:tc>
          <w:tcPr>
            <w:tcW w:w="855" w:type="dxa"/>
            <w:vAlign w:val="center"/>
          </w:tcPr>
          <w:p w:rsidR="00F23DAE" w:rsidRDefault="005214F1">
            <w:pPr>
              <w:jc w:val="center"/>
            </w:pPr>
            <w:r>
              <w:rPr>
                <w:color w:val="000000"/>
                <w:sz w:val="24"/>
                <w:szCs w:val="24"/>
              </w:rPr>
              <w:t>1</w:t>
            </w:r>
          </w:p>
        </w:tc>
        <w:tc>
          <w:tcPr>
            <w:tcW w:w="1334" w:type="dxa"/>
            <w:vAlign w:val="center"/>
          </w:tcPr>
          <w:p w:rsidR="00F23DAE" w:rsidRDefault="005214F1">
            <w:pPr>
              <w:jc w:val="center"/>
            </w:pPr>
            <w:r>
              <w:rPr>
                <w:color w:val="000000"/>
                <w:sz w:val="24"/>
                <w:szCs w:val="24"/>
              </w:rPr>
              <w:t>600054</w:t>
            </w:r>
          </w:p>
        </w:tc>
        <w:tc>
          <w:tcPr>
            <w:tcW w:w="1777" w:type="dxa"/>
            <w:vAlign w:val="center"/>
          </w:tcPr>
          <w:p w:rsidR="00F23DAE" w:rsidRDefault="005214F1">
            <w:pPr>
              <w:jc w:val="center"/>
            </w:pPr>
            <w:r>
              <w:rPr>
                <w:color w:val="000000"/>
                <w:sz w:val="24"/>
                <w:szCs w:val="24"/>
              </w:rPr>
              <w:t>黄山旅游</w:t>
            </w:r>
          </w:p>
        </w:tc>
        <w:tc>
          <w:tcPr>
            <w:tcW w:w="1334" w:type="dxa"/>
            <w:vAlign w:val="center"/>
          </w:tcPr>
          <w:p w:rsidR="00F23DAE" w:rsidRDefault="005214F1">
            <w:pPr>
              <w:jc w:val="right"/>
            </w:pPr>
            <w:r>
              <w:rPr>
                <w:color w:val="000000"/>
                <w:sz w:val="24"/>
                <w:szCs w:val="24"/>
              </w:rPr>
              <w:t>2,301,255</w:t>
            </w:r>
          </w:p>
        </w:tc>
        <w:tc>
          <w:tcPr>
            <w:tcW w:w="1924" w:type="dxa"/>
            <w:vAlign w:val="center"/>
          </w:tcPr>
          <w:p w:rsidR="00F23DAE" w:rsidRDefault="005214F1">
            <w:pPr>
              <w:jc w:val="right"/>
            </w:pPr>
            <w:r>
              <w:rPr>
                <w:color w:val="000000"/>
                <w:sz w:val="24"/>
                <w:szCs w:val="24"/>
              </w:rPr>
              <w:t>37,027,192.95</w:t>
            </w:r>
          </w:p>
        </w:tc>
        <w:tc>
          <w:tcPr>
            <w:tcW w:w="1644" w:type="dxa"/>
            <w:vAlign w:val="center"/>
          </w:tcPr>
          <w:p w:rsidR="00F23DAE" w:rsidRDefault="005214F1">
            <w:pPr>
              <w:jc w:val="right"/>
            </w:pPr>
            <w:r>
              <w:rPr>
                <w:color w:val="000000"/>
                <w:sz w:val="24"/>
                <w:szCs w:val="24"/>
              </w:rPr>
              <w:t>8.86</w:t>
            </w:r>
          </w:p>
        </w:tc>
      </w:tr>
      <w:tr w:rsidR="00F23DAE">
        <w:trPr>
          <w:jc w:val="center"/>
        </w:trPr>
        <w:tc>
          <w:tcPr>
            <w:tcW w:w="855" w:type="dxa"/>
            <w:vAlign w:val="center"/>
          </w:tcPr>
          <w:p w:rsidR="00F23DAE" w:rsidRDefault="005214F1">
            <w:pPr>
              <w:jc w:val="center"/>
            </w:pPr>
            <w:r>
              <w:rPr>
                <w:color w:val="000000"/>
                <w:sz w:val="24"/>
                <w:szCs w:val="24"/>
              </w:rPr>
              <w:t>2</w:t>
            </w:r>
          </w:p>
        </w:tc>
        <w:tc>
          <w:tcPr>
            <w:tcW w:w="1334" w:type="dxa"/>
            <w:vAlign w:val="center"/>
          </w:tcPr>
          <w:p w:rsidR="00F23DAE" w:rsidRDefault="005214F1">
            <w:pPr>
              <w:jc w:val="center"/>
            </w:pPr>
            <w:r>
              <w:rPr>
                <w:color w:val="000000"/>
                <w:sz w:val="24"/>
                <w:szCs w:val="24"/>
              </w:rPr>
              <w:t>300347</w:t>
            </w:r>
          </w:p>
        </w:tc>
        <w:tc>
          <w:tcPr>
            <w:tcW w:w="1777" w:type="dxa"/>
            <w:vAlign w:val="center"/>
          </w:tcPr>
          <w:p w:rsidR="00F23DAE" w:rsidRDefault="005214F1">
            <w:pPr>
              <w:jc w:val="center"/>
            </w:pPr>
            <w:r>
              <w:rPr>
                <w:color w:val="000000"/>
                <w:sz w:val="24"/>
                <w:szCs w:val="24"/>
              </w:rPr>
              <w:t>泰格医药</w:t>
            </w:r>
          </w:p>
        </w:tc>
        <w:tc>
          <w:tcPr>
            <w:tcW w:w="1334" w:type="dxa"/>
            <w:vAlign w:val="center"/>
          </w:tcPr>
          <w:p w:rsidR="00F23DAE" w:rsidRDefault="005214F1">
            <w:pPr>
              <w:jc w:val="right"/>
            </w:pPr>
            <w:r>
              <w:rPr>
                <w:color w:val="000000"/>
                <w:sz w:val="24"/>
                <w:szCs w:val="24"/>
              </w:rPr>
              <w:t>1,181,815</w:t>
            </w:r>
          </w:p>
        </w:tc>
        <w:tc>
          <w:tcPr>
            <w:tcW w:w="1924" w:type="dxa"/>
            <w:vAlign w:val="center"/>
          </w:tcPr>
          <w:p w:rsidR="00F23DAE" w:rsidRDefault="005214F1">
            <w:pPr>
              <w:jc w:val="right"/>
            </w:pPr>
            <w:r>
              <w:rPr>
                <w:color w:val="000000"/>
                <w:sz w:val="24"/>
                <w:szCs w:val="24"/>
              </w:rPr>
              <w:t>34,296,271.30</w:t>
            </w:r>
          </w:p>
        </w:tc>
        <w:tc>
          <w:tcPr>
            <w:tcW w:w="1644" w:type="dxa"/>
            <w:vAlign w:val="center"/>
          </w:tcPr>
          <w:p w:rsidR="00F23DAE" w:rsidRDefault="005214F1">
            <w:pPr>
              <w:jc w:val="right"/>
            </w:pPr>
            <w:r>
              <w:rPr>
                <w:color w:val="000000"/>
                <w:sz w:val="24"/>
                <w:szCs w:val="24"/>
              </w:rPr>
              <w:t>8.21</w:t>
            </w:r>
          </w:p>
        </w:tc>
      </w:tr>
      <w:tr w:rsidR="00F23DAE">
        <w:trPr>
          <w:jc w:val="center"/>
        </w:trPr>
        <w:tc>
          <w:tcPr>
            <w:tcW w:w="855" w:type="dxa"/>
            <w:vAlign w:val="center"/>
          </w:tcPr>
          <w:p w:rsidR="00F23DAE" w:rsidRDefault="005214F1">
            <w:pPr>
              <w:jc w:val="center"/>
            </w:pPr>
            <w:r>
              <w:rPr>
                <w:color w:val="000000"/>
                <w:sz w:val="24"/>
                <w:szCs w:val="24"/>
              </w:rPr>
              <w:t>3</w:t>
            </w:r>
          </w:p>
        </w:tc>
        <w:tc>
          <w:tcPr>
            <w:tcW w:w="1334" w:type="dxa"/>
            <w:vAlign w:val="center"/>
          </w:tcPr>
          <w:p w:rsidR="00F23DAE" w:rsidRDefault="005214F1">
            <w:pPr>
              <w:jc w:val="center"/>
            </w:pPr>
            <w:r>
              <w:rPr>
                <w:color w:val="000000"/>
                <w:sz w:val="24"/>
                <w:szCs w:val="24"/>
              </w:rPr>
              <w:t>300033</w:t>
            </w:r>
          </w:p>
        </w:tc>
        <w:tc>
          <w:tcPr>
            <w:tcW w:w="1777" w:type="dxa"/>
            <w:vAlign w:val="center"/>
          </w:tcPr>
          <w:p w:rsidR="00F23DAE" w:rsidRDefault="005214F1">
            <w:pPr>
              <w:jc w:val="center"/>
            </w:pPr>
            <w:r>
              <w:rPr>
                <w:color w:val="000000"/>
                <w:sz w:val="24"/>
                <w:szCs w:val="24"/>
              </w:rPr>
              <w:t>同花顺</w:t>
            </w:r>
          </w:p>
        </w:tc>
        <w:tc>
          <w:tcPr>
            <w:tcW w:w="1334" w:type="dxa"/>
            <w:vAlign w:val="center"/>
          </w:tcPr>
          <w:p w:rsidR="00F23DAE" w:rsidRDefault="005214F1">
            <w:pPr>
              <w:jc w:val="right"/>
            </w:pPr>
            <w:r>
              <w:rPr>
                <w:color w:val="000000"/>
                <w:sz w:val="24"/>
                <w:szCs w:val="24"/>
              </w:rPr>
              <w:t>380,240</w:t>
            </w:r>
          </w:p>
        </w:tc>
        <w:tc>
          <w:tcPr>
            <w:tcW w:w="1924" w:type="dxa"/>
            <w:vAlign w:val="center"/>
          </w:tcPr>
          <w:p w:rsidR="00F23DAE" w:rsidRDefault="005214F1">
            <w:pPr>
              <w:jc w:val="right"/>
            </w:pPr>
            <w:r>
              <w:rPr>
                <w:color w:val="000000"/>
                <w:sz w:val="24"/>
                <w:szCs w:val="24"/>
              </w:rPr>
              <w:t>30,970,548.00</w:t>
            </w:r>
          </w:p>
        </w:tc>
        <w:tc>
          <w:tcPr>
            <w:tcW w:w="1644" w:type="dxa"/>
            <w:vAlign w:val="center"/>
          </w:tcPr>
          <w:p w:rsidR="00F23DAE" w:rsidRDefault="005214F1">
            <w:pPr>
              <w:jc w:val="right"/>
            </w:pPr>
            <w:r>
              <w:rPr>
                <w:color w:val="000000"/>
                <w:sz w:val="24"/>
                <w:szCs w:val="24"/>
              </w:rPr>
              <w:t>7.41</w:t>
            </w:r>
          </w:p>
        </w:tc>
      </w:tr>
      <w:tr w:rsidR="00F23DAE">
        <w:trPr>
          <w:jc w:val="center"/>
        </w:trPr>
        <w:tc>
          <w:tcPr>
            <w:tcW w:w="855" w:type="dxa"/>
            <w:vAlign w:val="center"/>
          </w:tcPr>
          <w:p w:rsidR="00F23DAE" w:rsidRDefault="005214F1">
            <w:pPr>
              <w:jc w:val="center"/>
            </w:pPr>
            <w:r>
              <w:rPr>
                <w:color w:val="000000"/>
                <w:sz w:val="24"/>
                <w:szCs w:val="24"/>
              </w:rPr>
              <w:t>4</w:t>
            </w:r>
          </w:p>
        </w:tc>
        <w:tc>
          <w:tcPr>
            <w:tcW w:w="1334" w:type="dxa"/>
            <w:vAlign w:val="center"/>
          </w:tcPr>
          <w:p w:rsidR="00F23DAE" w:rsidRDefault="005214F1">
            <w:pPr>
              <w:jc w:val="center"/>
            </w:pPr>
            <w:r>
              <w:rPr>
                <w:color w:val="000000"/>
                <w:sz w:val="24"/>
                <w:szCs w:val="24"/>
              </w:rPr>
              <w:t>002450</w:t>
            </w:r>
          </w:p>
        </w:tc>
        <w:tc>
          <w:tcPr>
            <w:tcW w:w="1777" w:type="dxa"/>
            <w:vAlign w:val="center"/>
          </w:tcPr>
          <w:p w:rsidR="00F23DAE" w:rsidRDefault="005214F1">
            <w:pPr>
              <w:jc w:val="center"/>
            </w:pPr>
            <w:r>
              <w:rPr>
                <w:color w:val="000000"/>
                <w:sz w:val="24"/>
                <w:szCs w:val="24"/>
              </w:rPr>
              <w:t>康得新</w:t>
            </w:r>
          </w:p>
        </w:tc>
        <w:tc>
          <w:tcPr>
            <w:tcW w:w="1334" w:type="dxa"/>
            <w:vAlign w:val="center"/>
          </w:tcPr>
          <w:p w:rsidR="00F23DAE" w:rsidRDefault="005214F1">
            <w:pPr>
              <w:jc w:val="right"/>
            </w:pPr>
            <w:r>
              <w:rPr>
                <w:color w:val="000000"/>
                <w:sz w:val="24"/>
                <w:szCs w:val="24"/>
              </w:rPr>
              <w:t>1,534,314</w:t>
            </w:r>
          </w:p>
        </w:tc>
        <w:tc>
          <w:tcPr>
            <w:tcW w:w="1924" w:type="dxa"/>
            <w:vAlign w:val="center"/>
          </w:tcPr>
          <w:p w:rsidR="00F23DAE" w:rsidRDefault="005214F1">
            <w:pPr>
              <w:jc w:val="right"/>
            </w:pPr>
            <w:r>
              <w:rPr>
                <w:color w:val="000000"/>
                <w:sz w:val="24"/>
                <w:szCs w:val="24"/>
              </w:rPr>
              <w:t>26,236,769.40</w:t>
            </w:r>
          </w:p>
        </w:tc>
        <w:tc>
          <w:tcPr>
            <w:tcW w:w="1644" w:type="dxa"/>
            <w:vAlign w:val="center"/>
          </w:tcPr>
          <w:p w:rsidR="00F23DAE" w:rsidRDefault="005214F1">
            <w:pPr>
              <w:jc w:val="right"/>
            </w:pPr>
            <w:r>
              <w:rPr>
                <w:color w:val="000000"/>
                <w:sz w:val="24"/>
                <w:szCs w:val="24"/>
              </w:rPr>
              <w:t>6.28</w:t>
            </w:r>
          </w:p>
        </w:tc>
      </w:tr>
      <w:tr w:rsidR="00F23DAE">
        <w:trPr>
          <w:jc w:val="center"/>
        </w:trPr>
        <w:tc>
          <w:tcPr>
            <w:tcW w:w="855" w:type="dxa"/>
            <w:vAlign w:val="center"/>
          </w:tcPr>
          <w:p w:rsidR="00F23DAE" w:rsidRDefault="005214F1">
            <w:pPr>
              <w:jc w:val="center"/>
            </w:pPr>
            <w:r>
              <w:rPr>
                <w:color w:val="000000"/>
                <w:sz w:val="24"/>
                <w:szCs w:val="24"/>
              </w:rPr>
              <w:t>5</w:t>
            </w:r>
          </w:p>
        </w:tc>
        <w:tc>
          <w:tcPr>
            <w:tcW w:w="1334" w:type="dxa"/>
            <w:vAlign w:val="center"/>
          </w:tcPr>
          <w:p w:rsidR="00F23DAE" w:rsidRDefault="005214F1">
            <w:pPr>
              <w:jc w:val="center"/>
            </w:pPr>
            <w:r>
              <w:rPr>
                <w:color w:val="000000"/>
                <w:sz w:val="24"/>
                <w:szCs w:val="24"/>
              </w:rPr>
              <w:t>300137</w:t>
            </w:r>
          </w:p>
        </w:tc>
        <w:tc>
          <w:tcPr>
            <w:tcW w:w="1777" w:type="dxa"/>
            <w:vAlign w:val="center"/>
          </w:tcPr>
          <w:p w:rsidR="00F23DAE" w:rsidRDefault="005214F1">
            <w:pPr>
              <w:jc w:val="center"/>
            </w:pPr>
            <w:r>
              <w:rPr>
                <w:color w:val="000000"/>
                <w:sz w:val="24"/>
                <w:szCs w:val="24"/>
              </w:rPr>
              <w:t>先河环保</w:t>
            </w:r>
          </w:p>
        </w:tc>
        <w:tc>
          <w:tcPr>
            <w:tcW w:w="1334" w:type="dxa"/>
            <w:vAlign w:val="center"/>
          </w:tcPr>
          <w:p w:rsidR="00F23DAE" w:rsidRDefault="005214F1">
            <w:pPr>
              <w:jc w:val="right"/>
            </w:pPr>
            <w:r>
              <w:rPr>
                <w:color w:val="000000"/>
                <w:sz w:val="24"/>
                <w:szCs w:val="24"/>
              </w:rPr>
              <w:t>1,705,900</w:t>
            </w:r>
          </w:p>
        </w:tc>
        <w:tc>
          <w:tcPr>
            <w:tcW w:w="1924" w:type="dxa"/>
            <w:vAlign w:val="center"/>
          </w:tcPr>
          <w:p w:rsidR="00F23DAE" w:rsidRDefault="005214F1">
            <w:pPr>
              <w:jc w:val="right"/>
            </w:pPr>
            <w:r>
              <w:rPr>
                <w:color w:val="000000"/>
                <w:sz w:val="24"/>
                <w:szCs w:val="24"/>
              </w:rPr>
              <w:t>25,230,261.00</w:t>
            </w:r>
          </w:p>
        </w:tc>
        <w:tc>
          <w:tcPr>
            <w:tcW w:w="1644" w:type="dxa"/>
            <w:vAlign w:val="center"/>
          </w:tcPr>
          <w:p w:rsidR="00F23DAE" w:rsidRDefault="005214F1">
            <w:pPr>
              <w:jc w:val="right"/>
            </w:pPr>
            <w:r>
              <w:rPr>
                <w:color w:val="000000"/>
                <w:sz w:val="24"/>
                <w:szCs w:val="24"/>
              </w:rPr>
              <w:t>6.04</w:t>
            </w:r>
          </w:p>
        </w:tc>
      </w:tr>
      <w:tr w:rsidR="00F23DAE">
        <w:trPr>
          <w:jc w:val="center"/>
        </w:trPr>
        <w:tc>
          <w:tcPr>
            <w:tcW w:w="855" w:type="dxa"/>
            <w:vAlign w:val="center"/>
          </w:tcPr>
          <w:p w:rsidR="00F23DAE" w:rsidRDefault="005214F1">
            <w:pPr>
              <w:jc w:val="center"/>
            </w:pPr>
            <w:r>
              <w:rPr>
                <w:color w:val="000000"/>
                <w:sz w:val="24"/>
                <w:szCs w:val="24"/>
              </w:rPr>
              <w:t>6</w:t>
            </w:r>
          </w:p>
        </w:tc>
        <w:tc>
          <w:tcPr>
            <w:tcW w:w="1334" w:type="dxa"/>
            <w:vAlign w:val="center"/>
          </w:tcPr>
          <w:p w:rsidR="00F23DAE" w:rsidRDefault="005214F1">
            <w:pPr>
              <w:jc w:val="center"/>
            </w:pPr>
            <w:r>
              <w:rPr>
                <w:color w:val="000000"/>
                <w:sz w:val="24"/>
                <w:szCs w:val="24"/>
              </w:rPr>
              <w:t>300359</w:t>
            </w:r>
          </w:p>
        </w:tc>
        <w:tc>
          <w:tcPr>
            <w:tcW w:w="1777" w:type="dxa"/>
            <w:vAlign w:val="center"/>
          </w:tcPr>
          <w:p w:rsidR="00F23DAE" w:rsidRDefault="005214F1">
            <w:pPr>
              <w:jc w:val="center"/>
            </w:pPr>
            <w:r>
              <w:rPr>
                <w:color w:val="000000"/>
                <w:sz w:val="24"/>
                <w:szCs w:val="24"/>
              </w:rPr>
              <w:t>全通教育</w:t>
            </w:r>
          </w:p>
        </w:tc>
        <w:tc>
          <w:tcPr>
            <w:tcW w:w="1334" w:type="dxa"/>
            <w:vAlign w:val="center"/>
          </w:tcPr>
          <w:p w:rsidR="00F23DAE" w:rsidRDefault="005214F1">
            <w:pPr>
              <w:jc w:val="right"/>
            </w:pPr>
            <w:r>
              <w:rPr>
                <w:color w:val="000000"/>
                <w:sz w:val="24"/>
                <w:szCs w:val="24"/>
              </w:rPr>
              <w:t>584,090</w:t>
            </w:r>
          </w:p>
        </w:tc>
        <w:tc>
          <w:tcPr>
            <w:tcW w:w="1924" w:type="dxa"/>
            <w:vAlign w:val="center"/>
          </w:tcPr>
          <w:p w:rsidR="00F23DAE" w:rsidRDefault="005214F1">
            <w:pPr>
              <w:jc w:val="right"/>
            </w:pPr>
            <w:r>
              <w:rPr>
                <w:color w:val="000000"/>
                <w:sz w:val="24"/>
                <w:szCs w:val="24"/>
              </w:rPr>
              <w:t>17,324,109.40</w:t>
            </w:r>
          </w:p>
        </w:tc>
        <w:tc>
          <w:tcPr>
            <w:tcW w:w="1644" w:type="dxa"/>
            <w:vAlign w:val="center"/>
          </w:tcPr>
          <w:p w:rsidR="00F23DAE" w:rsidRDefault="005214F1">
            <w:pPr>
              <w:jc w:val="right"/>
            </w:pPr>
            <w:r>
              <w:rPr>
                <w:color w:val="000000"/>
                <w:sz w:val="24"/>
                <w:szCs w:val="24"/>
              </w:rPr>
              <w:t>4.15</w:t>
            </w:r>
          </w:p>
        </w:tc>
      </w:tr>
      <w:tr w:rsidR="00F23DAE">
        <w:trPr>
          <w:jc w:val="center"/>
        </w:trPr>
        <w:tc>
          <w:tcPr>
            <w:tcW w:w="855" w:type="dxa"/>
            <w:vAlign w:val="center"/>
          </w:tcPr>
          <w:p w:rsidR="00F23DAE" w:rsidRDefault="005214F1">
            <w:pPr>
              <w:jc w:val="center"/>
            </w:pPr>
            <w:r>
              <w:rPr>
                <w:color w:val="000000"/>
                <w:sz w:val="24"/>
                <w:szCs w:val="24"/>
              </w:rPr>
              <w:t>7</w:t>
            </w:r>
          </w:p>
        </w:tc>
        <w:tc>
          <w:tcPr>
            <w:tcW w:w="1334" w:type="dxa"/>
            <w:vAlign w:val="center"/>
          </w:tcPr>
          <w:p w:rsidR="00F23DAE" w:rsidRDefault="005214F1">
            <w:pPr>
              <w:jc w:val="center"/>
            </w:pPr>
            <w:r>
              <w:rPr>
                <w:color w:val="000000"/>
                <w:sz w:val="24"/>
                <w:szCs w:val="24"/>
              </w:rPr>
              <w:t>300203</w:t>
            </w:r>
          </w:p>
        </w:tc>
        <w:tc>
          <w:tcPr>
            <w:tcW w:w="1777" w:type="dxa"/>
            <w:vAlign w:val="center"/>
          </w:tcPr>
          <w:p w:rsidR="00F23DAE" w:rsidRDefault="005214F1">
            <w:pPr>
              <w:jc w:val="center"/>
            </w:pPr>
            <w:r>
              <w:rPr>
                <w:color w:val="000000"/>
                <w:sz w:val="24"/>
                <w:szCs w:val="24"/>
              </w:rPr>
              <w:t>聚光科技</w:t>
            </w:r>
          </w:p>
        </w:tc>
        <w:tc>
          <w:tcPr>
            <w:tcW w:w="1334" w:type="dxa"/>
            <w:vAlign w:val="center"/>
          </w:tcPr>
          <w:p w:rsidR="00F23DAE" w:rsidRDefault="005214F1">
            <w:pPr>
              <w:jc w:val="right"/>
            </w:pPr>
            <w:r>
              <w:rPr>
                <w:color w:val="000000"/>
                <w:sz w:val="24"/>
                <w:szCs w:val="24"/>
              </w:rPr>
              <w:t>642,263</w:t>
            </w:r>
          </w:p>
        </w:tc>
        <w:tc>
          <w:tcPr>
            <w:tcW w:w="1924" w:type="dxa"/>
            <w:vAlign w:val="center"/>
          </w:tcPr>
          <w:p w:rsidR="00F23DAE" w:rsidRDefault="005214F1">
            <w:pPr>
              <w:jc w:val="right"/>
            </w:pPr>
            <w:r>
              <w:rPr>
                <w:color w:val="000000"/>
                <w:sz w:val="24"/>
                <w:szCs w:val="24"/>
              </w:rPr>
              <w:t>16,955,743.20</w:t>
            </w:r>
          </w:p>
        </w:tc>
        <w:tc>
          <w:tcPr>
            <w:tcW w:w="1644" w:type="dxa"/>
            <w:vAlign w:val="center"/>
          </w:tcPr>
          <w:p w:rsidR="00F23DAE" w:rsidRDefault="005214F1">
            <w:pPr>
              <w:jc w:val="right"/>
            </w:pPr>
            <w:r>
              <w:rPr>
                <w:color w:val="000000"/>
                <w:sz w:val="24"/>
                <w:szCs w:val="24"/>
              </w:rPr>
              <w:t>4.06</w:t>
            </w:r>
          </w:p>
        </w:tc>
      </w:tr>
      <w:tr w:rsidR="00F23DAE">
        <w:trPr>
          <w:jc w:val="center"/>
        </w:trPr>
        <w:tc>
          <w:tcPr>
            <w:tcW w:w="855" w:type="dxa"/>
            <w:vAlign w:val="center"/>
          </w:tcPr>
          <w:p w:rsidR="00F23DAE" w:rsidRDefault="005214F1">
            <w:pPr>
              <w:jc w:val="center"/>
            </w:pPr>
            <w:r>
              <w:rPr>
                <w:color w:val="000000"/>
                <w:sz w:val="24"/>
                <w:szCs w:val="24"/>
              </w:rPr>
              <w:t>8</w:t>
            </w:r>
          </w:p>
        </w:tc>
        <w:tc>
          <w:tcPr>
            <w:tcW w:w="1334" w:type="dxa"/>
            <w:vAlign w:val="center"/>
          </w:tcPr>
          <w:p w:rsidR="00F23DAE" w:rsidRDefault="005214F1">
            <w:pPr>
              <w:jc w:val="center"/>
            </w:pPr>
            <w:r>
              <w:rPr>
                <w:color w:val="000000"/>
                <w:sz w:val="24"/>
                <w:szCs w:val="24"/>
              </w:rPr>
              <w:t>300017</w:t>
            </w:r>
          </w:p>
        </w:tc>
        <w:tc>
          <w:tcPr>
            <w:tcW w:w="1777" w:type="dxa"/>
            <w:vAlign w:val="center"/>
          </w:tcPr>
          <w:p w:rsidR="00F23DAE" w:rsidRDefault="005214F1">
            <w:pPr>
              <w:jc w:val="center"/>
            </w:pPr>
            <w:r>
              <w:rPr>
                <w:color w:val="000000"/>
                <w:sz w:val="24"/>
                <w:szCs w:val="24"/>
              </w:rPr>
              <w:t>网宿科技</w:t>
            </w:r>
          </w:p>
        </w:tc>
        <w:tc>
          <w:tcPr>
            <w:tcW w:w="1334" w:type="dxa"/>
            <w:vAlign w:val="center"/>
          </w:tcPr>
          <w:p w:rsidR="00F23DAE" w:rsidRDefault="005214F1">
            <w:pPr>
              <w:jc w:val="right"/>
            </w:pPr>
            <w:r>
              <w:rPr>
                <w:color w:val="000000"/>
                <w:sz w:val="24"/>
                <w:szCs w:val="24"/>
              </w:rPr>
              <w:t>242,418</w:t>
            </w:r>
          </w:p>
        </w:tc>
        <w:tc>
          <w:tcPr>
            <w:tcW w:w="1924" w:type="dxa"/>
            <w:vAlign w:val="center"/>
          </w:tcPr>
          <w:p w:rsidR="00F23DAE" w:rsidRDefault="005214F1">
            <w:pPr>
              <w:jc w:val="right"/>
            </w:pPr>
            <w:r>
              <w:rPr>
                <w:color w:val="000000"/>
                <w:sz w:val="24"/>
                <w:szCs w:val="24"/>
              </w:rPr>
              <w:t>16,290,489.60</w:t>
            </w:r>
          </w:p>
        </w:tc>
        <w:tc>
          <w:tcPr>
            <w:tcW w:w="1644" w:type="dxa"/>
            <w:vAlign w:val="center"/>
          </w:tcPr>
          <w:p w:rsidR="00F23DAE" w:rsidRDefault="005214F1">
            <w:pPr>
              <w:jc w:val="right"/>
            </w:pPr>
            <w:r>
              <w:rPr>
                <w:color w:val="000000"/>
                <w:sz w:val="24"/>
                <w:szCs w:val="24"/>
              </w:rPr>
              <w:t>3.90</w:t>
            </w:r>
          </w:p>
        </w:tc>
      </w:tr>
      <w:tr w:rsidR="00F23DAE">
        <w:trPr>
          <w:jc w:val="center"/>
        </w:trPr>
        <w:tc>
          <w:tcPr>
            <w:tcW w:w="855" w:type="dxa"/>
            <w:vAlign w:val="center"/>
          </w:tcPr>
          <w:p w:rsidR="00F23DAE" w:rsidRDefault="005214F1">
            <w:pPr>
              <w:jc w:val="center"/>
            </w:pPr>
            <w:r>
              <w:rPr>
                <w:color w:val="000000"/>
                <w:sz w:val="24"/>
                <w:szCs w:val="24"/>
              </w:rPr>
              <w:t>9</w:t>
            </w:r>
          </w:p>
        </w:tc>
        <w:tc>
          <w:tcPr>
            <w:tcW w:w="1334" w:type="dxa"/>
            <w:vAlign w:val="center"/>
          </w:tcPr>
          <w:p w:rsidR="00F23DAE" w:rsidRDefault="005214F1">
            <w:pPr>
              <w:jc w:val="center"/>
            </w:pPr>
            <w:r>
              <w:rPr>
                <w:color w:val="000000"/>
                <w:sz w:val="24"/>
                <w:szCs w:val="24"/>
              </w:rPr>
              <w:t>600521</w:t>
            </w:r>
          </w:p>
        </w:tc>
        <w:tc>
          <w:tcPr>
            <w:tcW w:w="1777" w:type="dxa"/>
            <w:vAlign w:val="center"/>
          </w:tcPr>
          <w:p w:rsidR="00F23DAE" w:rsidRDefault="005214F1">
            <w:pPr>
              <w:jc w:val="center"/>
            </w:pPr>
            <w:r>
              <w:rPr>
                <w:color w:val="000000"/>
                <w:sz w:val="24"/>
                <w:szCs w:val="24"/>
              </w:rPr>
              <w:t>华海药业</w:t>
            </w:r>
          </w:p>
        </w:tc>
        <w:tc>
          <w:tcPr>
            <w:tcW w:w="1334" w:type="dxa"/>
            <w:vAlign w:val="center"/>
          </w:tcPr>
          <w:p w:rsidR="00F23DAE" w:rsidRDefault="005214F1">
            <w:pPr>
              <w:jc w:val="right"/>
            </w:pPr>
            <w:r>
              <w:rPr>
                <w:color w:val="000000"/>
                <w:sz w:val="24"/>
                <w:szCs w:val="24"/>
              </w:rPr>
              <w:t>609,648</w:t>
            </w:r>
          </w:p>
        </w:tc>
        <w:tc>
          <w:tcPr>
            <w:tcW w:w="1924" w:type="dxa"/>
            <w:vAlign w:val="center"/>
          </w:tcPr>
          <w:p w:rsidR="00F23DAE" w:rsidRDefault="005214F1">
            <w:pPr>
              <w:jc w:val="right"/>
            </w:pPr>
            <w:r>
              <w:rPr>
                <w:color w:val="000000"/>
                <w:sz w:val="24"/>
                <w:szCs w:val="24"/>
              </w:rPr>
              <w:t>14,826,639.36</w:t>
            </w:r>
          </w:p>
        </w:tc>
        <w:tc>
          <w:tcPr>
            <w:tcW w:w="1644" w:type="dxa"/>
            <w:vAlign w:val="center"/>
          </w:tcPr>
          <w:p w:rsidR="00F23DAE" w:rsidRDefault="005214F1">
            <w:pPr>
              <w:jc w:val="right"/>
            </w:pPr>
            <w:r>
              <w:rPr>
                <w:color w:val="000000"/>
                <w:sz w:val="24"/>
                <w:szCs w:val="24"/>
              </w:rPr>
              <w:t>3.55</w:t>
            </w:r>
          </w:p>
        </w:tc>
      </w:tr>
      <w:tr w:rsidR="00F23DAE">
        <w:trPr>
          <w:jc w:val="center"/>
        </w:trPr>
        <w:tc>
          <w:tcPr>
            <w:tcW w:w="855" w:type="dxa"/>
            <w:vAlign w:val="center"/>
          </w:tcPr>
          <w:p w:rsidR="00F23DAE" w:rsidRDefault="005214F1">
            <w:pPr>
              <w:jc w:val="center"/>
            </w:pPr>
            <w:r>
              <w:rPr>
                <w:color w:val="000000"/>
                <w:sz w:val="24"/>
                <w:szCs w:val="24"/>
              </w:rPr>
              <w:t>10</w:t>
            </w:r>
          </w:p>
        </w:tc>
        <w:tc>
          <w:tcPr>
            <w:tcW w:w="1334" w:type="dxa"/>
            <w:vAlign w:val="center"/>
          </w:tcPr>
          <w:p w:rsidR="00F23DAE" w:rsidRDefault="005214F1">
            <w:pPr>
              <w:jc w:val="center"/>
            </w:pPr>
            <w:r>
              <w:rPr>
                <w:color w:val="000000"/>
                <w:sz w:val="24"/>
                <w:szCs w:val="24"/>
              </w:rPr>
              <w:t>002582</w:t>
            </w:r>
          </w:p>
        </w:tc>
        <w:tc>
          <w:tcPr>
            <w:tcW w:w="1777" w:type="dxa"/>
            <w:vAlign w:val="center"/>
          </w:tcPr>
          <w:p w:rsidR="00F23DAE" w:rsidRDefault="005214F1">
            <w:pPr>
              <w:jc w:val="center"/>
            </w:pPr>
            <w:r>
              <w:rPr>
                <w:color w:val="000000"/>
                <w:sz w:val="24"/>
                <w:szCs w:val="24"/>
              </w:rPr>
              <w:t>好想你</w:t>
            </w:r>
          </w:p>
        </w:tc>
        <w:tc>
          <w:tcPr>
            <w:tcW w:w="1334" w:type="dxa"/>
            <w:vAlign w:val="center"/>
          </w:tcPr>
          <w:p w:rsidR="00F23DAE" w:rsidRDefault="005214F1">
            <w:pPr>
              <w:jc w:val="right"/>
            </w:pPr>
            <w:r>
              <w:rPr>
                <w:color w:val="000000"/>
                <w:sz w:val="24"/>
                <w:szCs w:val="24"/>
              </w:rPr>
              <w:t>361,900</w:t>
            </w:r>
          </w:p>
        </w:tc>
        <w:tc>
          <w:tcPr>
            <w:tcW w:w="1924" w:type="dxa"/>
            <w:vAlign w:val="center"/>
          </w:tcPr>
          <w:p w:rsidR="00F23DAE" w:rsidRDefault="005214F1">
            <w:pPr>
              <w:jc w:val="right"/>
            </w:pPr>
            <w:r>
              <w:rPr>
                <w:color w:val="000000"/>
                <w:sz w:val="24"/>
                <w:szCs w:val="24"/>
              </w:rPr>
              <w:t>14,302,288.00</w:t>
            </w:r>
          </w:p>
        </w:tc>
        <w:tc>
          <w:tcPr>
            <w:tcW w:w="1644" w:type="dxa"/>
            <w:vAlign w:val="center"/>
          </w:tcPr>
          <w:p w:rsidR="00F23DAE" w:rsidRDefault="005214F1">
            <w:pPr>
              <w:jc w:val="right"/>
            </w:pPr>
            <w:r>
              <w:rPr>
                <w:color w:val="000000"/>
                <w:sz w:val="24"/>
                <w:szCs w:val="24"/>
              </w:rPr>
              <w:t>3.42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20,016,000.00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rsidR="00F23DAE">
        <w:trPr>
          <w:jc w:val="center"/>
        </w:trPr>
        <w:tc>
          <w:tcPr>
            <w:tcW w:w="850" w:type="dxa"/>
            <w:vAlign w:val="center"/>
          </w:tcPr>
          <w:p w:rsidR="00F23DAE" w:rsidRDefault="005214F1">
            <w:pPr>
              <w:jc w:val="center"/>
            </w:pPr>
            <w:r>
              <w:rPr>
                <w:color w:val="000000"/>
                <w:sz w:val="24"/>
                <w:szCs w:val="24"/>
              </w:rPr>
              <w:lastRenderedPageBreak/>
              <w:t>1</w:t>
            </w:r>
          </w:p>
        </w:tc>
        <w:tc>
          <w:tcPr>
            <w:tcW w:w="1475" w:type="dxa"/>
            <w:vAlign w:val="center"/>
          </w:tcPr>
          <w:p w:rsidR="00F23DAE" w:rsidRDefault="005214F1">
            <w:pPr>
              <w:jc w:val="center"/>
            </w:pPr>
            <w:r>
              <w:rPr>
                <w:color w:val="000000"/>
                <w:sz w:val="24"/>
                <w:szCs w:val="24"/>
              </w:rPr>
              <w:t>150318</w:t>
            </w:r>
          </w:p>
        </w:tc>
        <w:tc>
          <w:tcPr>
            <w:tcW w:w="1769" w:type="dxa"/>
            <w:vAlign w:val="center"/>
          </w:tcPr>
          <w:p w:rsidR="00F23DAE" w:rsidRDefault="005214F1">
            <w:pPr>
              <w:jc w:val="center"/>
            </w:pPr>
            <w:r>
              <w:rPr>
                <w:color w:val="000000"/>
                <w:sz w:val="24"/>
                <w:szCs w:val="24"/>
              </w:rPr>
              <w:t>15</w:t>
            </w:r>
            <w:r>
              <w:rPr>
                <w:color w:val="000000"/>
                <w:sz w:val="24"/>
                <w:szCs w:val="24"/>
              </w:rPr>
              <w:t>进出</w:t>
            </w:r>
            <w:r>
              <w:rPr>
                <w:color w:val="000000"/>
                <w:sz w:val="24"/>
                <w:szCs w:val="24"/>
              </w:rPr>
              <w:t>18</w:t>
            </w:r>
          </w:p>
        </w:tc>
        <w:tc>
          <w:tcPr>
            <w:tcW w:w="1387" w:type="dxa"/>
            <w:vAlign w:val="center"/>
          </w:tcPr>
          <w:p w:rsidR="00F23DAE" w:rsidRDefault="005214F1">
            <w:pPr>
              <w:jc w:val="right"/>
            </w:pPr>
            <w:r>
              <w:rPr>
                <w:color w:val="000000"/>
                <w:sz w:val="24"/>
                <w:szCs w:val="24"/>
              </w:rPr>
              <w:t>200,000</w:t>
            </w:r>
          </w:p>
        </w:tc>
        <w:tc>
          <w:tcPr>
            <w:tcW w:w="2150" w:type="dxa"/>
            <w:vAlign w:val="center"/>
          </w:tcPr>
          <w:p w:rsidR="00F23DAE" w:rsidRDefault="005214F1">
            <w:pPr>
              <w:jc w:val="right"/>
            </w:pPr>
            <w:r>
              <w:rPr>
                <w:color w:val="000000"/>
                <w:sz w:val="24"/>
                <w:szCs w:val="24"/>
              </w:rPr>
              <w:t>20,016,000.00</w:t>
            </w:r>
          </w:p>
        </w:tc>
        <w:tc>
          <w:tcPr>
            <w:tcW w:w="1237" w:type="dxa"/>
            <w:vAlign w:val="center"/>
          </w:tcPr>
          <w:p w:rsidR="00F23DAE" w:rsidRDefault="005214F1">
            <w:pPr>
              <w:jc w:val="right"/>
            </w:pPr>
            <w:r>
              <w:rPr>
                <w:color w:val="000000"/>
                <w:sz w:val="24"/>
                <w:szCs w:val="24"/>
              </w:rPr>
              <w:t>4.79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报告期内本基金投资的前十名证券的发行主体除华海药业（证券代码：</w:t>
      </w:r>
      <w:r w:rsidRPr="00BE5388">
        <w:rPr>
          <w:bCs/>
          <w:color w:val="000000"/>
          <w:kern w:val="0"/>
          <w:sz w:val="24"/>
          <w:szCs w:val="24"/>
        </w:rPr>
        <w:t>600521</w:t>
      </w:r>
      <w:r w:rsidRPr="00BE5388">
        <w:rPr>
          <w:bCs/>
          <w:color w:val="000000"/>
          <w:kern w:val="0"/>
          <w:sz w:val="24"/>
          <w:szCs w:val="24"/>
        </w:rPr>
        <w:t>）外，未出现被监管部门立案调查，或在报告编制日前一年内受到公开谴责、处罚的情形。</w:t>
      </w:r>
    </w:p>
    <w:p w:rsidR="00F23DAE" w:rsidRDefault="005214F1">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报告期内本基金投资的前十名证券之一华海药业（证券代码：</w:t>
      </w:r>
      <w:r>
        <w:rPr>
          <w:bCs/>
          <w:color w:val="000000"/>
          <w:kern w:val="0"/>
          <w:sz w:val="24"/>
          <w:szCs w:val="24"/>
        </w:rPr>
        <w:t>600521</w:t>
      </w:r>
      <w:r>
        <w:rPr>
          <w:bCs/>
          <w:color w:val="000000"/>
          <w:kern w:val="0"/>
          <w:sz w:val="24"/>
          <w:szCs w:val="24"/>
        </w:rPr>
        <w:t>）于</w:t>
      </w:r>
      <w:r>
        <w:rPr>
          <w:bCs/>
          <w:color w:val="000000"/>
          <w:kern w:val="0"/>
          <w:sz w:val="24"/>
          <w:szCs w:val="24"/>
        </w:rPr>
        <w:t>2015</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23</w:t>
      </w:r>
      <w:r>
        <w:rPr>
          <w:bCs/>
          <w:color w:val="000000"/>
          <w:kern w:val="0"/>
          <w:sz w:val="24"/>
          <w:szCs w:val="24"/>
        </w:rPr>
        <w:t>日因川南一分厂不正常使用大气污染物处理设施的行为被临海市环境保护局以临环罚字［</w:t>
      </w:r>
      <w:r>
        <w:rPr>
          <w:bCs/>
          <w:color w:val="000000"/>
          <w:kern w:val="0"/>
          <w:sz w:val="24"/>
          <w:szCs w:val="24"/>
        </w:rPr>
        <w:t>2015</w:t>
      </w:r>
      <w:r>
        <w:rPr>
          <w:bCs/>
          <w:color w:val="000000"/>
          <w:kern w:val="0"/>
          <w:sz w:val="24"/>
          <w:szCs w:val="24"/>
        </w:rPr>
        <w:t>］</w:t>
      </w:r>
      <w:r>
        <w:rPr>
          <w:bCs/>
          <w:color w:val="000000"/>
          <w:kern w:val="0"/>
          <w:sz w:val="24"/>
          <w:szCs w:val="24"/>
        </w:rPr>
        <w:t>108</w:t>
      </w:r>
      <w:r>
        <w:rPr>
          <w:bCs/>
          <w:color w:val="000000"/>
          <w:kern w:val="0"/>
          <w:sz w:val="24"/>
          <w:szCs w:val="24"/>
        </w:rPr>
        <w:t>号《行政处罚决定书》处以责令停止违法行为和罚款人民币</w:t>
      </w:r>
      <w:r>
        <w:rPr>
          <w:bCs/>
          <w:color w:val="000000"/>
          <w:kern w:val="0"/>
          <w:sz w:val="24"/>
          <w:szCs w:val="24"/>
        </w:rPr>
        <w:t>5</w:t>
      </w:r>
      <w:r>
        <w:rPr>
          <w:bCs/>
          <w:color w:val="000000"/>
          <w:kern w:val="0"/>
          <w:sz w:val="24"/>
          <w:szCs w:val="24"/>
        </w:rPr>
        <w:t>万元的处罚；公司于</w:t>
      </w:r>
      <w:r>
        <w:rPr>
          <w:bCs/>
          <w:color w:val="000000"/>
          <w:kern w:val="0"/>
          <w:sz w:val="24"/>
          <w:szCs w:val="24"/>
        </w:rPr>
        <w:t>2015</w:t>
      </w:r>
      <w:r>
        <w:rPr>
          <w:bCs/>
          <w:color w:val="000000"/>
          <w:kern w:val="0"/>
          <w:sz w:val="24"/>
          <w:szCs w:val="24"/>
        </w:rPr>
        <w:t>年</w:t>
      </w:r>
      <w:r>
        <w:rPr>
          <w:bCs/>
          <w:color w:val="000000"/>
          <w:kern w:val="0"/>
          <w:sz w:val="24"/>
          <w:szCs w:val="24"/>
        </w:rPr>
        <w:t>7</w:t>
      </w:r>
      <w:r>
        <w:rPr>
          <w:bCs/>
          <w:color w:val="000000"/>
          <w:kern w:val="0"/>
          <w:sz w:val="24"/>
          <w:szCs w:val="24"/>
        </w:rPr>
        <w:t>月</w:t>
      </w:r>
      <w:r>
        <w:rPr>
          <w:bCs/>
          <w:color w:val="000000"/>
          <w:kern w:val="0"/>
          <w:sz w:val="24"/>
          <w:szCs w:val="24"/>
        </w:rPr>
        <w:t>24</w:t>
      </w:r>
      <w:r>
        <w:rPr>
          <w:bCs/>
          <w:color w:val="000000"/>
          <w:kern w:val="0"/>
          <w:sz w:val="24"/>
          <w:szCs w:val="24"/>
        </w:rPr>
        <w:t>日因川南一分厂废水超标排放被临海市环境保护局以临环罚字［</w:t>
      </w:r>
      <w:r>
        <w:rPr>
          <w:bCs/>
          <w:color w:val="000000"/>
          <w:kern w:val="0"/>
          <w:sz w:val="24"/>
          <w:szCs w:val="24"/>
        </w:rPr>
        <w:t>2015</w:t>
      </w:r>
      <w:r>
        <w:rPr>
          <w:bCs/>
          <w:color w:val="000000"/>
          <w:kern w:val="0"/>
          <w:sz w:val="24"/>
          <w:szCs w:val="24"/>
        </w:rPr>
        <w:t>］</w:t>
      </w:r>
      <w:r>
        <w:rPr>
          <w:bCs/>
          <w:color w:val="000000"/>
          <w:kern w:val="0"/>
          <w:sz w:val="24"/>
          <w:szCs w:val="24"/>
        </w:rPr>
        <w:t>119</w:t>
      </w:r>
      <w:r>
        <w:rPr>
          <w:bCs/>
          <w:color w:val="000000"/>
          <w:kern w:val="0"/>
          <w:sz w:val="24"/>
          <w:szCs w:val="24"/>
        </w:rPr>
        <w:t>号《行政处罚决定书》处以责令停止违法行为、罚款人民币</w:t>
      </w:r>
      <w:r>
        <w:rPr>
          <w:bCs/>
          <w:color w:val="000000"/>
          <w:kern w:val="0"/>
          <w:sz w:val="24"/>
          <w:szCs w:val="24"/>
        </w:rPr>
        <w:t>58.6</w:t>
      </w:r>
      <w:r>
        <w:rPr>
          <w:bCs/>
          <w:color w:val="000000"/>
          <w:kern w:val="0"/>
          <w:sz w:val="24"/>
          <w:szCs w:val="24"/>
        </w:rPr>
        <w:t>万元的处罚。</w:t>
      </w:r>
    </w:p>
    <w:p w:rsidR="00F23DAE" w:rsidRDefault="005214F1">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237,889.54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944,424.27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315,078.08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25,064.53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1,522,456.42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251,474,756.43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6,415,597.81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9,526,864.29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248,363,489.95</w:t>
            </w:r>
          </w:p>
        </w:tc>
      </w:tr>
    </w:tbl>
    <w:p w:rsidR="00F23DAE" w:rsidRDefault="005214F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23DAE" w:rsidRDefault="005214F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F23DAE" w:rsidRDefault="005214F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F23DAE" w:rsidRDefault="005214F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F23DAE" w:rsidRDefault="005214F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F23DAE" w:rsidRDefault="005214F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F23DAE" w:rsidRDefault="005214F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F23DAE" w:rsidRDefault="005214F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23DAE" w:rsidRDefault="005214F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13A" w:rsidRDefault="00AD213A" w:rsidP="00876D65">
      <w:r>
        <w:separator/>
      </w:r>
    </w:p>
  </w:endnote>
  <w:endnote w:type="continuationSeparator" w:id="0">
    <w:p w:rsidR="00AD213A" w:rsidRDefault="00AD213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4005D">
      <w:rPr>
        <w:noProof/>
        <w:kern w:val="0"/>
        <w:szCs w:val="21"/>
      </w:rPr>
      <w:t>7</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4005D">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13A" w:rsidRDefault="00AD213A" w:rsidP="00876D65">
      <w:r>
        <w:separator/>
      </w:r>
    </w:p>
  </w:footnote>
  <w:footnote w:type="continuationSeparator" w:id="0">
    <w:p w:rsidR="00AD213A" w:rsidRDefault="00AD213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35A53"/>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14F1"/>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39A4"/>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13A"/>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005D"/>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3DAE"/>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8AF62-50CE-49B8-B633-DCBCBF02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11</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564</cp:revision>
  <dcterms:created xsi:type="dcterms:W3CDTF">2012-10-16T06:07:00Z</dcterms:created>
  <dcterms:modified xsi:type="dcterms:W3CDTF">2016-07-18T06:41:00Z</dcterms:modified>
</cp:coreProperties>
</file>