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交银施罗德荣泰保本混合型证券投资基金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47C1B" w:rsidRDefault="0062135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47C1B" w:rsidRDefault="00621357">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47C1B" w:rsidRDefault="0062135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47C1B" w:rsidRDefault="00621357">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A47C1B" w:rsidRDefault="00621357">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交银荣泰保本混合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519729</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519729</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125,108,212.18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本基金在追求保本周期到期时本金安全的基础上，通过稳健资产与风险资产的动态配置和有效的组合管理，力争实现基金资产的稳定增长。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21357" w:rsidRPr="00414345" w:rsidTr="0062135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621357" w:rsidRPr="00414345" w:rsidTr="0062135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1,254,974.47</w:t>
            </w:r>
          </w:p>
        </w:tc>
      </w:tr>
      <w:tr w:rsidR="00621357" w:rsidRPr="00414345" w:rsidTr="0062135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1,288,019.13</w:t>
            </w:r>
          </w:p>
        </w:tc>
      </w:tr>
      <w:tr w:rsidR="00621357" w:rsidRPr="00414345" w:rsidTr="0062135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0.0102</w:t>
            </w:r>
          </w:p>
        </w:tc>
      </w:tr>
      <w:tr w:rsidR="00621357" w:rsidRPr="00414345" w:rsidTr="0062135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154,307,814.89</w:t>
            </w:r>
          </w:p>
        </w:tc>
      </w:tr>
      <w:tr w:rsidR="00621357" w:rsidRPr="00414345" w:rsidTr="0062135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1.233</w:t>
            </w:r>
          </w:p>
        </w:tc>
      </w:tr>
    </w:tbl>
    <w:p w:rsidR="00A47C1B" w:rsidRDefault="0062135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47C1B">
        <w:trPr>
          <w:jc w:val="center"/>
        </w:trPr>
        <w:tc>
          <w:tcPr>
            <w:tcW w:w="1701" w:type="dxa"/>
            <w:vAlign w:val="center"/>
          </w:tcPr>
          <w:p w:rsidR="00A47C1B" w:rsidRDefault="00621357">
            <w:pPr>
              <w:jc w:val="left"/>
            </w:pPr>
            <w:r>
              <w:rPr>
                <w:color w:val="000000"/>
                <w:sz w:val="24"/>
                <w:szCs w:val="24"/>
              </w:rPr>
              <w:t>过去三个月</w:t>
            </w:r>
          </w:p>
        </w:tc>
        <w:tc>
          <w:tcPr>
            <w:tcW w:w="1045" w:type="dxa"/>
            <w:vAlign w:val="center"/>
          </w:tcPr>
          <w:p w:rsidR="00A47C1B" w:rsidRDefault="00621357">
            <w:pPr>
              <w:jc w:val="center"/>
            </w:pPr>
            <w:r>
              <w:rPr>
                <w:color w:val="000000"/>
                <w:sz w:val="24"/>
                <w:szCs w:val="24"/>
              </w:rPr>
              <w:t>0.82%</w:t>
            </w:r>
          </w:p>
        </w:tc>
        <w:tc>
          <w:tcPr>
            <w:tcW w:w="1344" w:type="dxa"/>
            <w:vAlign w:val="center"/>
          </w:tcPr>
          <w:p w:rsidR="00A47C1B" w:rsidRDefault="00621357">
            <w:pPr>
              <w:jc w:val="center"/>
            </w:pPr>
            <w:r>
              <w:rPr>
                <w:color w:val="000000"/>
                <w:sz w:val="24"/>
                <w:szCs w:val="24"/>
              </w:rPr>
              <w:t>0.14%</w:t>
            </w:r>
          </w:p>
        </w:tc>
        <w:tc>
          <w:tcPr>
            <w:tcW w:w="1194" w:type="dxa"/>
            <w:vAlign w:val="center"/>
          </w:tcPr>
          <w:p w:rsidR="00A47C1B" w:rsidRDefault="00621357">
            <w:pPr>
              <w:jc w:val="center"/>
            </w:pPr>
            <w:r>
              <w:rPr>
                <w:color w:val="000000"/>
                <w:sz w:val="24"/>
                <w:szCs w:val="24"/>
              </w:rPr>
              <w:t>0.70%</w:t>
            </w:r>
          </w:p>
        </w:tc>
        <w:tc>
          <w:tcPr>
            <w:tcW w:w="1492" w:type="dxa"/>
            <w:vAlign w:val="center"/>
          </w:tcPr>
          <w:p w:rsidR="00A47C1B" w:rsidRDefault="00621357">
            <w:pPr>
              <w:jc w:val="center"/>
            </w:pPr>
            <w:r>
              <w:rPr>
                <w:color w:val="000000"/>
                <w:sz w:val="24"/>
                <w:szCs w:val="24"/>
              </w:rPr>
              <w:t>0.01%</w:t>
            </w:r>
          </w:p>
        </w:tc>
        <w:tc>
          <w:tcPr>
            <w:tcW w:w="1194" w:type="dxa"/>
            <w:vAlign w:val="center"/>
          </w:tcPr>
          <w:p w:rsidR="00A47C1B" w:rsidRDefault="00621357">
            <w:pPr>
              <w:jc w:val="center"/>
            </w:pPr>
            <w:r>
              <w:rPr>
                <w:color w:val="000000"/>
                <w:sz w:val="24"/>
                <w:szCs w:val="24"/>
              </w:rPr>
              <w:t>0.12%</w:t>
            </w:r>
          </w:p>
        </w:tc>
        <w:tc>
          <w:tcPr>
            <w:tcW w:w="898" w:type="dxa"/>
            <w:vAlign w:val="center"/>
          </w:tcPr>
          <w:p w:rsidR="00A47C1B" w:rsidRDefault="00621357">
            <w:pPr>
              <w:jc w:val="center"/>
            </w:pPr>
            <w:r>
              <w:rPr>
                <w:color w:val="000000"/>
                <w:sz w:val="24"/>
                <w:szCs w:val="24"/>
              </w:rPr>
              <w:t>0.13%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交银施罗德荣泰保本混合型证券投资基金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47C1B">
        <w:trPr>
          <w:jc w:val="center"/>
        </w:trPr>
        <w:tc>
          <w:tcPr>
            <w:tcW w:w="846" w:type="dxa"/>
            <w:vAlign w:val="center"/>
          </w:tcPr>
          <w:p w:rsidR="00A47C1B" w:rsidRDefault="00621357">
            <w:pPr>
              <w:jc w:val="center"/>
            </w:pPr>
            <w:r>
              <w:rPr>
                <w:color w:val="000000"/>
                <w:sz w:val="24"/>
                <w:szCs w:val="24"/>
              </w:rPr>
              <w:t>孙超</w:t>
            </w:r>
          </w:p>
        </w:tc>
        <w:tc>
          <w:tcPr>
            <w:tcW w:w="845" w:type="dxa"/>
            <w:vAlign w:val="center"/>
          </w:tcPr>
          <w:p w:rsidR="00A47C1B" w:rsidRDefault="00621357">
            <w:pPr>
              <w:jc w:val="center"/>
            </w:pPr>
            <w:r>
              <w:rPr>
                <w:color w:val="000000"/>
                <w:sz w:val="24"/>
                <w:szCs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549" w:type="dxa"/>
            <w:vAlign w:val="center"/>
          </w:tcPr>
          <w:p w:rsidR="00A47C1B" w:rsidRDefault="00621357">
            <w:pPr>
              <w:jc w:val="center"/>
            </w:pPr>
            <w:r>
              <w:rPr>
                <w:color w:val="000000"/>
                <w:sz w:val="24"/>
                <w:szCs w:val="24"/>
              </w:rPr>
              <w:t>2015-11-07</w:t>
            </w:r>
          </w:p>
        </w:tc>
        <w:tc>
          <w:tcPr>
            <w:tcW w:w="1548" w:type="dxa"/>
            <w:vAlign w:val="center"/>
          </w:tcPr>
          <w:p w:rsidR="00A47C1B" w:rsidRDefault="00621357">
            <w:pPr>
              <w:jc w:val="center"/>
            </w:pPr>
            <w:r>
              <w:rPr>
                <w:color w:val="000000"/>
                <w:sz w:val="24"/>
                <w:szCs w:val="24"/>
              </w:rPr>
              <w:t>-</w:t>
            </w:r>
          </w:p>
        </w:tc>
        <w:tc>
          <w:tcPr>
            <w:tcW w:w="1407" w:type="dxa"/>
            <w:vAlign w:val="center"/>
          </w:tcPr>
          <w:p w:rsidR="00A47C1B" w:rsidRDefault="00621357">
            <w:pPr>
              <w:jc w:val="center"/>
            </w:pPr>
            <w:r>
              <w:rPr>
                <w:color w:val="000000"/>
                <w:sz w:val="24"/>
                <w:szCs w:val="24"/>
              </w:rPr>
              <w:t>5</w:t>
            </w:r>
            <w:r>
              <w:rPr>
                <w:color w:val="000000"/>
                <w:sz w:val="24"/>
                <w:szCs w:val="24"/>
              </w:rPr>
              <w:t>年</w:t>
            </w:r>
          </w:p>
        </w:tc>
        <w:tc>
          <w:tcPr>
            <w:tcW w:w="2673" w:type="dxa"/>
            <w:vAlign w:val="center"/>
          </w:tcPr>
          <w:p w:rsidR="00A47C1B" w:rsidRDefault="00621357">
            <w:r>
              <w:rPr>
                <w:color w:val="000000"/>
                <w:sz w:val="24"/>
                <w:szCs w:val="24"/>
              </w:rPr>
              <w:t>孙超先生，美国哥伦比亚大学经济学硕士。历任中信建投证券股份有限公司资产管理部经理、高级经理。</w:t>
            </w:r>
            <w:r>
              <w:rPr>
                <w:color w:val="000000"/>
                <w:sz w:val="24"/>
                <w:szCs w:val="24"/>
              </w:rPr>
              <w:t>2013</w:t>
            </w:r>
            <w:r>
              <w:rPr>
                <w:color w:val="000000"/>
                <w:sz w:val="24"/>
                <w:szCs w:val="24"/>
              </w:rPr>
              <w:t>年加入交银施罗德基金管理有限公司，历任基金经理助理。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日担任交银施罗德理财</w:t>
            </w:r>
            <w:r>
              <w:rPr>
                <w:color w:val="000000"/>
                <w:sz w:val="24"/>
                <w:szCs w:val="24"/>
              </w:rPr>
              <w:t>60</w:t>
            </w:r>
            <w:r>
              <w:rPr>
                <w:color w:val="000000"/>
                <w:sz w:val="24"/>
                <w:szCs w:val="24"/>
              </w:rPr>
              <w:t>天债券型证券投资基金基金经理，</w:t>
            </w:r>
            <w:r>
              <w:rPr>
                <w:color w:val="000000"/>
                <w:sz w:val="24"/>
                <w:szCs w:val="24"/>
              </w:rPr>
              <w:t>2014</w:t>
            </w:r>
            <w:r>
              <w:rPr>
                <w:color w:val="000000"/>
                <w:sz w:val="24"/>
                <w:szCs w:val="24"/>
              </w:rPr>
              <w:t>年</w:t>
            </w:r>
            <w:r>
              <w:rPr>
                <w:color w:val="000000"/>
                <w:sz w:val="24"/>
                <w:szCs w:val="24"/>
              </w:rPr>
              <w:t>8</w:t>
            </w:r>
            <w:r>
              <w:rPr>
                <w:color w:val="000000"/>
                <w:sz w:val="24"/>
                <w:szCs w:val="24"/>
              </w:rPr>
              <w:t>月</w:t>
            </w:r>
            <w:r>
              <w:rPr>
                <w:color w:val="000000"/>
                <w:sz w:val="24"/>
                <w:szCs w:val="24"/>
              </w:rPr>
              <w:t>26</w:t>
            </w:r>
            <w:r>
              <w:rPr>
                <w:color w:val="000000"/>
                <w:sz w:val="24"/>
                <w:szCs w:val="24"/>
              </w:rPr>
              <w:t>日至</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17</w:t>
            </w:r>
            <w:r>
              <w:rPr>
                <w:color w:val="000000"/>
                <w:sz w:val="24"/>
                <w:szCs w:val="24"/>
              </w:rPr>
              <w:t>日担任交银施罗德双轮动债券型证券投资基金基金经理。</w:t>
            </w:r>
          </w:p>
        </w:tc>
      </w:tr>
      <w:tr w:rsidR="00A47C1B">
        <w:trPr>
          <w:jc w:val="center"/>
        </w:trPr>
        <w:tc>
          <w:tcPr>
            <w:tcW w:w="846" w:type="dxa"/>
            <w:vAlign w:val="center"/>
          </w:tcPr>
          <w:p w:rsidR="00A47C1B" w:rsidRDefault="00621357">
            <w:pPr>
              <w:jc w:val="center"/>
            </w:pPr>
            <w:r>
              <w:rPr>
                <w:color w:val="000000"/>
                <w:sz w:val="24"/>
                <w:szCs w:val="24"/>
              </w:rPr>
              <w:t>章妍</w:t>
            </w:r>
          </w:p>
        </w:tc>
        <w:tc>
          <w:tcPr>
            <w:tcW w:w="845" w:type="dxa"/>
            <w:vAlign w:val="center"/>
          </w:tcPr>
          <w:p w:rsidR="00A47C1B" w:rsidRPr="00E36A10" w:rsidRDefault="00B63158">
            <w:pPr>
              <w:jc w:val="center"/>
              <w:rPr>
                <w:color w:val="000000"/>
                <w:sz w:val="24"/>
                <w:szCs w:val="24"/>
              </w:rPr>
            </w:pPr>
            <w:r w:rsidRPr="00B63158">
              <w:rPr>
                <w:rFonts w:hint="eastAsia"/>
                <w:color w:val="000000"/>
                <w:sz w:val="24"/>
                <w:szCs w:val="24"/>
              </w:rPr>
              <w:t>交银荣祥保本混合、</w:t>
            </w:r>
            <w:r w:rsidR="00621357">
              <w:rPr>
                <w:color w:val="000000"/>
                <w:sz w:val="24"/>
                <w:szCs w:val="24"/>
              </w:rPr>
              <w:t>交银荣泰保本混合、交银裕通纯债债券的基金经理</w:t>
            </w:r>
          </w:p>
        </w:tc>
        <w:tc>
          <w:tcPr>
            <w:tcW w:w="1549" w:type="dxa"/>
            <w:vAlign w:val="center"/>
          </w:tcPr>
          <w:p w:rsidR="00A47C1B" w:rsidRDefault="00621357">
            <w:pPr>
              <w:jc w:val="center"/>
            </w:pPr>
            <w:r>
              <w:rPr>
                <w:color w:val="000000"/>
                <w:sz w:val="24"/>
                <w:szCs w:val="24"/>
              </w:rPr>
              <w:t>2015-11-21</w:t>
            </w:r>
          </w:p>
        </w:tc>
        <w:tc>
          <w:tcPr>
            <w:tcW w:w="1548" w:type="dxa"/>
            <w:vAlign w:val="center"/>
          </w:tcPr>
          <w:p w:rsidR="00A47C1B" w:rsidRDefault="00621357">
            <w:pPr>
              <w:jc w:val="center"/>
            </w:pPr>
            <w:r>
              <w:rPr>
                <w:color w:val="000000"/>
                <w:sz w:val="24"/>
                <w:szCs w:val="24"/>
              </w:rPr>
              <w:t>-</w:t>
            </w:r>
          </w:p>
        </w:tc>
        <w:tc>
          <w:tcPr>
            <w:tcW w:w="1407" w:type="dxa"/>
            <w:vAlign w:val="center"/>
          </w:tcPr>
          <w:p w:rsidR="00A47C1B" w:rsidRDefault="00621357">
            <w:pPr>
              <w:jc w:val="center"/>
            </w:pPr>
            <w:r>
              <w:rPr>
                <w:color w:val="000000"/>
                <w:sz w:val="24"/>
                <w:szCs w:val="24"/>
              </w:rPr>
              <w:t>1</w:t>
            </w:r>
            <w:r>
              <w:rPr>
                <w:color w:val="000000"/>
                <w:sz w:val="24"/>
                <w:szCs w:val="24"/>
              </w:rPr>
              <w:t>年</w:t>
            </w:r>
          </w:p>
        </w:tc>
        <w:tc>
          <w:tcPr>
            <w:tcW w:w="2673" w:type="dxa"/>
            <w:vAlign w:val="center"/>
          </w:tcPr>
          <w:p w:rsidR="00A47C1B" w:rsidRDefault="00621357">
            <w:r>
              <w:rPr>
                <w:color w:val="000000"/>
                <w:sz w:val="24"/>
                <w:szCs w:val="24"/>
              </w:rPr>
              <w:t>章妍女士，复旦大学金融学硕士、中央财经大学统计学学士。</w:t>
            </w:r>
            <w:r>
              <w:rPr>
                <w:color w:val="000000"/>
                <w:sz w:val="24"/>
                <w:szCs w:val="24"/>
              </w:rPr>
              <w:t>9</w:t>
            </w:r>
            <w:r>
              <w:rPr>
                <w:color w:val="000000"/>
                <w:sz w:val="24"/>
                <w:szCs w:val="24"/>
              </w:rPr>
              <w:t>年金融行业证券投资工作经验，历任太平洋资产管理有限公司高级投资经理、资深投资经理。</w:t>
            </w:r>
            <w:r>
              <w:rPr>
                <w:color w:val="000000"/>
                <w:sz w:val="24"/>
                <w:szCs w:val="24"/>
              </w:rPr>
              <w:t>2015</w:t>
            </w:r>
            <w:r>
              <w:rPr>
                <w:color w:val="000000"/>
                <w:sz w:val="24"/>
                <w:szCs w:val="24"/>
              </w:rPr>
              <w:t>年加入交银施罗德基金管理有限公司。</w:t>
            </w:r>
          </w:p>
        </w:tc>
      </w:tr>
    </w:tbl>
    <w:p w:rsidR="004061AC" w:rsidRPr="00621357"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A47C1B" w:rsidRDefault="00621357">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47C1B" w:rsidRDefault="0062135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47C1B" w:rsidRDefault="00621357">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47C1B" w:rsidRDefault="0062135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次，是由于投资组合被动超标的合规调整需要而发生同日反向交易，未发现不公平交易和利益输送的情况。本基金与本公司管理的其他投资组合在不同时间窗下（如日内、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47C1B" w:rsidRDefault="00621357">
      <w:pPr>
        <w:spacing w:before="29" w:line="288" w:lineRule="auto"/>
        <w:ind w:firstLineChars="200" w:firstLine="480"/>
        <w:rPr>
          <w:color w:val="000000"/>
          <w:sz w:val="24"/>
          <w:szCs w:val="24"/>
        </w:rPr>
      </w:pPr>
      <w:r>
        <w:rPr>
          <w:color w:val="000000"/>
          <w:sz w:val="24"/>
          <w:szCs w:val="24"/>
        </w:rPr>
        <w:t>2016</w:t>
      </w:r>
      <w:r>
        <w:rPr>
          <w:color w:val="000000"/>
          <w:sz w:val="24"/>
          <w:szCs w:val="24"/>
        </w:rPr>
        <w:t>年上半年国内经济经历了一季度由地产带动的强劲反弹后，二季度进入温和复苏加财政托底阶段。二季度受经济基本面乐观情绪及诸多不利因素影响，收益率一路震荡上行，尤其是</w:t>
      </w:r>
      <w:r>
        <w:rPr>
          <w:color w:val="000000"/>
          <w:sz w:val="24"/>
          <w:szCs w:val="24"/>
        </w:rPr>
        <w:t>4</w:t>
      </w:r>
      <w:r>
        <w:rPr>
          <w:color w:val="000000"/>
          <w:sz w:val="24"/>
          <w:szCs w:val="24"/>
        </w:rPr>
        <w:t>月份，债券市场跌势惨重。后由于权威人士讲话，对经济形势并不乐观，债券市场获得喘息机会，重回上行轨道。</w:t>
      </w:r>
      <w:r>
        <w:rPr>
          <w:color w:val="000000"/>
          <w:sz w:val="24"/>
          <w:szCs w:val="24"/>
        </w:rPr>
        <w:t>6</w:t>
      </w:r>
      <w:r>
        <w:rPr>
          <w:color w:val="000000"/>
          <w:sz w:val="24"/>
          <w:szCs w:val="24"/>
        </w:rPr>
        <w:t>月份受英国脱欧的黑天鹅事件冲击，全球避险资产大涨，国内债券也有较大涨幅。长期来看，经济基本面对债市的支撑基础仍在。股市</w:t>
      </w:r>
      <w:r>
        <w:rPr>
          <w:color w:val="000000"/>
          <w:sz w:val="24"/>
          <w:szCs w:val="24"/>
        </w:rPr>
        <w:t>2016</w:t>
      </w:r>
      <w:r>
        <w:rPr>
          <w:color w:val="000000"/>
          <w:sz w:val="24"/>
          <w:szCs w:val="24"/>
        </w:rPr>
        <w:t>年上半年则呈现猛烈下跌后不断震荡磨地的过程，</w:t>
      </w:r>
      <w:r>
        <w:rPr>
          <w:color w:val="000000"/>
          <w:sz w:val="24"/>
          <w:szCs w:val="24"/>
        </w:rPr>
        <w:t>4</w:t>
      </w:r>
      <w:r>
        <w:rPr>
          <w:color w:val="000000"/>
          <w:sz w:val="24"/>
          <w:szCs w:val="24"/>
        </w:rPr>
        <w:t>月份、</w:t>
      </w:r>
      <w:r>
        <w:rPr>
          <w:color w:val="000000"/>
          <w:sz w:val="24"/>
          <w:szCs w:val="24"/>
        </w:rPr>
        <w:t>5</w:t>
      </w:r>
      <w:r>
        <w:rPr>
          <w:color w:val="000000"/>
          <w:sz w:val="24"/>
          <w:szCs w:val="24"/>
        </w:rPr>
        <w:t>月份继</w:t>
      </w:r>
      <w:r>
        <w:rPr>
          <w:color w:val="000000"/>
          <w:sz w:val="24"/>
          <w:szCs w:val="24"/>
        </w:rPr>
        <w:t>2</w:t>
      </w:r>
      <w:r>
        <w:rPr>
          <w:color w:val="000000"/>
          <w:sz w:val="24"/>
          <w:szCs w:val="24"/>
        </w:rPr>
        <w:t>月份、</w:t>
      </w:r>
      <w:r>
        <w:rPr>
          <w:color w:val="000000"/>
          <w:sz w:val="24"/>
          <w:szCs w:val="24"/>
        </w:rPr>
        <w:t>3</w:t>
      </w:r>
      <w:r>
        <w:rPr>
          <w:color w:val="000000"/>
          <w:sz w:val="24"/>
          <w:szCs w:val="24"/>
        </w:rPr>
        <w:t>月份的超跌反弹行情后总体呈现震荡下跌格局，</w:t>
      </w:r>
      <w:r>
        <w:rPr>
          <w:color w:val="000000"/>
          <w:sz w:val="24"/>
          <w:szCs w:val="24"/>
        </w:rPr>
        <w:t>6</w:t>
      </w:r>
      <w:r>
        <w:rPr>
          <w:color w:val="000000"/>
          <w:sz w:val="24"/>
          <w:szCs w:val="24"/>
        </w:rPr>
        <w:t>月份市场经受诸多不利消息影响，基本保持平稳。展望</w:t>
      </w:r>
      <w:r>
        <w:rPr>
          <w:color w:val="000000"/>
          <w:sz w:val="24"/>
          <w:szCs w:val="24"/>
        </w:rPr>
        <w:t>2016</w:t>
      </w:r>
      <w:r>
        <w:rPr>
          <w:color w:val="000000"/>
          <w:sz w:val="24"/>
          <w:szCs w:val="24"/>
        </w:rPr>
        <w:t>年下半年，基本面、情绪和流动性层面还很难形成合力，中期趋势仍不明朗。</w:t>
      </w:r>
    </w:p>
    <w:p w:rsidR="00A47C1B" w:rsidRDefault="00621357">
      <w:pPr>
        <w:spacing w:before="29" w:line="288" w:lineRule="auto"/>
        <w:ind w:firstLineChars="200" w:firstLine="480"/>
        <w:rPr>
          <w:color w:val="000000"/>
          <w:sz w:val="24"/>
          <w:szCs w:val="24"/>
        </w:rPr>
      </w:pPr>
      <w:r>
        <w:rPr>
          <w:color w:val="000000"/>
          <w:sz w:val="24"/>
          <w:szCs w:val="24"/>
        </w:rPr>
        <w:t>本基金</w:t>
      </w:r>
      <w:r>
        <w:rPr>
          <w:color w:val="000000"/>
          <w:sz w:val="24"/>
          <w:szCs w:val="24"/>
        </w:rPr>
        <w:t>2016</w:t>
      </w:r>
      <w:r>
        <w:rPr>
          <w:color w:val="000000"/>
          <w:sz w:val="24"/>
          <w:szCs w:val="24"/>
        </w:rPr>
        <w:t>年二季度降低了组合的股票仓位，主要配置高股息有安全边际的品种，同时积极参与打新。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年三季度，市场可能会加大波动，本基金将在维持适度仓位的情况下，视市场情况，适当调整仓位。</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1.233</w:t>
      </w:r>
      <w:r w:rsidRPr="00414345">
        <w:rPr>
          <w:color w:val="000000"/>
          <w:sz w:val="24"/>
          <w:szCs w:val="24"/>
        </w:rPr>
        <w:t>元，本报告期份额净值增长率为</w:t>
      </w:r>
      <w:r w:rsidRPr="00414345">
        <w:rPr>
          <w:color w:val="000000"/>
          <w:sz w:val="24"/>
          <w:szCs w:val="24"/>
        </w:rPr>
        <w:t>0.82%</w:t>
      </w:r>
      <w:r w:rsidRPr="00414345">
        <w:rPr>
          <w:color w:val="000000"/>
          <w:sz w:val="24"/>
          <w:szCs w:val="24"/>
        </w:rPr>
        <w:t>，同期业绩比较基准增长率为</w:t>
      </w:r>
      <w:r w:rsidRPr="00414345">
        <w:rPr>
          <w:color w:val="000000"/>
          <w:sz w:val="24"/>
          <w:szCs w:val="24"/>
        </w:rPr>
        <w:t>0.70%</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00EF3996">
        <w:rPr>
          <w:b/>
          <w:color w:val="000000"/>
          <w:kern w:val="0"/>
          <w:sz w:val="24"/>
        </w:rPr>
        <w:t xml:space="preserve"> </w:t>
      </w:r>
      <w:bookmarkStart w:id="0" w:name="_GoBack"/>
      <w:bookmarkEnd w:id="0"/>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621357" w:rsidRDefault="00621357" w:rsidP="00421CD2">
      <w:pPr>
        <w:spacing w:before="29" w:line="288" w:lineRule="auto"/>
        <w:ind w:firstLineChars="200" w:firstLine="480"/>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17,751,238.54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11.42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17,751,238.54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11.42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103,160,000.00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66.39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103,160,000.00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66.39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20,000,000.00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12.87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12,677,008.48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8.16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1,788,722.16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155,376,969.18</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8,173,055.26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3,354,500.00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86,483.28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1,515,900.00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646,000.00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768,600.00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3,206,700.00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17,751,238.54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11.50</w:t>
            </w:r>
          </w:p>
        </w:tc>
      </w:tr>
    </w:tbl>
    <w:p w:rsidR="0000142B" w:rsidRDefault="0000142B"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F4764B">
        <w:rPr>
          <w:rFonts w:hint="eastAsia"/>
          <w:b/>
          <w:bCs/>
          <w:color w:val="000000"/>
          <w:kern w:val="0"/>
          <w:sz w:val="24"/>
          <w:szCs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47C1B">
        <w:trPr>
          <w:jc w:val="center"/>
        </w:trPr>
        <w:tc>
          <w:tcPr>
            <w:tcW w:w="855" w:type="dxa"/>
            <w:vAlign w:val="center"/>
          </w:tcPr>
          <w:p w:rsidR="00A47C1B" w:rsidRDefault="00621357">
            <w:pPr>
              <w:jc w:val="center"/>
            </w:pPr>
            <w:r>
              <w:rPr>
                <w:color w:val="000000"/>
                <w:sz w:val="24"/>
                <w:szCs w:val="24"/>
              </w:rPr>
              <w:t>1</w:t>
            </w:r>
          </w:p>
        </w:tc>
        <w:tc>
          <w:tcPr>
            <w:tcW w:w="1334" w:type="dxa"/>
            <w:vAlign w:val="center"/>
          </w:tcPr>
          <w:p w:rsidR="00A47C1B" w:rsidRDefault="00621357">
            <w:pPr>
              <w:jc w:val="center"/>
            </w:pPr>
            <w:r>
              <w:rPr>
                <w:color w:val="000000"/>
                <w:sz w:val="24"/>
                <w:szCs w:val="24"/>
              </w:rPr>
              <w:t>300488</w:t>
            </w:r>
          </w:p>
        </w:tc>
        <w:tc>
          <w:tcPr>
            <w:tcW w:w="1777" w:type="dxa"/>
            <w:vAlign w:val="center"/>
          </w:tcPr>
          <w:p w:rsidR="00A47C1B" w:rsidRDefault="00621357">
            <w:pPr>
              <w:jc w:val="center"/>
            </w:pPr>
            <w:r>
              <w:rPr>
                <w:color w:val="000000"/>
                <w:sz w:val="24"/>
                <w:szCs w:val="24"/>
              </w:rPr>
              <w:t>恒锋工具</w:t>
            </w:r>
          </w:p>
        </w:tc>
        <w:tc>
          <w:tcPr>
            <w:tcW w:w="1334" w:type="dxa"/>
            <w:vAlign w:val="center"/>
          </w:tcPr>
          <w:p w:rsidR="00A47C1B" w:rsidRDefault="00621357">
            <w:pPr>
              <w:jc w:val="right"/>
            </w:pPr>
            <w:r>
              <w:rPr>
                <w:color w:val="000000"/>
                <w:sz w:val="24"/>
                <w:szCs w:val="24"/>
              </w:rPr>
              <w:t>29,598</w:t>
            </w:r>
          </w:p>
        </w:tc>
        <w:tc>
          <w:tcPr>
            <w:tcW w:w="1924" w:type="dxa"/>
            <w:vAlign w:val="center"/>
          </w:tcPr>
          <w:p w:rsidR="00A47C1B" w:rsidRDefault="00621357">
            <w:pPr>
              <w:jc w:val="right"/>
            </w:pPr>
            <w:r>
              <w:rPr>
                <w:color w:val="000000"/>
                <w:sz w:val="24"/>
                <w:szCs w:val="24"/>
              </w:rPr>
              <w:t>2,134,015.80</w:t>
            </w:r>
          </w:p>
        </w:tc>
        <w:tc>
          <w:tcPr>
            <w:tcW w:w="1644" w:type="dxa"/>
            <w:vAlign w:val="center"/>
          </w:tcPr>
          <w:p w:rsidR="00A47C1B" w:rsidRDefault="00621357">
            <w:pPr>
              <w:jc w:val="right"/>
            </w:pPr>
            <w:r>
              <w:rPr>
                <w:color w:val="000000"/>
                <w:sz w:val="24"/>
                <w:szCs w:val="24"/>
              </w:rPr>
              <w:t>1.38</w:t>
            </w:r>
          </w:p>
        </w:tc>
      </w:tr>
      <w:tr w:rsidR="00A47C1B">
        <w:trPr>
          <w:jc w:val="center"/>
        </w:trPr>
        <w:tc>
          <w:tcPr>
            <w:tcW w:w="855" w:type="dxa"/>
            <w:vAlign w:val="center"/>
          </w:tcPr>
          <w:p w:rsidR="00A47C1B" w:rsidRDefault="00621357">
            <w:pPr>
              <w:jc w:val="center"/>
            </w:pPr>
            <w:r>
              <w:rPr>
                <w:color w:val="000000"/>
                <w:sz w:val="24"/>
                <w:szCs w:val="24"/>
              </w:rPr>
              <w:t>2</w:t>
            </w:r>
          </w:p>
        </w:tc>
        <w:tc>
          <w:tcPr>
            <w:tcW w:w="1334" w:type="dxa"/>
            <w:vAlign w:val="center"/>
          </w:tcPr>
          <w:p w:rsidR="00A47C1B" w:rsidRDefault="00621357">
            <w:pPr>
              <w:jc w:val="center"/>
            </w:pPr>
            <w:r>
              <w:rPr>
                <w:color w:val="000000"/>
                <w:sz w:val="24"/>
                <w:szCs w:val="24"/>
              </w:rPr>
              <w:t>600483</w:t>
            </w:r>
          </w:p>
        </w:tc>
        <w:tc>
          <w:tcPr>
            <w:tcW w:w="1777" w:type="dxa"/>
            <w:vAlign w:val="center"/>
          </w:tcPr>
          <w:p w:rsidR="00A47C1B" w:rsidRDefault="00621357">
            <w:pPr>
              <w:jc w:val="center"/>
            </w:pPr>
            <w:r>
              <w:rPr>
                <w:color w:val="000000"/>
                <w:sz w:val="24"/>
                <w:szCs w:val="24"/>
              </w:rPr>
              <w:t>福能股份</w:t>
            </w:r>
          </w:p>
        </w:tc>
        <w:tc>
          <w:tcPr>
            <w:tcW w:w="1334" w:type="dxa"/>
            <w:vAlign w:val="center"/>
          </w:tcPr>
          <w:p w:rsidR="00A47C1B" w:rsidRDefault="00621357">
            <w:pPr>
              <w:jc w:val="right"/>
            </w:pPr>
            <w:r>
              <w:rPr>
                <w:color w:val="000000"/>
                <w:sz w:val="24"/>
                <w:szCs w:val="24"/>
              </w:rPr>
              <w:t>150,000</w:t>
            </w:r>
          </w:p>
        </w:tc>
        <w:tc>
          <w:tcPr>
            <w:tcW w:w="1924" w:type="dxa"/>
            <w:vAlign w:val="center"/>
          </w:tcPr>
          <w:p w:rsidR="00A47C1B" w:rsidRDefault="00621357">
            <w:pPr>
              <w:jc w:val="right"/>
            </w:pPr>
            <w:r>
              <w:rPr>
                <w:color w:val="000000"/>
                <w:sz w:val="24"/>
                <w:szCs w:val="24"/>
              </w:rPr>
              <w:t>1,702,500.00</w:t>
            </w:r>
          </w:p>
        </w:tc>
        <w:tc>
          <w:tcPr>
            <w:tcW w:w="1644" w:type="dxa"/>
            <w:vAlign w:val="center"/>
          </w:tcPr>
          <w:p w:rsidR="00A47C1B" w:rsidRDefault="00621357">
            <w:pPr>
              <w:jc w:val="right"/>
            </w:pPr>
            <w:r>
              <w:rPr>
                <w:color w:val="000000"/>
                <w:sz w:val="24"/>
                <w:szCs w:val="24"/>
              </w:rPr>
              <w:t>1.10</w:t>
            </w:r>
          </w:p>
        </w:tc>
      </w:tr>
      <w:tr w:rsidR="00A47C1B">
        <w:trPr>
          <w:jc w:val="center"/>
        </w:trPr>
        <w:tc>
          <w:tcPr>
            <w:tcW w:w="855" w:type="dxa"/>
            <w:vAlign w:val="center"/>
          </w:tcPr>
          <w:p w:rsidR="00A47C1B" w:rsidRDefault="00621357">
            <w:pPr>
              <w:jc w:val="center"/>
            </w:pPr>
            <w:r>
              <w:rPr>
                <w:color w:val="000000"/>
                <w:sz w:val="24"/>
                <w:szCs w:val="24"/>
              </w:rPr>
              <w:t>3</w:t>
            </w:r>
          </w:p>
        </w:tc>
        <w:tc>
          <w:tcPr>
            <w:tcW w:w="1334" w:type="dxa"/>
            <w:vAlign w:val="center"/>
          </w:tcPr>
          <w:p w:rsidR="00A47C1B" w:rsidRDefault="00621357">
            <w:pPr>
              <w:jc w:val="center"/>
            </w:pPr>
            <w:r>
              <w:rPr>
                <w:color w:val="000000"/>
                <w:sz w:val="24"/>
                <w:szCs w:val="24"/>
              </w:rPr>
              <w:t>600674</w:t>
            </w:r>
          </w:p>
        </w:tc>
        <w:tc>
          <w:tcPr>
            <w:tcW w:w="1777" w:type="dxa"/>
            <w:vAlign w:val="center"/>
          </w:tcPr>
          <w:p w:rsidR="00A47C1B" w:rsidRDefault="00621357">
            <w:pPr>
              <w:jc w:val="center"/>
            </w:pPr>
            <w:r>
              <w:rPr>
                <w:color w:val="000000"/>
                <w:sz w:val="24"/>
                <w:szCs w:val="24"/>
              </w:rPr>
              <w:t>川投能源</w:t>
            </w:r>
          </w:p>
        </w:tc>
        <w:tc>
          <w:tcPr>
            <w:tcW w:w="1334" w:type="dxa"/>
            <w:vAlign w:val="center"/>
          </w:tcPr>
          <w:p w:rsidR="00A47C1B" w:rsidRDefault="00621357">
            <w:pPr>
              <w:jc w:val="right"/>
            </w:pPr>
            <w:r>
              <w:rPr>
                <w:color w:val="000000"/>
                <w:sz w:val="24"/>
                <w:szCs w:val="24"/>
              </w:rPr>
              <w:t>200,000</w:t>
            </w:r>
          </w:p>
        </w:tc>
        <w:tc>
          <w:tcPr>
            <w:tcW w:w="1924" w:type="dxa"/>
            <w:vAlign w:val="center"/>
          </w:tcPr>
          <w:p w:rsidR="00A47C1B" w:rsidRDefault="00621357">
            <w:pPr>
              <w:jc w:val="right"/>
            </w:pPr>
            <w:r>
              <w:rPr>
                <w:color w:val="000000"/>
                <w:sz w:val="24"/>
                <w:szCs w:val="24"/>
              </w:rPr>
              <w:t>1,652,000.00</w:t>
            </w:r>
          </w:p>
        </w:tc>
        <w:tc>
          <w:tcPr>
            <w:tcW w:w="1644" w:type="dxa"/>
            <w:vAlign w:val="center"/>
          </w:tcPr>
          <w:p w:rsidR="00A47C1B" w:rsidRDefault="00621357">
            <w:pPr>
              <w:jc w:val="right"/>
            </w:pPr>
            <w:r>
              <w:rPr>
                <w:color w:val="000000"/>
                <w:sz w:val="24"/>
                <w:szCs w:val="24"/>
              </w:rPr>
              <w:t>1.07</w:t>
            </w:r>
          </w:p>
        </w:tc>
      </w:tr>
      <w:tr w:rsidR="00A47C1B">
        <w:trPr>
          <w:jc w:val="center"/>
        </w:trPr>
        <w:tc>
          <w:tcPr>
            <w:tcW w:w="855" w:type="dxa"/>
            <w:vAlign w:val="center"/>
          </w:tcPr>
          <w:p w:rsidR="00A47C1B" w:rsidRDefault="00621357">
            <w:pPr>
              <w:jc w:val="center"/>
            </w:pPr>
            <w:r>
              <w:rPr>
                <w:color w:val="000000"/>
                <w:sz w:val="24"/>
                <w:szCs w:val="24"/>
              </w:rPr>
              <w:t>4</w:t>
            </w:r>
          </w:p>
        </w:tc>
        <w:tc>
          <w:tcPr>
            <w:tcW w:w="1334" w:type="dxa"/>
            <w:vAlign w:val="center"/>
          </w:tcPr>
          <w:p w:rsidR="00A47C1B" w:rsidRDefault="00621357">
            <w:pPr>
              <w:jc w:val="center"/>
            </w:pPr>
            <w:r>
              <w:rPr>
                <w:color w:val="000000"/>
                <w:sz w:val="24"/>
                <w:szCs w:val="24"/>
              </w:rPr>
              <w:t>002539</w:t>
            </w:r>
          </w:p>
        </w:tc>
        <w:tc>
          <w:tcPr>
            <w:tcW w:w="1777" w:type="dxa"/>
            <w:vAlign w:val="center"/>
          </w:tcPr>
          <w:p w:rsidR="00A47C1B" w:rsidRDefault="00621357">
            <w:pPr>
              <w:jc w:val="center"/>
            </w:pPr>
            <w:r>
              <w:rPr>
                <w:color w:val="000000"/>
                <w:sz w:val="24"/>
                <w:szCs w:val="24"/>
              </w:rPr>
              <w:t>新都化工</w:t>
            </w:r>
          </w:p>
        </w:tc>
        <w:tc>
          <w:tcPr>
            <w:tcW w:w="1334" w:type="dxa"/>
            <w:vAlign w:val="center"/>
          </w:tcPr>
          <w:p w:rsidR="00A47C1B" w:rsidRDefault="00621357">
            <w:pPr>
              <w:jc w:val="right"/>
            </w:pPr>
            <w:r>
              <w:rPr>
                <w:color w:val="000000"/>
                <w:sz w:val="24"/>
                <w:szCs w:val="24"/>
              </w:rPr>
              <w:t>100,000</w:t>
            </w:r>
          </w:p>
        </w:tc>
        <w:tc>
          <w:tcPr>
            <w:tcW w:w="1924" w:type="dxa"/>
            <w:vAlign w:val="center"/>
          </w:tcPr>
          <w:p w:rsidR="00A47C1B" w:rsidRDefault="00621357">
            <w:pPr>
              <w:jc w:val="right"/>
            </w:pPr>
            <w:r>
              <w:rPr>
                <w:color w:val="000000"/>
                <w:sz w:val="24"/>
                <w:szCs w:val="24"/>
              </w:rPr>
              <w:t>1,529,000.00</w:t>
            </w:r>
          </w:p>
        </w:tc>
        <w:tc>
          <w:tcPr>
            <w:tcW w:w="1644" w:type="dxa"/>
            <w:vAlign w:val="center"/>
          </w:tcPr>
          <w:p w:rsidR="00A47C1B" w:rsidRDefault="00621357">
            <w:pPr>
              <w:jc w:val="right"/>
            </w:pPr>
            <w:r>
              <w:rPr>
                <w:color w:val="000000"/>
                <w:sz w:val="24"/>
                <w:szCs w:val="24"/>
              </w:rPr>
              <w:t>0.99</w:t>
            </w:r>
          </w:p>
        </w:tc>
      </w:tr>
      <w:tr w:rsidR="00A47C1B">
        <w:trPr>
          <w:jc w:val="center"/>
        </w:trPr>
        <w:tc>
          <w:tcPr>
            <w:tcW w:w="855" w:type="dxa"/>
            <w:vAlign w:val="center"/>
          </w:tcPr>
          <w:p w:rsidR="00A47C1B" w:rsidRDefault="00621357">
            <w:pPr>
              <w:jc w:val="center"/>
            </w:pPr>
            <w:r>
              <w:rPr>
                <w:color w:val="000000"/>
                <w:sz w:val="24"/>
                <w:szCs w:val="24"/>
              </w:rPr>
              <w:t>5</w:t>
            </w:r>
          </w:p>
        </w:tc>
        <w:tc>
          <w:tcPr>
            <w:tcW w:w="1334" w:type="dxa"/>
            <w:vAlign w:val="center"/>
          </w:tcPr>
          <w:p w:rsidR="00A47C1B" w:rsidRDefault="00621357">
            <w:pPr>
              <w:jc w:val="center"/>
            </w:pPr>
            <w:r>
              <w:rPr>
                <w:color w:val="000000"/>
                <w:sz w:val="24"/>
                <w:szCs w:val="24"/>
              </w:rPr>
              <w:t>300144</w:t>
            </w:r>
          </w:p>
        </w:tc>
        <w:tc>
          <w:tcPr>
            <w:tcW w:w="1777" w:type="dxa"/>
            <w:vAlign w:val="center"/>
          </w:tcPr>
          <w:p w:rsidR="00A47C1B" w:rsidRDefault="00621357">
            <w:pPr>
              <w:jc w:val="center"/>
            </w:pPr>
            <w:r>
              <w:rPr>
                <w:color w:val="000000"/>
                <w:sz w:val="24"/>
                <w:szCs w:val="24"/>
              </w:rPr>
              <w:t>宋城演艺</w:t>
            </w:r>
          </w:p>
        </w:tc>
        <w:tc>
          <w:tcPr>
            <w:tcW w:w="1334" w:type="dxa"/>
            <w:vAlign w:val="center"/>
          </w:tcPr>
          <w:p w:rsidR="00A47C1B" w:rsidRDefault="00621357">
            <w:pPr>
              <w:jc w:val="right"/>
            </w:pPr>
            <w:r>
              <w:rPr>
                <w:color w:val="000000"/>
                <w:sz w:val="24"/>
                <w:szCs w:val="24"/>
              </w:rPr>
              <w:t>60,000</w:t>
            </w:r>
          </w:p>
        </w:tc>
        <w:tc>
          <w:tcPr>
            <w:tcW w:w="1924" w:type="dxa"/>
            <w:vAlign w:val="center"/>
          </w:tcPr>
          <w:p w:rsidR="00A47C1B" w:rsidRDefault="00621357">
            <w:pPr>
              <w:jc w:val="right"/>
            </w:pPr>
            <w:r>
              <w:rPr>
                <w:color w:val="000000"/>
                <w:sz w:val="24"/>
                <w:szCs w:val="24"/>
              </w:rPr>
              <w:t>1,494,600.00</w:t>
            </w:r>
          </w:p>
        </w:tc>
        <w:tc>
          <w:tcPr>
            <w:tcW w:w="1644" w:type="dxa"/>
            <w:vAlign w:val="center"/>
          </w:tcPr>
          <w:p w:rsidR="00A47C1B" w:rsidRDefault="00621357">
            <w:pPr>
              <w:jc w:val="right"/>
            </w:pPr>
            <w:r>
              <w:rPr>
                <w:color w:val="000000"/>
                <w:sz w:val="24"/>
                <w:szCs w:val="24"/>
              </w:rPr>
              <w:t>0.97</w:t>
            </w:r>
          </w:p>
        </w:tc>
      </w:tr>
      <w:tr w:rsidR="00A47C1B">
        <w:trPr>
          <w:jc w:val="center"/>
        </w:trPr>
        <w:tc>
          <w:tcPr>
            <w:tcW w:w="855" w:type="dxa"/>
            <w:vAlign w:val="center"/>
          </w:tcPr>
          <w:p w:rsidR="00A47C1B" w:rsidRDefault="00621357">
            <w:pPr>
              <w:jc w:val="center"/>
            </w:pPr>
            <w:r>
              <w:rPr>
                <w:color w:val="000000"/>
                <w:sz w:val="24"/>
                <w:szCs w:val="24"/>
              </w:rPr>
              <w:t>6</w:t>
            </w:r>
          </w:p>
        </w:tc>
        <w:tc>
          <w:tcPr>
            <w:tcW w:w="1334" w:type="dxa"/>
            <w:vAlign w:val="center"/>
          </w:tcPr>
          <w:p w:rsidR="00A47C1B" w:rsidRDefault="00621357">
            <w:pPr>
              <w:jc w:val="center"/>
            </w:pPr>
            <w:r>
              <w:rPr>
                <w:color w:val="000000"/>
                <w:sz w:val="24"/>
                <w:szCs w:val="24"/>
              </w:rPr>
              <w:t>600104</w:t>
            </w:r>
          </w:p>
        </w:tc>
        <w:tc>
          <w:tcPr>
            <w:tcW w:w="1777" w:type="dxa"/>
            <w:vAlign w:val="center"/>
          </w:tcPr>
          <w:p w:rsidR="00A47C1B" w:rsidRDefault="00621357">
            <w:pPr>
              <w:jc w:val="center"/>
            </w:pPr>
            <w:r>
              <w:rPr>
                <w:color w:val="000000"/>
                <w:sz w:val="24"/>
                <w:szCs w:val="24"/>
              </w:rPr>
              <w:t>上汽集团</w:t>
            </w:r>
          </w:p>
        </w:tc>
        <w:tc>
          <w:tcPr>
            <w:tcW w:w="1334" w:type="dxa"/>
            <w:vAlign w:val="center"/>
          </w:tcPr>
          <w:p w:rsidR="00A47C1B" w:rsidRDefault="00621357">
            <w:pPr>
              <w:jc w:val="right"/>
            </w:pPr>
            <w:r>
              <w:rPr>
                <w:color w:val="000000"/>
                <w:sz w:val="24"/>
                <w:szCs w:val="24"/>
              </w:rPr>
              <w:t>69,984</w:t>
            </w:r>
          </w:p>
        </w:tc>
        <w:tc>
          <w:tcPr>
            <w:tcW w:w="1924" w:type="dxa"/>
            <w:vAlign w:val="center"/>
          </w:tcPr>
          <w:p w:rsidR="00A47C1B" w:rsidRDefault="00621357">
            <w:pPr>
              <w:jc w:val="right"/>
            </w:pPr>
            <w:r>
              <w:rPr>
                <w:color w:val="000000"/>
                <w:sz w:val="24"/>
                <w:szCs w:val="24"/>
              </w:rPr>
              <w:t>1,419,975.36</w:t>
            </w:r>
          </w:p>
        </w:tc>
        <w:tc>
          <w:tcPr>
            <w:tcW w:w="1644" w:type="dxa"/>
            <w:vAlign w:val="center"/>
          </w:tcPr>
          <w:p w:rsidR="00A47C1B" w:rsidRDefault="00621357">
            <w:pPr>
              <w:jc w:val="right"/>
            </w:pPr>
            <w:r>
              <w:rPr>
                <w:color w:val="000000"/>
                <w:sz w:val="24"/>
                <w:szCs w:val="24"/>
              </w:rPr>
              <w:t>0.92</w:t>
            </w:r>
          </w:p>
        </w:tc>
      </w:tr>
      <w:tr w:rsidR="00A47C1B">
        <w:trPr>
          <w:jc w:val="center"/>
        </w:trPr>
        <w:tc>
          <w:tcPr>
            <w:tcW w:w="855" w:type="dxa"/>
            <w:vAlign w:val="center"/>
          </w:tcPr>
          <w:p w:rsidR="00A47C1B" w:rsidRDefault="00621357">
            <w:pPr>
              <w:jc w:val="center"/>
            </w:pPr>
            <w:r>
              <w:rPr>
                <w:color w:val="000000"/>
                <w:sz w:val="24"/>
                <w:szCs w:val="24"/>
              </w:rPr>
              <w:t>7</w:t>
            </w:r>
          </w:p>
        </w:tc>
        <w:tc>
          <w:tcPr>
            <w:tcW w:w="1334" w:type="dxa"/>
            <w:vAlign w:val="center"/>
          </w:tcPr>
          <w:p w:rsidR="00A47C1B" w:rsidRDefault="00621357">
            <w:pPr>
              <w:jc w:val="center"/>
            </w:pPr>
            <w:r>
              <w:rPr>
                <w:color w:val="000000"/>
                <w:sz w:val="24"/>
                <w:szCs w:val="24"/>
              </w:rPr>
              <w:t>601801</w:t>
            </w:r>
          </w:p>
        </w:tc>
        <w:tc>
          <w:tcPr>
            <w:tcW w:w="1777" w:type="dxa"/>
            <w:vAlign w:val="center"/>
          </w:tcPr>
          <w:p w:rsidR="00A47C1B" w:rsidRDefault="00621357">
            <w:pPr>
              <w:jc w:val="center"/>
            </w:pPr>
            <w:r>
              <w:rPr>
                <w:color w:val="000000"/>
                <w:sz w:val="24"/>
                <w:szCs w:val="24"/>
              </w:rPr>
              <w:t>皖新传媒</w:t>
            </w:r>
          </w:p>
        </w:tc>
        <w:tc>
          <w:tcPr>
            <w:tcW w:w="1334" w:type="dxa"/>
            <w:vAlign w:val="center"/>
          </w:tcPr>
          <w:p w:rsidR="00A47C1B" w:rsidRDefault="00621357">
            <w:pPr>
              <w:jc w:val="right"/>
            </w:pPr>
            <w:r>
              <w:rPr>
                <w:color w:val="000000"/>
                <w:sz w:val="24"/>
                <w:szCs w:val="24"/>
              </w:rPr>
              <w:t>80,000</w:t>
            </w:r>
          </w:p>
        </w:tc>
        <w:tc>
          <w:tcPr>
            <w:tcW w:w="1924" w:type="dxa"/>
            <w:vAlign w:val="center"/>
          </w:tcPr>
          <w:p w:rsidR="00A47C1B" w:rsidRDefault="00621357">
            <w:pPr>
              <w:jc w:val="right"/>
            </w:pPr>
            <w:r>
              <w:rPr>
                <w:color w:val="000000"/>
                <w:sz w:val="24"/>
                <w:szCs w:val="24"/>
              </w:rPr>
              <w:t>933,600.00</w:t>
            </w:r>
          </w:p>
        </w:tc>
        <w:tc>
          <w:tcPr>
            <w:tcW w:w="1644" w:type="dxa"/>
            <w:vAlign w:val="center"/>
          </w:tcPr>
          <w:p w:rsidR="00A47C1B" w:rsidRDefault="00621357">
            <w:pPr>
              <w:jc w:val="right"/>
            </w:pPr>
            <w:r>
              <w:rPr>
                <w:color w:val="000000"/>
                <w:sz w:val="24"/>
                <w:szCs w:val="24"/>
              </w:rPr>
              <w:t>0.61</w:t>
            </w:r>
          </w:p>
        </w:tc>
      </w:tr>
      <w:tr w:rsidR="00A47C1B">
        <w:trPr>
          <w:jc w:val="center"/>
        </w:trPr>
        <w:tc>
          <w:tcPr>
            <w:tcW w:w="855" w:type="dxa"/>
            <w:vAlign w:val="center"/>
          </w:tcPr>
          <w:p w:rsidR="00A47C1B" w:rsidRDefault="00621357">
            <w:pPr>
              <w:jc w:val="center"/>
            </w:pPr>
            <w:r>
              <w:rPr>
                <w:color w:val="000000"/>
                <w:sz w:val="24"/>
                <w:szCs w:val="24"/>
              </w:rPr>
              <w:t>8</w:t>
            </w:r>
          </w:p>
        </w:tc>
        <w:tc>
          <w:tcPr>
            <w:tcW w:w="1334" w:type="dxa"/>
            <w:vAlign w:val="center"/>
          </w:tcPr>
          <w:p w:rsidR="00A47C1B" w:rsidRDefault="00621357">
            <w:pPr>
              <w:jc w:val="center"/>
            </w:pPr>
            <w:r>
              <w:rPr>
                <w:color w:val="000000"/>
                <w:sz w:val="24"/>
                <w:szCs w:val="24"/>
              </w:rPr>
              <w:t>600967</w:t>
            </w:r>
          </w:p>
        </w:tc>
        <w:tc>
          <w:tcPr>
            <w:tcW w:w="1777" w:type="dxa"/>
            <w:vAlign w:val="center"/>
          </w:tcPr>
          <w:p w:rsidR="00A47C1B" w:rsidRDefault="00621357">
            <w:pPr>
              <w:jc w:val="center"/>
            </w:pPr>
            <w:r>
              <w:rPr>
                <w:color w:val="000000"/>
                <w:sz w:val="24"/>
                <w:szCs w:val="24"/>
              </w:rPr>
              <w:t>北方创业</w:t>
            </w:r>
          </w:p>
        </w:tc>
        <w:tc>
          <w:tcPr>
            <w:tcW w:w="1334" w:type="dxa"/>
            <w:vAlign w:val="center"/>
          </w:tcPr>
          <w:p w:rsidR="00A47C1B" w:rsidRDefault="00621357">
            <w:pPr>
              <w:jc w:val="right"/>
            </w:pPr>
            <w:r>
              <w:rPr>
                <w:color w:val="000000"/>
                <w:sz w:val="24"/>
                <w:szCs w:val="24"/>
              </w:rPr>
              <w:t>80,000</w:t>
            </w:r>
          </w:p>
        </w:tc>
        <w:tc>
          <w:tcPr>
            <w:tcW w:w="1924" w:type="dxa"/>
            <w:vAlign w:val="center"/>
          </w:tcPr>
          <w:p w:rsidR="00A47C1B" w:rsidRDefault="00621357">
            <w:pPr>
              <w:jc w:val="right"/>
            </w:pPr>
            <w:r>
              <w:rPr>
                <w:color w:val="000000"/>
                <w:sz w:val="24"/>
                <w:szCs w:val="24"/>
              </w:rPr>
              <w:t>850,400.00</w:t>
            </w:r>
          </w:p>
        </w:tc>
        <w:tc>
          <w:tcPr>
            <w:tcW w:w="1644" w:type="dxa"/>
            <w:vAlign w:val="center"/>
          </w:tcPr>
          <w:p w:rsidR="00A47C1B" w:rsidRDefault="00621357">
            <w:pPr>
              <w:jc w:val="right"/>
            </w:pPr>
            <w:r>
              <w:rPr>
                <w:color w:val="000000"/>
                <w:sz w:val="24"/>
                <w:szCs w:val="24"/>
              </w:rPr>
              <w:t>0.55</w:t>
            </w:r>
          </w:p>
        </w:tc>
      </w:tr>
      <w:tr w:rsidR="00A47C1B">
        <w:trPr>
          <w:jc w:val="center"/>
        </w:trPr>
        <w:tc>
          <w:tcPr>
            <w:tcW w:w="855" w:type="dxa"/>
            <w:vAlign w:val="center"/>
          </w:tcPr>
          <w:p w:rsidR="00A47C1B" w:rsidRDefault="00621357">
            <w:pPr>
              <w:jc w:val="center"/>
            </w:pPr>
            <w:r>
              <w:rPr>
                <w:color w:val="000000"/>
                <w:sz w:val="24"/>
                <w:szCs w:val="24"/>
              </w:rPr>
              <w:t>9</w:t>
            </w:r>
          </w:p>
        </w:tc>
        <w:tc>
          <w:tcPr>
            <w:tcW w:w="1334" w:type="dxa"/>
            <w:vAlign w:val="center"/>
          </w:tcPr>
          <w:p w:rsidR="00A47C1B" w:rsidRDefault="00621357">
            <w:pPr>
              <w:jc w:val="center"/>
            </w:pPr>
            <w:r>
              <w:rPr>
                <w:color w:val="000000"/>
                <w:sz w:val="24"/>
                <w:szCs w:val="24"/>
              </w:rPr>
              <w:t>600816</w:t>
            </w:r>
          </w:p>
        </w:tc>
        <w:tc>
          <w:tcPr>
            <w:tcW w:w="1777" w:type="dxa"/>
            <w:vAlign w:val="center"/>
          </w:tcPr>
          <w:p w:rsidR="00A47C1B" w:rsidRDefault="00621357">
            <w:pPr>
              <w:jc w:val="center"/>
            </w:pPr>
            <w:r>
              <w:rPr>
                <w:color w:val="000000"/>
                <w:sz w:val="24"/>
                <w:szCs w:val="24"/>
              </w:rPr>
              <w:t>安信信托</w:t>
            </w:r>
          </w:p>
        </w:tc>
        <w:tc>
          <w:tcPr>
            <w:tcW w:w="1334" w:type="dxa"/>
            <w:vAlign w:val="center"/>
          </w:tcPr>
          <w:p w:rsidR="00A47C1B" w:rsidRDefault="00621357">
            <w:pPr>
              <w:jc w:val="right"/>
            </w:pPr>
            <w:r>
              <w:rPr>
                <w:color w:val="000000"/>
                <w:sz w:val="24"/>
                <w:szCs w:val="24"/>
              </w:rPr>
              <w:t>50,000</w:t>
            </w:r>
          </w:p>
        </w:tc>
        <w:tc>
          <w:tcPr>
            <w:tcW w:w="1924" w:type="dxa"/>
            <w:vAlign w:val="center"/>
          </w:tcPr>
          <w:p w:rsidR="00A47C1B" w:rsidRDefault="00621357">
            <w:pPr>
              <w:jc w:val="right"/>
            </w:pPr>
            <w:r>
              <w:rPr>
                <w:color w:val="000000"/>
                <w:sz w:val="24"/>
                <w:szCs w:val="24"/>
              </w:rPr>
              <w:t>843,500.00</w:t>
            </w:r>
          </w:p>
        </w:tc>
        <w:tc>
          <w:tcPr>
            <w:tcW w:w="1644" w:type="dxa"/>
            <w:vAlign w:val="center"/>
          </w:tcPr>
          <w:p w:rsidR="00A47C1B" w:rsidRDefault="00621357">
            <w:pPr>
              <w:jc w:val="right"/>
            </w:pPr>
            <w:r>
              <w:rPr>
                <w:color w:val="000000"/>
                <w:sz w:val="24"/>
                <w:szCs w:val="24"/>
              </w:rPr>
              <w:t>0.55</w:t>
            </w:r>
          </w:p>
        </w:tc>
      </w:tr>
      <w:tr w:rsidR="00A47C1B">
        <w:trPr>
          <w:jc w:val="center"/>
        </w:trPr>
        <w:tc>
          <w:tcPr>
            <w:tcW w:w="855" w:type="dxa"/>
            <w:vAlign w:val="center"/>
          </w:tcPr>
          <w:p w:rsidR="00A47C1B" w:rsidRDefault="00621357">
            <w:pPr>
              <w:jc w:val="center"/>
            </w:pPr>
            <w:r>
              <w:rPr>
                <w:color w:val="000000"/>
                <w:sz w:val="24"/>
                <w:szCs w:val="24"/>
              </w:rPr>
              <w:t>10</w:t>
            </w:r>
          </w:p>
        </w:tc>
        <w:tc>
          <w:tcPr>
            <w:tcW w:w="1334" w:type="dxa"/>
            <w:vAlign w:val="center"/>
          </w:tcPr>
          <w:p w:rsidR="00A47C1B" w:rsidRDefault="00621357">
            <w:pPr>
              <w:jc w:val="center"/>
            </w:pPr>
            <w:r>
              <w:rPr>
                <w:color w:val="000000"/>
                <w:sz w:val="24"/>
                <w:szCs w:val="24"/>
              </w:rPr>
              <w:t>300133</w:t>
            </w:r>
          </w:p>
        </w:tc>
        <w:tc>
          <w:tcPr>
            <w:tcW w:w="1777" w:type="dxa"/>
            <w:vAlign w:val="center"/>
          </w:tcPr>
          <w:p w:rsidR="00A47C1B" w:rsidRDefault="00621357">
            <w:pPr>
              <w:jc w:val="center"/>
            </w:pPr>
            <w:r>
              <w:rPr>
                <w:color w:val="000000"/>
                <w:sz w:val="24"/>
                <w:szCs w:val="24"/>
              </w:rPr>
              <w:t>华策影视</w:t>
            </w:r>
          </w:p>
        </w:tc>
        <w:tc>
          <w:tcPr>
            <w:tcW w:w="1334" w:type="dxa"/>
            <w:vAlign w:val="center"/>
          </w:tcPr>
          <w:p w:rsidR="00A47C1B" w:rsidRDefault="00621357">
            <w:pPr>
              <w:jc w:val="right"/>
            </w:pPr>
            <w:r>
              <w:rPr>
                <w:color w:val="000000"/>
                <w:sz w:val="24"/>
                <w:szCs w:val="24"/>
              </w:rPr>
              <w:t>50,000</w:t>
            </w:r>
          </w:p>
        </w:tc>
        <w:tc>
          <w:tcPr>
            <w:tcW w:w="1924" w:type="dxa"/>
            <w:vAlign w:val="center"/>
          </w:tcPr>
          <w:p w:rsidR="00A47C1B" w:rsidRDefault="00621357">
            <w:pPr>
              <w:jc w:val="right"/>
            </w:pPr>
            <w:r>
              <w:rPr>
                <w:color w:val="000000"/>
                <w:sz w:val="24"/>
                <w:szCs w:val="24"/>
              </w:rPr>
              <w:t>778,500.00</w:t>
            </w:r>
          </w:p>
        </w:tc>
        <w:tc>
          <w:tcPr>
            <w:tcW w:w="1644" w:type="dxa"/>
            <w:vAlign w:val="center"/>
          </w:tcPr>
          <w:p w:rsidR="00A47C1B" w:rsidRDefault="00621357">
            <w:pPr>
              <w:jc w:val="right"/>
            </w:pPr>
            <w:r>
              <w:rPr>
                <w:color w:val="000000"/>
                <w:sz w:val="24"/>
                <w:szCs w:val="24"/>
              </w:rPr>
              <w:t>0.50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101,810,000.00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65.98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101,810,000.00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65.98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1,350,000.00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0.87</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103,160,000.00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66.85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47C1B">
        <w:trPr>
          <w:jc w:val="center"/>
        </w:trPr>
        <w:tc>
          <w:tcPr>
            <w:tcW w:w="850" w:type="dxa"/>
            <w:vAlign w:val="center"/>
          </w:tcPr>
          <w:p w:rsidR="00A47C1B" w:rsidRDefault="00621357">
            <w:pPr>
              <w:jc w:val="center"/>
            </w:pPr>
            <w:r>
              <w:rPr>
                <w:color w:val="000000"/>
                <w:sz w:val="24"/>
                <w:szCs w:val="24"/>
              </w:rPr>
              <w:t>1</w:t>
            </w:r>
          </w:p>
        </w:tc>
        <w:tc>
          <w:tcPr>
            <w:tcW w:w="1475" w:type="dxa"/>
            <w:vAlign w:val="center"/>
          </w:tcPr>
          <w:p w:rsidR="00A47C1B" w:rsidRDefault="00621357">
            <w:pPr>
              <w:jc w:val="center"/>
            </w:pPr>
            <w:r>
              <w:rPr>
                <w:color w:val="000000"/>
                <w:sz w:val="24"/>
                <w:szCs w:val="24"/>
              </w:rPr>
              <w:t>140424</w:t>
            </w:r>
          </w:p>
        </w:tc>
        <w:tc>
          <w:tcPr>
            <w:tcW w:w="1769" w:type="dxa"/>
            <w:vAlign w:val="center"/>
          </w:tcPr>
          <w:p w:rsidR="00A47C1B" w:rsidRDefault="00621357">
            <w:pPr>
              <w:jc w:val="center"/>
            </w:pPr>
            <w:r>
              <w:rPr>
                <w:color w:val="000000"/>
                <w:sz w:val="24"/>
                <w:szCs w:val="24"/>
              </w:rPr>
              <w:t>14</w:t>
            </w:r>
            <w:r>
              <w:rPr>
                <w:color w:val="000000"/>
                <w:sz w:val="24"/>
                <w:szCs w:val="24"/>
              </w:rPr>
              <w:t>农发</w:t>
            </w:r>
            <w:r>
              <w:rPr>
                <w:color w:val="000000"/>
                <w:sz w:val="24"/>
                <w:szCs w:val="24"/>
              </w:rPr>
              <w:t>24</w:t>
            </w:r>
          </w:p>
        </w:tc>
        <w:tc>
          <w:tcPr>
            <w:tcW w:w="1387" w:type="dxa"/>
            <w:vAlign w:val="center"/>
          </w:tcPr>
          <w:p w:rsidR="00A47C1B" w:rsidRDefault="00621357">
            <w:pPr>
              <w:jc w:val="right"/>
            </w:pPr>
            <w:r>
              <w:rPr>
                <w:color w:val="000000"/>
                <w:sz w:val="24"/>
                <w:szCs w:val="24"/>
              </w:rPr>
              <w:t>500,000</w:t>
            </w:r>
          </w:p>
        </w:tc>
        <w:tc>
          <w:tcPr>
            <w:tcW w:w="2150" w:type="dxa"/>
            <w:vAlign w:val="center"/>
          </w:tcPr>
          <w:p w:rsidR="00A47C1B" w:rsidRDefault="00621357">
            <w:pPr>
              <w:jc w:val="right"/>
            </w:pPr>
            <w:r>
              <w:rPr>
                <w:color w:val="000000"/>
                <w:sz w:val="24"/>
                <w:szCs w:val="24"/>
              </w:rPr>
              <w:t>50,955,000.00</w:t>
            </w:r>
          </w:p>
        </w:tc>
        <w:tc>
          <w:tcPr>
            <w:tcW w:w="1237" w:type="dxa"/>
            <w:vAlign w:val="center"/>
          </w:tcPr>
          <w:p w:rsidR="00A47C1B" w:rsidRDefault="00621357">
            <w:pPr>
              <w:jc w:val="right"/>
            </w:pPr>
            <w:r>
              <w:rPr>
                <w:color w:val="000000"/>
                <w:sz w:val="24"/>
                <w:szCs w:val="24"/>
              </w:rPr>
              <w:t>33.02</w:t>
            </w:r>
          </w:p>
        </w:tc>
      </w:tr>
      <w:tr w:rsidR="00A47C1B">
        <w:trPr>
          <w:jc w:val="center"/>
        </w:trPr>
        <w:tc>
          <w:tcPr>
            <w:tcW w:w="850" w:type="dxa"/>
            <w:vAlign w:val="center"/>
          </w:tcPr>
          <w:p w:rsidR="00A47C1B" w:rsidRDefault="00621357">
            <w:pPr>
              <w:jc w:val="center"/>
            </w:pPr>
            <w:r>
              <w:rPr>
                <w:color w:val="000000"/>
                <w:sz w:val="24"/>
                <w:szCs w:val="24"/>
              </w:rPr>
              <w:t>2</w:t>
            </w:r>
          </w:p>
        </w:tc>
        <w:tc>
          <w:tcPr>
            <w:tcW w:w="1475" w:type="dxa"/>
            <w:vAlign w:val="center"/>
          </w:tcPr>
          <w:p w:rsidR="00A47C1B" w:rsidRDefault="00621357">
            <w:pPr>
              <w:jc w:val="center"/>
            </w:pPr>
            <w:r>
              <w:rPr>
                <w:color w:val="000000"/>
                <w:sz w:val="24"/>
                <w:szCs w:val="24"/>
              </w:rPr>
              <w:t>140407</w:t>
            </w:r>
          </w:p>
        </w:tc>
        <w:tc>
          <w:tcPr>
            <w:tcW w:w="1769" w:type="dxa"/>
            <w:vAlign w:val="center"/>
          </w:tcPr>
          <w:p w:rsidR="00A47C1B" w:rsidRDefault="00621357">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rsidR="00A47C1B" w:rsidRDefault="00621357">
            <w:pPr>
              <w:jc w:val="right"/>
            </w:pPr>
            <w:r>
              <w:rPr>
                <w:color w:val="000000"/>
                <w:sz w:val="24"/>
                <w:szCs w:val="24"/>
              </w:rPr>
              <w:t>500,000</w:t>
            </w:r>
          </w:p>
        </w:tc>
        <w:tc>
          <w:tcPr>
            <w:tcW w:w="2150" w:type="dxa"/>
            <w:vAlign w:val="center"/>
          </w:tcPr>
          <w:p w:rsidR="00A47C1B" w:rsidRDefault="00621357">
            <w:pPr>
              <w:jc w:val="right"/>
            </w:pPr>
            <w:r>
              <w:rPr>
                <w:color w:val="000000"/>
                <w:sz w:val="24"/>
                <w:szCs w:val="24"/>
              </w:rPr>
              <w:t>50,855,000.00</w:t>
            </w:r>
          </w:p>
        </w:tc>
        <w:tc>
          <w:tcPr>
            <w:tcW w:w="1237" w:type="dxa"/>
            <w:vAlign w:val="center"/>
          </w:tcPr>
          <w:p w:rsidR="00A47C1B" w:rsidRDefault="00621357">
            <w:pPr>
              <w:jc w:val="right"/>
            </w:pPr>
            <w:r>
              <w:rPr>
                <w:color w:val="000000"/>
                <w:sz w:val="24"/>
                <w:szCs w:val="24"/>
              </w:rPr>
              <w:t>32.96</w:t>
            </w:r>
          </w:p>
        </w:tc>
      </w:tr>
      <w:tr w:rsidR="00A47C1B">
        <w:trPr>
          <w:jc w:val="center"/>
        </w:trPr>
        <w:tc>
          <w:tcPr>
            <w:tcW w:w="850" w:type="dxa"/>
            <w:vAlign w:val="center"/>
          </w:tcPr>
          <w:p w:rsidR="00A47C1B" w:rsidRDefault="00621357">
            <w:pPr>
              <w:jc w:val="center"/>
            </w:pPr>
            <w:r>
              <w:rPr>
                <w:color w:val="000000"/>
                <w:sz w:val="24"/>
                <w:szCs w:val="24"/>
              </w:rPr>
              <w:t>3</w:t>
            </w:r>
          </w:p>
        </w:tc>
        <w:tc>
          <w:tcPr>
            <w:tcW w:w="1475" w:type="dxa"/>
            <w:vAlign w:val="center"/>
          </w:tcPr>
          <w:p w:rsidR="00A47C1B" w:rsidRDefault="00621357">
            <w:pPr>
              <w:jc w:val="center"/>
            </w:pPr>
            <w:r>
              <w:rPr>
                <w:color w:val="000000"/>
                <w:sz w:val="24"/>
                <w:szCs w:val="24"/>
              </w:rPr>
              <w:t>132006</w:t>
            </w:r>
          </w:p>
        </w:tc>
        <w:tc>
          <w:tcPr>
            <w:tcW w:w="1769" w:type="dxa"/>
            <w:vAlign w:val="center"/>
          </w:tcPr>
          <w:p w:rsidR="00A47C1B" w:rsidRDefault="00621357">
            <w:pPr>
              <w:jc w:val="center"/>
            </w:pPr>
            <w:r>
              <w:rPr>
                <w:color w:val="000000"/>
                <w:sz w:val="24"/>
                <w:szCs w:val="24"/>
              </w:rPr>
              <w:t>16</w:t>
            </w:r>
            <w:r>
              <w:rPr>
                <w:color w:val="000000"/>
                <w:sz w:val="24"/>
                <w:szCs w:val="24"/>
              </w:rPr>
              <w:t>皖新</w:t>
            </w:r>
            <w:r>
              <w:rPr>
                <w:color w:val="000000"/>
                <w:sz w:val="24"/>
                <w:szCs w:val="24"/>
              </w:rPr>
              <w:t>EB</w:t>
            </w:r>
          </w:p>
        </w:tc>
        <w:tc>
          <w:tcPr>
            <w:tcW w:w="1387" w:type="dxa"/>
            <w:vAlign w:val="center"/>
          </w:tcPr>
          <w:p w:rsidR="00A47C1B" w:rsidRDefault="00621357">
            <w:pPr>
              <w:jc w:val="right"/>
            </w:pPr>
            <w:r>
              <w:rPr>
                <w:color w:val="000000"/>
                <w:sz w:val="24"/>
                <w:szCs w:val="24"/>
              </w:rPr>
              <w:t>13,500</w:t>
            </w:r>
          </w:p>
        </w:tc>
        <w:tc>
          <w:tcPr>
            <w:tcW w:w="2150" w:type="dxa"/>
            <w:vAlign w:val="center"/>
          </w:tcPr>
          <w:p w:rsidR="00A47C1B" w:rsidRDefault="00621357">
            <w:pPr>
              <w:jc w:val="right"/>
            </w:pPr>
            <w:r>
              <w:rPr>
                <w:color w:val="000000"/>
                <w:sz w:val="24"/>
                <w:szCs w:val="24"/>
              </w:rPr>
              <w:t>1,350,000.00</w:t>
            </w:r>
          </w:p>
        </w:tc>
        <w:tc>
          <w:tcPr>
            <w:tcW w:w="1237" w:type="dxa"/>
            <w:vAlign w:val="center"/>
          </w:tcPr>
          <w:p w:rsidR="00A47C1B" w:rsidRDefault="00621357">
            <w:pPr>
              <w:jc w:val="right"/>
            </w:pPr>
            <w:r>
              <w:rPr>
                <w:color w:val="000000"/>
                <w:sz w:val="24"/>
                <w:szCs w:val="24"/>
              </w:rPr>
              <w:t>0.87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43,801.55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100,210.87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1,644,709.74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1,788,722.16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A47C1B">
        <w:trPr>
          <w:jc w:val="center"/>
        </w:trPr>
        <w:tc>
          <w:tcPr>
            <w:tcW w:w="1129" w:type="dxa"/>
            <w:vAlign w:val="center"/>
          </w:tcPr>
          <w:p w:rsidR="00A47C1B" w:rsidRDefault="00621357">
            <w:pPr>
              <w:jc w:val="center"/>
            </w:pPr>
            <w:r>
              <w:rPr>
                <w:color w:val="000000"/>
                <w:sz w:val="24"/>
                <w:szCs w:val="24"/>
              </w:rPr>
              <w:t>1</w:t>
            </w:r>
          </w:p>
        </w:tc>
        <w:tc>
          <w:tcPr>
            <w:tcW w:w="1356" w:type="dxa"/>
            <w:vAlign w:val="center"/>
          </w:tcPr>
          <w:p w:rsidR="00A47C1B" w:rsidRDefault="00621357">
            <w:pPr>
              <w:jc w:val="center"/>
            </w:pPr>
            <w:r>
              <w:rPr>
                <w:color w:val="000000"/>
                <w:sz w:val="24"/>
                <w:szCs w:val="24"/>
              </w:rPr>
              <w:t>300488</w:t>
            </w:r>
          </w:p>
        </w:tc>
        <w:tc>
          <w:tcPr>
            <w:tcW w:w="1355" w:type="dxa"/>
            <w:vAlign w:val="center"/>
          </w:tcPr>
          <w:p w:rsidR="00A47C1B" w:rsidRDefault="00621357">
            <w:pPr>
              <w:jc w:val="center"/>
            </w:pPr>
            <w:r>
              <w:rPr>
                <w:color w:val="000000"/>
                <w:sz w:val="24"/>
                <w:szCs w:val="24"/>
              </w:rPr>
              <w:t>恒锋工具</w:t>
            </w:r>
          </w:p>
        </w:tc>
        <w:tc>
          <w:tcPr>
            <w:tcW w:w="1880" w:type="dxa"/>
            <w:vAlign w:val="center"/>
          </w:tcPr>
          <w:p w:rsidR="00A47C1B" w:rsidRDefault="00621357">
            <w:pPr>
              <w:jc w:val="right"/>
            </w:pPr>
            <w:r>
              <w:rPr>
                <w:color w:val="000000"/>
                <w:sz w:val="24"/>
                <w:szCs w:val="24"/>
              </w:rPr>
              <w:t>2,134,015.80</w:t>
            </w:r>
          </w:p>
        </w:tc>
        <w:tc>
          <w:tcPr>
            <w:tcW w:w="1724" w:type="dxa"/>
            <w:vAlign w:val="center"/>
          </w:tcPr>
          <w:p w:rsidR="00A47C1B" w:rsidRDefault="00621357">
            <w:pPr>
              <w:jc w:val="right"/>
            </w:pPr>
            <w:r>
              <w:rPr>
                <w:color w:val="000000"/>
                <w:sz w:val="24"/>
                <w:szCs w:val="24"/>
              </w:rPr>
              <w:t>1.38</w:t>
            </w:r>
          </w:p>
        </w:tc>
        <w:tc>
          <w:tcPr>
            <w:tcW w:w="1424" w:type="dxa"/>
            <w:vAlign w:val="center"/>
          </w:tcPr>
          <w:p w:rsidR="00A47C1B" w:rsidRDefault="00840A39">
            <w:pPr>
              <w:jc w:val="right"/>
            </w:pPr>
            <w:r w:rsidRPr="00840A39">
              <w:rPr>
                <w:rFonts w:hint="eastAsia"/>
                <w:sz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840A39" w:rsidRPr="00840A39" w:rsidRDefault="00840A39" w:rsidP="00840A39">
      <w:pPr>
        <w:spacing w:before="29" w:line="288" w:lineRule="auto"/>
        <w:rPr>
          <w:color w:val="000000"/>
          <w:sz w:val="24"/>
          <w:szCs w:val="24"/>
        </w:rPr>
      </w:pPr>
      <w:r w:rsidRPr="00840A39">
        <w:rPr>
          <w:rFonts w:hint="eastAsia"/>
          <w:color w:val="000000"/>
          <w:sz w:val="24"/>
          <w:szCs w:val="24"/>
        </w:rPr>
        <w:t>1</w:t>
      </w:r>
      <w:r w:rsidRPr="00840A39">
        <w:rPr>
          <w:rFonts w:hint="eastAsia"/>
          <w:color w:val="000000"/>
          <w:sz w:val="24"/>
          <w:szCs w:val="24"/>
        </w:rPr>
        <w:t>、本基金本报告期末未持有处于交换期的可交换债券。</w:t>
      </w:r>
    </w:p>
    <w:p w:rsidR="006B2FF6" w:rsidRPr="00414345" w:rsidRDefault="00840A39" w:rsidP="00840A39">
      <w:pPr>
        <w:spacing w:before="29" w:line="288" w:lineRule="auto"/>
        <w:rPr>
          <w:color w:val="000000"/>
          <w:sz w:val="24"/>
          <w:szCs w:val="24"/>
        </w:rPr>
      </w:pPr>
      <w:r w:rsidRPr="00840A39">
        <w:rPr>
          <w:rFonts w:hint="eastAsia"/>
          <w:color w:val="000000"/>
          <w:sz w:val="24"/>
          <w:szCs w:val="24"/>
        </w:rPr>
        <w:t>2</w:t>
      </w:r>
      <w:r w:rsidRPr="00840A39">
        <w:rPr>
          <w:rFonts w:hint="eastAsia"/>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127,211,002.80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566,652.02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2,669,442.64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125,108,212.18</w:t>
            </w:r>
          </w:p>
        </w:tc>
      </w:tr>
    </w:tbl>
    <w:p w:rsidR="00A47C1B" w:rsidRDefault="0062135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480B35"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47C1B" w:rsidRDefault="0062135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、中国证监会批准交银施罗德荣泰保本混合型证券投资基金募集的文件；</w:t>
      </w:r>
      <w:r>
        <w:rPr>
          <w:color w:val="000000"/>
          <w:sz w:val="24"/>
          <w:szCs w:val="24"/>
        </w:rPr>
        <w:t xml:space="preserve"> </w:t>
      </w:r>
    </w:p>
    <w:p w:rsidR="00A47C1B" w:rsidRDefault="0062135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、《交银施罗德荣泰保本混合型证券投资基金基金合同》；</w:t>
      </w:r>
      <w:r>
        <w:rPr>
          <w:color w:val="000000"/>
          <w:sz w:val="24"/>
          <w:szCs w:val="24"/>
        </w:rPr>
        <w:t xml:space="preserve"> </w:t>
      </w:r>
    </w:p>
    <w:p w:rsidR="00A47C1B" w:rsidRDefault="0062135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、《交银施罗德荣泰保本混合型证券投资基金招募说明书》；</w:t>
      </w:r>
    </w:p>
    <w:p w:rsidR="00A47C1B" w:rsidRDefault="0062135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、《交银施罗德荣泰保本混合型证券投资基金托管协议》；</w:t>
      </w:r>
      <w:r>
        <w:rPr>
          <w:color w:val="000000"/>
          <w:sz w:val="24"/>
          <w:szCs w:val="24"/>
        </w:rPr>
        <w:t xml:space="preserve"> </w:t>
      </w:r>
    </w:p>
    <w:p w:rsidR="00A47C1B" w:rsidRDefault="00621357">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A47C1B" w:rsidRDefault="00621357">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A47C1B" w:rsidRDefault="00621357">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、关于申请募集交银施罗德荣泰保本混合型证券投资基金之法律意见书；</w:t>
      </w:r>
    </w:p>
    <w:p w:rsidR="00A47C1B" w:rsidRDefault="00621357">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、《交银施罗德荣泰保本混合型证券投资基金保证合同》；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、报告期内交银施罗德荣泰保本混合型证券投资基金在指定报刊上各项公告的原稿。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47C1B" w:rsidRDefault="0062135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BFF" w:rsidRDefault="00B75BFF" w:rsidP="00876D65">
      <w:r>
        <w:separator/>
      </w:r>
    </w:p>
  </w:endnote>
  <w:endnote w:type="continuationSeparator" w:id="0">
    <w:p w:rsidR="00B75BFF" w:rsidRDefault="00B75BF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EF3996">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EF3996">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BFF" w:rsidRDefault="00B75BFF" w:rsidP="00876D65">
      <w:r>
        <w:separator/>
      </w:r>
    </w:p>
  </w:footnote>
  <w:footnote w:type="continuationSeparator" w:id="0">
    <w:p w:rsidR="00B75BFF" w:rsidRDefault="00B75BF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142B"/>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1357"/>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0A39"/>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47C1B"/>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3158"/>
    <w:rsid w:val="00B64723"/>
    <w:rsid w:val="00B7378D"/>
    <w:rsid w:val="00B7444D"/>
    <w:rsid w:val="00B75BFF"/>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17B29"/>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28D2"/>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36A10"/>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3996"/>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4764B"/>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6A070-0ACA-4BC9-B9DC-FA211E94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1795</TotalTime>
  <Pages>12</Pages>
  <Words>1062</Words>
  <Characters>6058</Characters>
  <Application>Microsoft Office Word</Application>
  <DocSecurity>0</DocSecurity>
  <Lines>50</Lines>
  <Paragraphs>14</Paragraphs>
  <ScaleCrop>false</ScaleCrop>
  <Company/>
  <LinksUpToDate>false</LinksUpToDate>
  <CharactersWithSpaces>7106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569</cp:revision>
  <dcterms:created xsi:type="dcterms:W3CDTF">2012-10-16T06:07:00Z</dcterms:created>
  <dcterms:modified xsi:type="dcterms:W3CDTF">2016-07-20T02:07:00Z</dcterms:modified>
</cp:coreProperties>
</file>