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63ED1" w:rsidRDefault="00FB4F1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w:t>
      </w:r>
      <w:r>
        <w:rPr>
          <w:color w:val="000000"/>
          <w:sz w:val="24"/>
          <w:szCs w:val="24"/>
        </w:rPr>
        <w:t>说明书。</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47,154,278.52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B4F15" w:rsidRPr="00414345" w:rsidTr="00FB4F1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B4F15" w:rsidRPr="00414345" w:rsidTr="00FB4F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7,691,076.73</w:t>
            </w:r>
          </w:p>
        </w:tc>
      </w:tr>
      <w:tr w:rsidR="00FB4F15" w:rsidRPr="00414345" w:rsidTr="00FB4F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8,260,802.26</w:t>
            </w:r>
          </w:p>
        </w:tc>
      </w:tr>
      <w:tr w:rsidR="00FB4F15" w:rsidRPr="00414345" w:rsidTr="00FB4F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0.1723</w:t>
            </w:r>
          </w:p>
        </w:tc>
      </w:tr>
      <w:tr w:rsidR="00FB4F15" w:rsidRPr="00414345" w:rsidTr="00FB4F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91,191,155.57</w:t>
            </w:r>
          </w:p>
        </w:tc>
      </w:tr>
      <w:tr w:rsidR="00FB4F15" w:rsidRPr="00414345" w:rsidTr="00FB4F1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1.934</w:t>
            </w:r>
          </w:p>
        </w:tc>
      </w:tr>
    </w:tbl>
    <w:p w:rsidR="00863ED1" w:rsidRDefault="00FB4F1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63ED1">
        <w:trPr>
          <w:jc w:val="center"/>
        </w:trPr>
        <w:tc>
          <w:tcPr>
            <w:tcW w:w="1701" w:type="dxa"/>
            <w:vAlign w:val="center"/>
          </w:tcPr>
          <w:p w:rsidR="00863ED1" w:rsidRDefault="00FB4F15">
            <w:pPr>
              <w:jc w:val="left"/>
            </w:pPr>
            <w:r>
              <w:rPr>
                <w:color w:val="000000"/>
                <w:sz w:val="24"/>
                <w:szCs w:val="24"/>
              </w:rPr>
              <w:t>过去三个月</w:t>
            </w:r>
          </w:p>
        </w:tc>
        <w:tc>
          <w:tcPr>
            <w:tcW w:w="1045" w:type="dxa"/>
            <w:vAlign w:val="center"/>
          </w:tcPr>
          <w:p w:rsidR="00863ED1" w:rsidRDefault="00FB4F15">
            <w:pPr>
              <w:jc w:val="center"/>
            </w:pPr>
            <w:r>
              <w:rPr>
                <w:color w:val="000000"/>
                <w:sz w:val="24"/>
                <w:szCs w:val="24"/>
              </w:rPr>
              <w:t>9.82%</w:t>
            </w:r>
          </w:p>
        </w:tc>
        <w:tc>
          <w:tcPr>
            <w:tcW w:w="1344" w:type="dxa"/>
            <w:vAlign w:val="center"/>
          </w:tcPr>
          <w:p w:rsidR="00863ED1" w:rsidRDefault="00FB4F15">
            <w:pPr>
              <w:jc w:val="center"/>
            </w:pPr>
            <w:r>
              <w:rPr>
                <w:color w:val="000000"/>
                <w:sz w:val="24"/>
                <w:szCs w:val="24"/>
              </w:rPr>
              <w:t>1.21%</w:t>
            </w:r>
          </w:p>
        </w:tc>
        <w:tc>
          <w:tcPr>
            <w:tcW w:w="1194" w:type="dxa"/>
            <w:vAlign w:val="center"/>
          </w:tcPr>
          <w:p w:rsidR="00863ED1" w:rsidRDefault="00FB4F15">
            <w:pPr>
              <w:jc w:val="center"/>
            </w:pPr>
            <w:r>
              <w:rPr>
                <w:color w:val="000000"/>
                <w:sz w:val="24"/>
                <w:szCs w:val="24"/>
              </w:rPr>
              <w:t>-1.37%</w:t>
            </w:r>
          </w:p>
        </w:tc>
        <w:tc>
          <w:tcPr>
            <w:tcW w:w="1492" w:type="dxa"/>
            <w:vAlign w:val="center"/>
          </w:tcPr>
          <w:p w:rsidR="00863ED1" w:rsidRDefault="00FB4F15">
            <w:pPr>
              <w:jc w:val="center"/>
            </w:pPr>
            <w:r>
              <w:rPr>
                <w:color w:val="000000"/>
                <w:sz w:val="24"/>
                <w:szCs w:val="24"/>
              </w:rPr>
              <w:t>0.51%</w:t>
            </w:r>
          </w:p>
        </w:tc>
        <w:tc>
          <w:tcPr>
            <w:tcW w:w="1194" w:type="dxa"/>
            <w:vAlign w:val="center"/>
          </w:tcPr>
          <w:p w:rsidR="00863ED1" w:rsidRDefault="00FB4F15">
            <w:pPr>
              <w:jc w:val="center"/>
            </w:pPr>
            <w:r>
              <w:rPr>
                <w:color w:val="000000"/>
                <w:sz w:val="24"/>
                <w:szCs w:val="24"/>
              </w:rPr>
              <w:t>11.19%</w:t>
            </w:r>
          </w:p>
        </w:tc>
        <w:tc>
          <w:tcPr>
            <w:tcW w:w="898" w:type="dxa"/>
            <w:vAlign w:val="center"/>
          </w:tcPr>
          <w:p w:rsidR="00863ED1" w:rsidRDefault="00FB4F15">
            <w:pPr>
              <w:jc w:val="center"/>
            </w:pPr>
            <w:r>
              <w:rPr>
                <w:color w:val="000000"/>
                <w:sz w:val="24"/>
                <w:szCs w:val="24"/>
              </w:rPr>
              <w:t>0.70%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63ED1">
        <w:trPr>
          <w:jc w:val="center"/>
        </w:trPr>
        <w:tc>
          <w:tcPr>
            <w:tcW w:w="846" w:type="dxa"/>
            <w:vAlign w:val="center"/>
          </w:tcPr>
          <w:p w:rsidR="00863ED1" w:rsidRDefault="00FB4F15">
            <w:pPr>
              <w:jc w:val="center"/>
            </w:pPr>
            <w:r>
              <w:rPr>
                <w:color w:val="000000"/>
                <w:sz w:val="24"/>
                <w:szCs w:val="24"/>
              </w:rPr>
              <w:t>杨浩</w:t>
            </w:r>
          </w:p>
        </w:tc>
        <w:tc>
          <w:tcPr>
            <w:tcW w:w="845" w:type="dxa"/>
            <w:vAlign w:val="center"/>
          </w:tcPr>
          <w:p w:rsidR="00863ED1" w:rsidRDefault="00FB4F15">
            <w:pPr>
              <w:jc w:val="center"/>
            </w:pPr>
            <w:r>
              <w:rPr>
                <w:color w:val="000000"/>
                <w:sz w:val="24"/>
                <w:szCs w:val="24"/>
              </w:rPr>
              <w:t>交银定期支付双息平衡混合的基金经理</w:t>
            </w:r>
          </w:p>
        </w:tc>
        <w:tc>
          <w:tcPr>
            <w:tcW w:w="1549" w:type="dxa"/>
            <w:vAlign w:val="center"/>
          </w:tcPr>
          <w:p w:rsidR="00863ED1" w:rsidRDefault="00FB4F15">
            <w:pPr>
              <w:jc w:val="center"/>
            </w:pPr>
            <w:r>
              <w:rPr>
                <w:color w:val="000000"/>
                <w:sz w:val="24"/>
                <w:szCs w:val="24"/>
              </w:rPr>
              <w:t>2015-08-15</w:t>
            </w:r>
          </w:p>
        </w:tc>
        <w:tc>
          <w:tcPr>
            <w:tcW w:w="1548" w:type="dxa"/>
            <w:vAlign w:val="center"/>
          </w:tcPr>
          <w:p w:rsidR="00863ED1" w:rsidRDefault="00FB4F15">
            <w:pPr>
              <w:jc w:val="center"/>
            </w:pPr>
            <w:r>
              <w:rPr>
                <w:color w:val="000000"/>
                <w:sz w:val="24"/>
                <w:szCs w:val="24"/>
              </w:rPr>
              <w:t>-</w:t>
            </w:r>
          </w:p>
        </w:tc>
        <w:tc>
          <w:tcPr>
            <w:tcW w:w="1407" w:type="dxa"/>
            <w:vAlign w:val="center"/>
          </w:tcPr>
          <w:p w:rsidR="00863ED1" w:rsidRDefault="00FB4F15">
            <w:pPr>
              <w:jc w:val="center"/>
            </w:pPr>
            <w:r>
              <w:rPr>
                <w:color w:val="000000"/>
                <w:sz w:val="24"/>
                <w:szCs w:val="24"/>
              </w:rPr>
              <w:t>6</w:t>
            </w:r>
            <w:r>
              <w:rPr>
                <w:color w:val="000000"/>
                <w:sz w:val="24"/>
                <w:szCs w:val="24"/>
              </w:rPr>
              <w:t>年</w:t>
            </w:r>
          </w:p>
        </w:tc>
        <w:tc>
          <w:tcPr>
            <w:tcW w:w="2673" w:type="dxa"/>
            <w:vAlign w:val="center"/>
          </w:tcPr>
          <w:p w:rsidR="00863ED1" w:rsidRDefault="00FB4F15">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863ED1" w:rsidRDefault="00FB4F15">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63ED1" w:rsidRDefault="00FB4F1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63ED1" w:rsidRDefault="00FB4F1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863ED1" w:rsidRDefault="00FB4F1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FB4F15" w:rsidRPr="00414345" w:rsidRDefault="00FB4F15" w:rsidP="00C15CAC">
      <w:pPr>
        <w:spacing w:before="29" w:line="288" w:lineRule="auto"/>
        <w:ind w:firstLineChars="200" w:firstLine="480"/>
        <w:rPr>
          <w:rFonts w:hint="eastAsia"/>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63ED1" w:rsidRDefault="00FB4F15">
      <w:pPr>
        <w:spacing w:before="29" w:line="288" w:lineRule="auto"/>
        <w:ind w:firstLineChars="200" w:firstLine="480"/>
        <w:rPr>
          <w:color w:val="000000"/>
          <w:sz w:val="24"/>
          <w:szCs w:val="24"/>
        </w:rPr>
      </w:pPr>
      <w:r>
        <w:rPr>
          <w:color w:val="000000"/>
          <w:sz w:val="24"/>
          <w:szCs w:val="24"/>
        </w:rPr>
        <w:t>回顾</w:t>
      </w:r>
      <w:r>
        <w:rPr>
          <w:color w:val="000000"/>
          <w:sz w:val="24"/>
          <w:szCs w:val="24"/>
        </w:rPr>
        <w:t>2016</w:t>
      </w:r>
      <w:r>
        <w:rPr>
          <w:color w:val="000000"/>
          <w:sz w:val="24"/>
          <w:szCs w:val="24"/>
        </w:rPr>
        <w:t>年二季度，权威人士定调</w:t>
      </w:r>
      <w:r>
        <w:rPr>
          <w:color w:val="000000"/>
          <w:sz w:val="24"/>
          <w:szCs w:val="24"/>
        </w:rPr>
        <w:t>L</w:t>
      </w:r>
      <w:r>
        <w:rPr>
          <w:color w:val="000000"/>
          <w:sz w:val="24"/>
          <w:szCs w:val="24"/>
        </w:rPr>
        <w:t>型经济走势，同时监管层加强对互联网金融和重组并购的监管，去杠杆思路浓厚，整体指数在窄箱体波动。因此市场一方面寻求避险，黄金酒类表</w:t>
      </w:r>
      <w:r>
        <w:rPr>
          <w:color w:val="000000"/>
          <w:sz w:val="24"/>
          <w:szCs w:val="24"/>
        </w:rPr>
        <w:t>现突出；另一方面在科技创新带来的新机会，如新能源汽车，电子新硬件、人工智能的探索上亦表现优异，整体出现二八效应。</w:t>
      </w:r>
    </w:p>
    <w:p w:rsidR="00863ED1" w:rsidRDefault="00FB4F15">
      <w:pPr>
        <w:spacing w:before="29" w:line="288" w:lineRule="auto"/>
        <w:ind w:firstLineChars="200" w:firstLine="480"/>
        <w:rPr>
          <w:color w:val="000000"/>
          <w:sz w:val="24"/>
          <w:szCs w:val="24"/>
        </w:rPr>
      </w:pPr>
      <w:r>
        <w:rPr>
          <w:color w:val="000000"/>
          <w:sz w:val="24"/>
          <w:szCs w:val="24"/>
        </w:rPr>
        <w:t>本基金在</w:t>
      </w:r>
      <w:r>
        <w:rPr>
          <w:color w:val="000000"/>
          <w:sz w:val="24"/>
          <w:szCs w:val="24"/>
        </w:rPr>
        <w:t>2016</w:t>
      </w:r>
      <w:r>
        <w:rPr>
          <w:color w:val="000000"/>
          <w:sz w:val="24"/>
          <w:szCs w:val="24"/>
        </w:rPr>
        <w:t>年二季度净值表现优于业绩比较基准，主要是积极参与了硬件科技创新浪潮，超配电子和材料行业形成超额收益。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年三季度，我们将继续关注脱虚入实、科技创新方面的投资机会，关注新科技生产力对传统产业的改造，而不仅仅是模式上的变化。同时关注受益于通胀预期的行业和公司。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1.934</w:t>
      </w:r>
      <w:r w:rsidRPr="00414345">
        <w:rPr>
          <w:color w:val="000000"/>
          <w:sz w:val="24"/>
          <w:szCs w:val="24"/>
        </w:rPr>
        <w:t>元，本报告期份额净值增长率为</w:t>
      </w:r>
      <w:r w:rsidRPr="00414345">
        <w:rPr>
          <w:color w:val="000000"/>
          <w:sz w:val="24"/>
          <w:szCs w:val="24"/>
        </w:rPr>
        <w:t>9.82%</w:t>
      </w:r>
      <w:r w:rsidRPr="00414345">
        <w:rPr>
          <w:color w:val="000000"/>
          <w:sz w:val="24"/>
          <w:szCs w:val="24"/>
        </w:rPr>
        <w:t>，同期业绩比较基准增长率为</w:t>
      </w:r>
      <w:r w:rsidRPr="00414345">
        <w:rPr>
          <w:color w:val="000000"/>
          <w:sz w:val="24"/>
          <w:szCs w:val="24"/>
        </w:rPr>
        <w:t>-1.37%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60,636,737.23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60,636,737.23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10,161,000.00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10,161,000.00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20,453,695.53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2,332,817.57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93,584,250.33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1,851,850.00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35,393,277.65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1,830,465.00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11,351,814.48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4,962,374.64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2,780,255.46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2,466,700.00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60,636,737.23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66.49</w:t>
            </w:r>
          </w:p>
        </w:tc>
      </w:tr>
    </w:tbl>
    <w:p w:rsidR="00FB4F15" w:rsidRDefault="00FB4F1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FB4F15">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63ED1">
        <w:trPr>
          <w:jc w:val="center"/>
        </w:trPr>
        <w:tc>
          <w:tcPr>
            <w:tcW w:w="855" w:type="dxa"/>
            <w:vAlign w:val="center"/>
          </w:tcPr>
          <w:p w:rsidR="00863ED1" w:rsidRDefault="00FB4F15">
            <w:pPr>
              <w:jc w:val="center"/>
            </w:pPr>
            <w:r>
              <w:rPr>
                <w:color w:val="000000"/>
                <w:sz w:val="24"/>
                <w:szCs w:val="24"/>
              </w:rPr>
              <w:t>1</w:t>
            </w:r>
          </w:p>
        </w:tc>
        <w:tc>
          <w:tcPr>
            <w:tcW w:w="1334" w:type="dxa"/>
            <w:vAlign w:val="center"/>
          </w:tcPr>
          <w:p w:rsidR="00863ED1" w:rsidRDefault="00FB4F15">
            <w:pPr>
              <w:jc w:val="center"/>
            </w:pPr>
            <w:r>
              <w:rPr>
                <w:color w:val="000000"/>
                <w:sz w:val="24"/>
                <w:szCs w:val="24"/>
              </w:rPr>
              <w:t>000821</w:t>
            </w:r>
          </w:p>
        </w:tc>
        <w:tc>
          <w:tcPr>
            <w:tcW w:w="1777" w:type="dxa"/>
            <w:vAlign w:val="center"/>
          </w:tcPr>
          <w:p w:rsidR="00863ED1" w:rsidRDefault="00FB4F15">
            <w:pPr>
              <w:jc w:val="center"/>
            </w:pPr>
            <w:r>
              <w:rPr>
                <w:color w:val="000000"/>
                <w:sz w:val="24"/>
                <w:szCs w:val="24"/>
              </w:rPr>
              <w:t>京山轻机</w:t>
            </w:r>
          </w:p>
        </w:tc>
        <w:tc>
          <w:tcPr>
            <w:tcW w:w="1334" w:type="dxa"/>
            <w:vAlign w:val="center"/>
          </w:tcPr>
          <w:p w:rsidR="00863ED1" w:rsidRDefault="00FB4F15">
            <w:pPr>
              <w:jc w:val="right"/>
            </w:pPr>
            <w:r>
              <w:rPr>
                <w:color w:val="000000"/>
                <w:sz w:val="24"/>
                <w:szCs w:val="24"/>
              </w:rPr>
              <w:t>454,100</w:t>
            </w:r>
          </w:p>
        </w:tc>
        <w:tc>
          <w:tcPr>
            <w:tcW w:w="1924" w:type="dxa"/>
            <w:vAlign w:val="center"/>
          </w:tcPr>
          <w:p w:rsidR="00863ED1" w:rsidRDefault="00FB4F15">
            <w:pPr>
              <w:jc w:val="right"/>
            </w:pPr>
            <w:r>
              <w:rPr>
                <w:color w:val="000000"/>
                <w:sz w:val="24"/>
                <w:szCs w:val="24"/>
              </w:rPr>
              <w:t>8,001,242.00</w:t>
            </w:r>
          </w:p>
        </w:tc>
        <w:tc>
          <w:tcPr>
            <w:tcW w:w="1644" w:type="dxa"/>
            <w:vAlign w:val="center"/>
          </w:tcPr>
          <w:p w:rsidR="00863ED1" w:rsidRDefault="00FB4F15">
            <w:pPr>
              <w:jc w:val="right"/>
            </w:pPr>
            <w:r>
              <w:rPr>
                <w:color w:val="000000"/>
                <w:sz w:val="24"/>
                <w:szCs w:val="24"/>
              </w:rPr>
              <w:t>8.77</w:t>
            </w:r>
          </w:p>
        </w:tc>
      </w:tr>
      <w:tr w:rsidR="00863ED1">
        <w:trPr>
          <w:jc w:val="center"/>
        </w:trPr>
        <w:tc>
          <w:tcPr>
            <w:tcW w:w="855" w:type="dxa"/>
            <w:vAlign w:val="center"/>
          </w:tcPr>
          <w:p w:rsidR="00863ED1" w:rsidRDefault="00FB4F15">
            <w:pPr>
              <w:jc w:val="center"/>
            </w:pPr>
            <w:r>
              <w:rPr>
                <w:color w:val="000000"/>
                <w:sz w:val="24"/>
                <w:szCs w:val="24"/>
              </w:rPr>
              <w:t>2</w:t>
            </w:r>
          </w:p>
        </w:tc>
        <w:tc>
          <w:tcPr>
            <w:tcW w:w="1334" w:type="dxa"/>
            <w:vAlign w:val="center"/>
          </w:tcPr>
          <w:p w:rsidR="00863ED1" w:rsidRDefault="00FB4F15">
            <w:pPr>
              <w:jc w:val="center"/>
            </w:pPr>
            <w:r>
              <w:rPr>
                <w:color w:val="000000"/>
                <w:sz w:val="24"/>
                <w:szCs w:val="24"/>
              </w:rPr>
              <w:t>300033</w:t>
            </w:r>
          </w:p>
        </w:tc>
        <w:tc>
          <w:tcPr>
            <w:tcW w:w="1777" w:type="dxa"/>
            <w:vAlign w:val="center"/>
          </w:tcPr>
          <w:p w:rsidR="00863ED1" w:rsidRDefault="00FB4F15">
            <w:pPr>
              <w:jc w:val="center"/>
            </w:pPr>
            <w:r>
              <w:rPr>
                <w:color w:val="000000"/>
                <w:sz w:val="24"/>
                <w:szCs w:val="24"/>
              </w:rPr>
              <w:t>同花顺</w:t>
            </w:r>
          </w:p>
        </w:tc>
        <w:tc>
          <w:tcPr>
            <w:tcW w:w="1334" w:type="dxa"/>
            <w:vAlign w:val="center"/>
          </w:tcPr>
          <w:p w:rsidR="00863ED1" w:rsidRDefault="00FB4F15">
            <w:pPr>
              <w:jc w:val="right"/>
            </w:pPr>
            <w:r>
              <w:rPr>
                <w:color w:val="000000"/>
                <w:sz w:val="24"/>
                <w:szCs w:val="24"/>
              </w:rPr>
              <w:t>77,572</w:t>
            </w:r>
          </w:p>
        </w:tc>
        <w:tc>
          <w:tcPr>
            <w:tcW w:w="1924" w:type="dxa"/>
            <w:vAlign w:val="center"/>
          </w:tcPr>
          <w:p w:rsidR="00863ED1" w:rsidRDefault="00FB4F15">
            <w:pPr>
              <w:jc w:val="right"/>
            </w:pPr>
            <w:r>
              <w:rPr>
                <w:color w:val="000000"/>
                <w:sz w:val="24"/>
                <w:szCs w:val="24"/>
              </w:rPr>
              <w:t>6,318,239.40</w:t>
            </w:r>
          </w:p>
        </w:tc>
        <w:tc>
          <w:tcPr>
            <w:tcW w:w="1644" w:type="dxa"/>
            <w:vAlign w:val="center"/>
          </w:tcPr>
          <w:p w:rsidR="00863ED1" w:rsidRDefault="00FB4F15">
            <w:pPr>
              <w:jc w:val="right"/>
            </w:pPr>
            <w:r>
              <w:rPr>
                <w:color w:val="000000"/>
                <w:sz w:val="24"/>
                <w:szCs w:val="24"/>
              </w:rPr>
              <w:t>6.93</w:t>
            </w:r>
          </w:p>
        </w:tc>
      </w:tr>
      <w:tr w:rsidR="00863ED1">
        <w:trPr>
          <w:jc w:val="center"/>
        </w:trPr>
        <w:tc>
          <w:tcPr>
            <w:tcW w:w="855" w:type="dxa"/>
            <w:vAlign w:val="center"/>
          </w:tcPr>
          <w:p w:rsidR="00863ED1" w:rsidRDefault="00FB4F15">
            <w:pPr>
              <w:jc w:val="center"/>
            </w:pPr>
            <w:r>
              <w:rPr>
                <w:color w:val="000000"/>
                <w:sz w:val="24"/>
                <w:szCs w:val="24"/>
              </w:rPr>
              <w:t>3</w:t>
            </w:r>
          </w:p>
        </w:tc>
        <w:tc>
          <w:tcPr>
            <w:tcW w:w="1334" w:type="dxa"/>
            <w:vAlign w:val="center"/>
          </w:tcPr>
          <w:p w:rsidR="00863ED1" w:rsidRDefault="00FB4F15">
            <w:pPr>
              <w:jc w:val="center"/>
            </w:pPr>
            <w:r>
              <w:rPr>
                <w:color w:val="000000"/>
                <w:sz w:val="24"/>
                <w:szCs w:val="24"/>
              </w:rPr>
              <w:t>002131</w:t>
            </w:r>
          </w:p>
        </w:tc>
        <w:tc>
          <w:tcPr>
            <w:tcW w:w="1777" w:type="dxa"/>
            <w:vAlign w:val="center"/>
          </w:tcPr>
          <w:p w:rsidR="00863ED1" w:rsidRDefault="00FB4F15">
            <w:pPr>
              <w:jc w:val="center"/>
            </w:pPr>
            <w:r>
              <w:rPr>
                <w:color w:val="000000"/>
                <w:sz w:val="24"/>
                <w:szCs w:val="24"/>
              </w:rPr>
              <w:t>利欧股份</w:t>
            </w:r>
          </w:p>
        </w:tc>
        <w:tc>
          <w:tcPr>
            <w:tcW w:w="1334" w:type="dxa"/>
            <w:vAlign w:val="center"/>
          </w:tcPr>
          <w:p w:rsidR="00863ED1" w:rsidRDefault="00FB4F15">
            <w:pPr>
              <w:jc w:val="right"/>
            </w:pPr>
            <w:r>
              <w:rPr>
                <w:color w:val="000000"/>
                <w:sz w:val="24"/>
                <w:szCs w:val="24"/>
              </w:rPr>
              <w:t>220,112</w:t>
            </w:r>
          </w:p>
        </w:tc>
        <w:tc>
          <w:tcPr>
            <w:tcW w:w="1924" w:type="dxa"/>
            <w:vAlign w:val="center"/>
          </w:tcPr>
          <w:p w:rsidR="00863ED1" w:rsidRDefault="00FB4F15">
            <w:pPr>
              <w:jc w:val="right"/>
            </w:pPr>
            <w:r>
              <w:rPr>
                <w:color w:val="000000"/>
                <w:sz w:val="24"/>
                <w:szCs w:val="24"/>
              </w:rPr>
              <w:t>3,761,714.08</w:t>
            </w:r>
          </w:p>
        </w:tc>
        <w:tc>
          <w:tcPr>
            <w:tcW w:w="1644" w:type="dxa"/>
            <w:vAlign w:val="center"/>
          </w:tcPr>
          <w:p w:rsidR="00863ED1" w:rsidRDefault="00FB4F15">
            <w:pPr>
              <w:jc w:val="right"/>
            </w:pPr>
            <w:r>
              <w:rPr>
                <w:color w:val="000000"/>
                <w:sz w:val="24"/>
                <w:szCs w:val="24"/>
              </w:rPr>
              <w:t>4.13</w:t>
            </w:r>
          </w:p>
        </w:tc>
      </w:tr>
      <w:tr w:rsidR="00863ED1">
        <w:trPr>
          <w:jc w:val="center"/>
        </w:trPr>
        <w:tc>
          <w:tcPr>
            <w:tcW w:w="855" w:type="dxa"/>
            <w:vAlign w:val="center"/>
          </w:tcPr>
          <w:p w:rsidR="00863ED1" w:rsidRDefault="00FB4F15">
            <w:pPr>
              <w:jc w:val="center"/>
            </w:pPr>
            <w:r>
              <w:rPr>
                <w:color w:val="000000"/>
                <w:sz w:val="24"/>
                <w:szCs w:val="24"/>
              </w:rPr>
              <w:t>4</w:t>
            </w:r>
          </w:p>
        </w:tc>
        <w:tc>
          <w:tcPr>
            <w:tcW w:w="1334" w:type="dxa"/>
            <w:vAlign w:val="center"/>
          </w:tcPr>
          <w:p w:rsidR="00863ED1" w:rsidRDefault="00FB4F15">
            <w:pPr>
              <w:jc w:val="center"/>
            </w:pPr>
            <w:r>
              <w:rPr>
                <w:color w:val="000000"/>
                <w:sz w:val="24"/>
                <w:szCs w:val="24"/>
              </w:rPr>
              <w:t>002180</w:t>
            </w:r>
          </w:p>
        </w:tc>
        <w:tc>
          <w:tcPr>
            <w:tcW w:w="1777" w:type="dxa"/>
            <w:vAlign w:val="center"/>
          </w:tcPr>
          <w:p w:rsidR="00863ED1" w:rsidRDefault="00FB4F15">
            <w:pPr>
              <w:jc w:val="center"/>
            </w:pPr>
            <w:r>
              <w:rPr>
                <w:color w:val="000000"/>
                <w:sz w:val="24"/>
                <w:szCs w:val="24"/>
              </w:rPr>
              <w:t>艾派克</w:t>
            </w:r>
          </w:p>
        </w:tc>
        <w:tc>
          <w:tcPr>
            <w:tcW w:w="1334" w:type="dxa"/>
            <w:vAlign w:val="center"/>
          </w:tcPr>
          <w:p w:rsidR="00863ED1" w:rsidRDefault="00FB4F15">
            <w:pPr>
              <w:jc w:val="right"/>
            </w:pPr>
            <w:r>
              <w:rPr>
                <w:color w:val="000000"/>
                <w:sz w:val="24"/>
                <w:szCs w:val="24"/>
              </w:rPr>
              <w:t>101,650</w:t>
            </w:r>
          </w:p>
        </w:tc>
        <w:tc>
          <w:tcPr>
            <w:tcW w:w="1924" w:type="dxa"/>
            <w:vAlign w:val="center"/>
          </w:tcPr>
          <w:p w:rsidR="00863ED1" w:rsidRDefault="00FB4F15">
            <w:pPr>
              <w:jc w:val="right"/>
            </w:pPr>
            <w:r>
              <w:rPr>
                <w:color w:val="000000"/>
                <w:sz w:val="24"/>
                <w:szCs w:val="24"/>
              </w:rPr>
              <w:t>2,900,074.50</w:t>
            </w:r>
          </w:p>
        </w:tc>
        <w:tc>
          <w:tcPr>
            <w:tcW w:w="1644" w:type="dxa"/>
            <w:vAlign w:val="center"/>
          </w:tcPr>
          <w:p w:rsidR="00863ED1" w:rsidRDefault="00FB4F15">
            <w:pPr>
              <w:jc w:val="right"/>
            </w:pPr>
            <w:r>
              <w:rPr>
                <w:color w:val="000000"/>
                <w:sz w:val="24"/>
                <w:szCs w:val="24"/>
              </w:rPr>
              <w:t>3.18</w:t>
            </w:r>
          </w:p>
        </w:tc>
      </w:tr>
      <w:tr w:rsidR="00863ED1">
        <w:trPr>
          <w:jc w:val="center"/>
        </w:trPr>
        <w:tc>
          <w:tcPr>
            <w:tcW w:w="855" w:type="dxa"/>
            <w:vAlign w:val="center"/>
          </w:tcPr>
          <w:p w:rsidR="00863ED1" w:rsidRDefault="00FB4F15">
            <w:pPr>
              <w:jc w:val="center"/>
            </w:pPr>
            <w:r>
              <w:rPr>
                <w:color w:val="000000"/>
                <w:sz w:val="24"/>
                <w:szCs w:val="24"/>
              </w:rPr>
              <w:t>5</w:t>
            </w:r>
          </w:p>
        </w:tc>
        <w:tc>
          <w:tcPr>
            <w:tcW w:w="1334" w:type="dxa"/>
            <w:vAlign w:val="center"/>
          </w:tcPr>
          <w:p w:rsidR="00863ED1" w:rsidRDefault="00FB4F15">
            <w:pPr>
              <w:jc w:val="center"/>
            </w:pPr>
            <w:r>
              <w:rPr>
                <w:color w:val="000000"/>
                <w:sz w:val="24"/>
                <w:szCs w:val="24"/>
              </w:rPr>
              <w:t>600054</w:t>
            </w:r>
          </w:p>
        </w:tc>
        <w:tc>
          <w:tcPr>
            <w:tcW w:w="1777" w:type="dxa"/>
            <w:vAlign w:val="center"/>
          </w:tcPr>
          <w:p w:rsidR="00863ED1" w:rsidRDefault="00FB4F15">
            <w:pPr>
              <w:jc w:val="center"/>
            </w:pPr>
            <w:r>
              <w:rPr>
                <w:color w:val="000000"/>
                <w:sz w:val="24"/>
                <w:szCs w:val="24"/>
              </w:rPr>
              <w:t>黄山旅游</w:t>
            </w:r>
          </w:p>
        </w:tc>
        <w:tc>
          <w:tcPr>
            <w:tcW w:w="1334" w:type="dxa"/>
            <w:vAlign w:val="center"/>
          </w:tcPr>
          <w:p w:rsidR="00863ED1" w:rsidRDefault="00FB4F15">
            <w:pPr>
              <w:jc w:val="right"/>
            </w:pPr>
            <w:r>
              <w:rPr>
                <w:color w:val="000000"/>
                <w:sz w:val="24"/>
                <w:szCs w:val="24"/>
              </w:rPr>
              <w:t>172,794</w:t>
            </w:r>
          </w:p>
        </w:tc>
        <w:tc>
          <w:tcPr>
            <w:tcW w:w="1924" w:type="dxa"/>
            <w:vAlign w:val="center"/>
          </w:tcPr>
          <w:p w:rsidR="00863ED1" w:rsidRDefault="00FB4F15">
            <w:pPr>
              <w:jc w:val="right"/>
            </w:pPr>
            <w:r>
              <w:rPr>
                <w:color w:val="000000"/>
                <w:sz w:val="24"/>
                <w:szCs w:val="24"/>
              </w:rPr>
              <w:t>2,780,255.46</w:t>
            </w:r>
          </w:p>
        </w:tc>
        <w:tc>
          <w:tcPr>
            <w:tcW w:w="1644" w:type="dxa"/>
            <w:vAlign w:val="center"/>
          </w:tcPr>
          <w:p w:rsidR="00863ED1" w:rsidRDefault="00FB4F15">
            <w:pPr>
              <w:jc w:val="right"/>
            </w:pPr>
            <w:r>
              <w:rPr>
                <w:color w:val="000000"/>
                <w:sz w:val="24"/>
                <w:szCs w:val="24"/>
              </w:rPr>
              <w:t>3.05</w:t>
            </w:r>
          </w:p>
        </w:tc>
      </w:tr>
      <w:tr w:rsidR="00863ED1">
        <w:trPr>
          <w:jc w:val="center"/>
        </w:trPr>
        <w:tc>
          <w:tcPr>
            <w:tcW w:w="855" w:type="dxa"/>
            <w:vAlign w:val="center"/>
          </w:tcPr>
          <w:p w:rsidR="00863ED1" w:rsidRDefault="00FB4F15">
            <w:pPr>
              <w:jc w:val="center"/>
            </w:pPr>
            <w:r>
              <w:rPr>
                <w:color w:val="000000"/>
                <w:sz w:val="24"/>
                <w:szCs w:val="24"/>
              </w:rPr>
              <w:t>6</w:t>
            </w:r>
          </w:p>
        </w:tc>
        <w:tc>
          <w:tcPr>
            <w:tcW w:w="1334" w:type="dxa"/>
            <w:vAlign w:val="center"/>
          </w:tcPr>
          <w:p w:rsidR="00863ED1" w:rsidRDefault="00FB4F15">
            <w:pPr>
              <w:jc w:val="center"/>
            </w:pPr>
            <w:r>
              <w:rPr>
                <w:color w:val="000000"/>
                <w:sz w:val="24"/>
                <w:szCs w:val="24"/>
              </w:rPr>
              <w:t>002043</w:t>
            </w:r>
          </w:p>
        </w:tc>
        <w:tc>
          <w:tcPr>
            <w:tcW w:w="1777" w:type="dxa"/>
            <w:vAlign w:val="center"/>
          </w:tcPr>
          <w:p w:rsidR="00863ED1" w:rsidRDefault="00FB4F15">
            <w:pPr>
              <w:jc w:val="center"/>
            </w:pPr>
            <w:r>
              <w:rPr>
                <w:color w:val="000000"/>
                <w:sz w:val="24"/>
                <w:szCs w:val="24"/>
              </w:rPr>
              <w:t>兔</w:t>
            </w:r>
            <w:r>
              <w:rPr>
                <w:color w:val="000000"/>
                <w:sz w:val="24"/>
                <w:szCs w:val="24"/>
              </w:rPr>
              <w:t xml:space="preserve"> </w:t>
            </w:r>
            <w:r>
              <w:rPr>
                <w:color w:val="000000"/>
                <w:sz w:val="24"/>
                <w:szCs w:val="24"/>
              </w:rPr>
              <w:t>宝</w:t>
            </w:r>
            <w:r>
              <w:rPr>
                <w:color w:val="000000"/>
                <w:sz w:val="24"/>
                <w:szCs w:val="24"/>
              </w:rPr>
              <w:t xml:space="preserve"> </w:t>
            </w:r>
            <w:r>
              <w:rPr>
                <w:color w:val="000000"/>
                <w:sz w:val="24"/>
                <w:szCs w:val="24"/>
              </w:rPr>
              <w:t>宝</w:t>
            </w:r>
          </w:p>
        </w:tc>
        <w:tc>
          <w:tcPr>
            <w:tcW w:w="1334" w:type="dxa"/>
            <w:vAlign w:val="center"/>
          </w:tcPr>
          <w:p w:rsidR="00863ED1" w:rsidRDefault="00FB4F15">
            <w:pPr>
              <w:jc w:val="right"/>
            </w:pPr>
            <w:r>
              <w:rPr>
                <w:color w:val="000000"/>
                <w:sz w:val="24"/>
                <w:szCs w:val="24"/>
              </w:rPr>
              <w:t>275,700</w:t>
            </w:r>
          </w:p>
        </w:tc>
        <w:tc>
          <w:tcPr>
            <w:tcW w:w="1924" w:type="dxa"/>
            <w:vAlign w:val="center"/>
          </w:tcPr>
          <w:p w:rsidR="00863ED1" w:rsidRDefault="00FB4F15">
            <w:pPr>
              <w:jc w:val="right"/>
            </w:pPr>
            <w:r>
              <w:rPr>
                <w:color w:val="000000"/>
                <w:sz w:val="24"/>
                <w:szCs w:val="24"/>
              </w:rPr>
              <w:t>2,765,271.00</w:t>
            </w:r>
          </w:p>
        </w:tc>
        <w:tc>
          <w:tcPr>
            <w:tcW w:w="1644" w:type="dxa"/>
            <w:vAlign w:val="center"/>
          </w:tcPr>
          <w:p w:rsidR="00863ED1" w:rsidRDefault="00FB4F15">
            <w:pPr>
              <w:jc w:val="right"/>
            </w:pPr>
            <w:r>
              <w:rPr>
                <w:color w:val="000000"/>
                <w:sz w:val="24"/>
                <w:szCs w:val="24"/>
              </w:rPr>
              <w:t>3.03</w:t>
            </w:r>
          </w:p>
        </w:tc>
      </w:tr>
      <w:tr w:rsidR="00863ED1">
        <w:trPr>
          <w:jc w:val="center"/>
        </w:trPr>
        <w:tc>
          <w:tcPr>
            <w:tcW w:w="855" w:type="dxa"/>
            <w:vAlign w:val="center"/>
          </w:tcPr>
          <w:p w:rsidR="00863ED1" w:rsidRDefault="00FB4F15">
            <w:pPr>
              <w:jc w:val="center"/>
            </w:pPr>
            <w:r>
              <w:rPr>
                <w:color w:val="000000"/>
                <w:sz w:val="24"/>
                <w:szCs w:val="24"/>
              </w:rPr>
              <w:t>7</w:t>
            </w:r>
          </w:p>
        </w:tc>
        <w:tc>
          <w:tcPr>
            <w:tcW w:w="1334" w:type="dxa"/>
            <w:vAlign w:val="center"/>
          </w:tcPr>
          <w:p w:rsidR="00863ED1" w:rsidRDefault="00FB4F15">
            <w:pPr>
              <w:jc w:val="center"/>
            </w:pPr>
            <w:r>
              <w:rPr>
                <w:color w:val="000000"/>
                <w:sz w:val="24"/>
                <w:szCs w:val="24"/>
              </w:rPr>
              <w:t>600521</w:t>
            </w:r>
          </w:p>
        </w:tc>
        <w:tc>
          <w:tcPr>
            <w:tcW w:w="1777" w:type="dxa"/>
            <w:vAlign w:val="center"/>
          </w:tcPr>
          <w:p w:rsidR="00863ED1" w:rsidRDefault="00FB4F15">
            <w:pPr>
              <w:jc w:val="center"/>
            </w:pPr>
            <w:r>
              <w:rPr>
                <w:color w:val="000000"/>
                <w:sz w:val="24"/>
                <w:szCs w:val="24"/>
              </w:rPr>
              <w:t>华海药业</w:t>
            </w:r>
          </w:p>
        </w:tc>
        <w:tc>
          <w:tcPr>
            <w:tcW w:w="1334" w:type="dxa"/>
            <w:vAlign w:val="center"/>
          </w:tcPr>
          <w:p w:rsidR="00863ED1" w:rsidRDefault="00FB4F15">
            <w:pPr>
              <w:jc w:val="right"/>
            </w:pPr>
            <w:r>
              <w:rPr>
                <w:color w:val="000000"/>
                <w:sz w:val="24"/>
                <w:szCs w:val="24"/>
              </w:rPr>
              <w:t>113,606</w:t>
            </w:r>
          </w:p>
        </w:tc>
        <w:tc>
          <w:tcPr>
            <w:tcW w:w="1924" w:type="dxa"/>
            <w:vAlign w:val="center"/>
          </w:tcPr>
          <w:p w:rsidR="00863ED1" w:rsidRDefault="00FB4F15">
            <w:pPr>
              <w:jc w:val="right"/>
            </w:pPr>
            <w:r>
              <w:rPr>
                <w:color w:val="000000"/>
                <w:sz w:val="24"/>
                <w:szCs w:val="24"/>
              </w:rPr>
              <w:t>2,762,897.92</w:t>
            </w:r>
          </w:p>
        </w:tc>
        <w:tc>
          <w:tcPr>
            <w:tcW w:w="1644" w:type="dxa"/>
            <w:vAlign w:val="center"/>
          </w:tcPr>
          <w:p w:rsidR="00863ED1" w:rsidRDefault="00FB4F15">
            <w:pPr>
              <w:jc w:val="right"/>
            </w:pPr>
            <w:r>
              <w:rPr>
                <w:color w:val="000000"/>
                <w:sz w:val="24"/>
                <w:szCs w:val="24"/>
              </w:rPr>
              <w:t>3.03</w:t>
            </w:r>
          </w:p>
        </w:tc>
      </w:tr>
      <w:tr w:rsidR="00863ED1">
        <w:trPr>
          <w:jc w:val="center"/>
        </w:trPr>
        <w:tc>
          <w:tcPr>
            <w:tcW w:w="855" w:type="dxa"/>
            <w:vAlign w:val="center"/>
          </w:tcPr>
          <w:p w:rsidR="00863ED1" w:rsidRDefault="00FB4F15">
            <w:pPr>
              <w:jc w:val="center"/>
            </w:pPr>
            <w:r>
              <w:rPr>
                <w:color w:val="000000"/>
                <w:sz w:val="24"/>
                <w:szCs w:val="24"/>
              </w:rPr>
              <w:t>8</w:t>
            </w:r>
          </w:p>
        </w:tc>
        <w:tc>
          <w:tcPr>
            <w:tcW w:w="1334" w:type="dxa"/>
            <w:vAlign w:val="center"/>
          </w:tcPr>
          <w:p w:rsidR="00863ED1" w:rsidRDefault="00FB4F15">
            <w:pPr>
              <w:jc w:val="center"/>
            </w:pPr>
            <w:r>
              <w:rPr>
                <w:color w:val="000000"/>
                <w:sz w:val="24"/>
                <w:szCs w:val="24"/>
              </w:rPr>
              <w:t>603901</w:t>
            </w:r>
          </w:p>
        </w:tc>
        <w:tc>
          <w:tcPr>
            <w:tcW w:w="1777" w:type="dxa"/>
            <w:vAlign w:val="center"/>
          </w:tcPr>
          <w:p w:rsidR="00863ED1" w:rsidRDefault="00FB4F15">
            <w:pPr>
              <w:jc w:val="center"/>
            </w:pPr>
            <w:r>
              <w:rPr>
                <w:color w:val="000000"/>
                <w:sz w:val="24"/>
                <w:szCs w:val="24"/>
              </w:rPr>
              <w:t>永创智能</w:t>
            </w:r>
          </w:p>
        </w:tc>
        <w:tc>
          <w:tcPr>
            <w:tcW w:w="1334" w:type="dxa"/>
            <w:vAlign w:val="center"/>
          </w:tcPr>
          <w:p w:rsidR="00863ED1" w:rsidRDefault="00FB4F15">
            <w:pPr>
              <w:jc w:val="right"/>
            </w:pPr>
            <w:r>
              <w:rPr>
                <w:color w:val="000000"/>
                <w:sz w:val="24"/>
                <w:szCs w:val="24"/>
              </w:rPr>
              <w:t>153,500</w:t>
            </w:r>
          </w:p>
        </w:tc>
        <w:tc>
          <w:tcPr>
            <w:tcW w:w="1924" w:type="dxa"/>
            <w:vAlign w:val="center"/>
          </w:tcPr>
          <w:p w:rsidR="00863ED1" w:rsidRDefault="00FB4F15">
            <w:pPr>
              <w:jc w:val="right"/>
            </w:pPr>
            <w:r>
              <w:rPr>
                <w:color w:val="000000"/>
                <w:sz w:val="24"/>
                <w:szCs w:val="24"/>
              </w:rPr>
              <w:t>2,759,930.00</w:t>
            </w:r>
          </w:p>
        </w:tc>
        <w:tc>
          <w:tcPr>
            <w:tcW w:w="1644" w:type="dxa"/>
            <w:vAlign w:val="center"/>
          </w:tcPr>
          <w:p w:rsidR="00863ED1" w:rsidRDefault="00FB4F15">
            <w:pPr>
              <w:jc w:val="right"/>
            </w:pPr>
            <w:r>
              <w:rPr>
                <w:color w:val="000000"/>
                <w:sz w:val="24"/>
                <w:szCs w:val="24"/>
              </w:rPr>
              <w:t>3.03</w:t>
            </w:r>
          </w:p>
        </w:tc>
      </w:tr>
      <w:tr w:rsidR="00863ED1">
        <w:trPr>
          <w:jc w:val="center"/>
        </w:trPr>
        <w:tc>
          <w:tcPr>
            <w:tcW w:w="855" w:type="dxa"/>
            <w:vAlign w:val="center"/>
          </w:tcPr>
          <w:p w:rsidR="00863ED1" w:rsidRDefault="00FB4F15">
            <w:pPr>
              <w:jc w:val="center"/>
            </w:pPr>
            <w:r>
              <w:rPr>
                <w:color w:val="000000"/>
                <w:sz w:val="24"/>
                <w:szCs w:val="24"/>
              </w:rPr>
              <w:t>9</w:t>
            </w:r>
          </w:p>
        </w:tc>
        <w:tc>
          <w:tcPr>
            <w:tcW w:w="1334" w:type="dxa"/>
            <w:vAlign w:val="center"/>
          </w:tcPr>
          <w:p w:rsidR="00863ED1" w:rsidRDefault="00FB4F15">
            <w:pPr>
              <w:jc w:val="center"/>
            </w:pPr>
            <w:r>
              <w:rPr>
                <w:color w:val="000000"/>
                <w:sz w:val="24"/>
                <w:szCs w:val="24"/>
              </w:rPr>
              <w:t>300347</w:t>
            </w:r>
          </w:p>
        </w:tc>
        <w:tc>
          <w:tcPr>
            <w:tcW w:w="1777" w:type="dxa"/>
            <w:vAlign w:val="center"/>
          </w:tcPr>
          <w:p w:rsidR="00863ED1" w:rsidRDefault="00FB4F15">
            <w:pPr>
              <w:jc w:val="center"/>
            </w:pPr>
            <w:r>
              <w:rPr>
                <w:color w:val="000000"/>
                <w:sz w:val="24"/>
                <w:szCs w:val="24"/>
              </w:rPr>
              <w:t>泰格医药</w:t>
            </w:r>
          </w:p>
        </w:tc>
        <w:tc>
          <w:tcPr>
            <w:tcW w:w="1334" w:type="dxa"/>
            <w:vAlign w:val="center"/>
          </w:tcPr>
          <w:p w:rsidR="00863ED1" w:rsidRDefault="00FB4F15">
            <w:pPr>
              <w:jc w:val="right"/>
            </w:pPr>
            <w:r>
              <w:rPr>
                <w:color w:val="000000"/>
                <w:sz w:val="24"/>
                <w:szCs w:val="24"/>
              </w:rPr>
              <w:t>85,000</w:t>
            </w:r>
          </w:p>
        </w:tc>
        <w:tc>
          <w:tcPr>
            <w:tcW w:w="1924" w:type="dxa"/>
            <w:vAlign w:val="center"/>
          </w:tcPr>
          <w:p w:rsidR="00863ED1" w:rsidRDefault="00FB4F15">
            <w:pPr>
              <w:jc w:val="right"/>
            </w:pPr>
            <w:r>
              <w:rPr>
                <w:color w:val="000000"/>
                <w:sz w:val="24"/>
                <w:szCs w:val="24"/>
              </w:rPr>
              <w:t>2,466,700.00</w:t>
            </w:r>
          </w:p>
        </w:tc>
        <w:tc>
          <w:tcPr>
            <w:tcW w:w="1644" w:type="dxa"/>
            <w:vAlign w:val="center"/>
          </w:tcPr>
          <w:p w:rsidR="00863ED1" w:rsidRDefault="00FB4F15">
            <w:pPr>
              <w:jc w:val="right"/>
            </w:pPr>
            <w:r>
              <w:rPr>
                <w:color w:val="000000"/>
                <w:sz w:val="24"/>
                <w:szCs w:val="24"/>
              </w:rPr>
              <w:t>2.70</w:t>
            </w:r>
          </w:p>
        </w:tc>
      </w:tr>
      <w:tr w:rsidR="00863ED1">
        <w:trPr>
          <w:jc w:val="center"/>
        </w:trPr>
        <w:tc>
          <w:tcPr>
            <w:tcW w:w="855" w:type="dxa"/>
            <w:vAlign w:val="center"/>
          </w:tcPr>
          <w:p w:rsidR="00863ED1" w:rsidRDefault="00FB4F15">
            <w:pPr>
              <w:jc w:val="center"/>
            </w:pPr>
            <w:r>
              <w:rPr>
                <w:color w:val="000000"/>
                <w:sz w:val="24"/>
                <w:szCs w:val="24"/>
              </w:rPr>
              <w:t>10</w:t>
            </w:r>
          </w:p>
        </w:tc>
        <w:tc>
          <w:tcPr>
            <w:tcW w:w="1334" w:type="dxa"/>
            <w:vAlign w:val="center"/>
          </w:tcPr>
          <w:p w:rsidR="00863ED1" w:rsidRDefault="00FB4F15">
            <w:pPr>
              <w:jc w:val="center"/>
            </w:pPr>
            <w:r>
              <w:rPr>
                <w:color w:val="000000"/>
                <w:sz w:val="24"/>
                <w:szCs w:val="24"/>
              </w:rPr>
              <w:t>002127</w:t>
            </w:r>
          </w:p>
        </w:tc>
        <w:tc>
          <w:tcPr>
            <w:tcW w:w="1777" w:type="dxa"/>
            <w:vAlign w:val="center"/>
          </w:tcPr>
          <w:p w:rsidR="00863ED1" w:rsidRDefault="00FB4F15">
            <w:pPr>
              <w:jc w:val="center"/>
            </w:pPr>
            <w:r>
              <w:rPr>
                <w:color w:val="000000"/>
                <w:sz w:val="24"/>
                <w:szCs w:val="24"/>
              </w:rPr>
              <w:t>南极电商</w:t>
            </w:r>
          </w:p>
        </w:tc>
        <w:tc>
          <w:tcPr>
            <w:tcW w:w="1334" w:type="dxa"/>
            <w:vAlign w:val="center"/>
          </w:tcPr>
          <w:p w:rsidR="00863ED1" w:rsidRDefault="00FB4F15">
            <w:pPr>
              <w:jc w:val="right"/>
            </w:pPr>
            <w:r>
              <w:rPr>
                <w:color w:val="000000"/>
                <w:sz w:val="24"/>
                <w:szCs w:val="24"/>
              </w:rPr>
              <w:t>237,128</w:t>
            </w:r>
          </w:p>
        </w:tc>
        <w:tc>
          <w:tcPr>
            <w:tcW w:w="1924" w:type="dxa"/>
            <w:vAlign w:val="center"/>
          </w:tcPr>
          <w:p w:rsidR="00863ED1" w:rsidRDefault="00FB4F15">
            <w:pPr>
              <w:jc w:val="right"/>
            </w:pPr>
            <w:r>
              <w:rPr>
                <w:color w:val="000000"/>
                <w:sz w:val="24"/>
                <w:szCs w:val="24"/>
              </w:rPr>
              <w:t>2,283,542.64</w:t>
            </w:r>
          </w:p>
        </w:tc>
        <w:tc>
          <w:tcPr>
            <w:tcW w:w="1644" w:type="dxa"/>
            <w:vAlign w:val="center"/>
          </w:tcPr>
          <w:p w:rsidR="00863ED1" w:rsidRDefault="00FB4F15">
            <w:pPr>
              <w:jc w:val="right"/>
            </w:pPr>
            <w:r>
              <w:rPr>
                <w:color w:val="000000"/>
                <w:sz w:val="24"/>
                <w:szCs w:val="24"/>
              </w:rPr>
              <w:t>2.50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63ED1">
        <w:trPr>
          <w:jc w:val="center"/>
        </w:trPr>
        <w:tc>
          <w:tcPr>
            <w:tcW w:w="850" w:type="dxa"/>
            <w:vAlign w:val="center"/>
          </w:tcPr>
          <w:p w:rsidR="00863ED1" w:rsidRDefault="00FB4F15">
            <w:pPr>
              <w:jc w:val="center"/>
            </w:pPr>
            <w:r>
              <w:rPr>
                <w:color w:val="000000"/>
                <w:sz w:val="24"/>
                <w:szCs w:val="24"/>
              </w:rPr>
              <w:t>1</w:t>
            </w:r>
          </w:p>
        </w:tc>
        <w:tc>
          <w:tcPr>
            <w:tcW w:w="1475" w:type="dxa"/>
            <w:vAlign w:val="center"/>
          </w:tcPr>
          <w:p w:rsidR="00863ED1" w:rsidRDefault="00FB4F15">
            <w:pPr>
              <w:jc w:val="center"/>
            </w:pPr>
            <w:r>
              <w:rPr>
                <w:color w:val="000000"/>
                <w:sz w:val="24"/>
                <w:szCs w:val="24"/>
              </w:rPr>
              <w:t>150201</w:t>
            </w:r>
          </w:p>
        </w:tc>
        <w:tc>
          <w:tcPr>
            <w:tcW w:w="1769" w:type="dxa"/>
            <w:vAlign w:val="center"/>
          </w:tcPr>
          <w:p w:rsidR="00863ED1" w:rsidRDefault="00FB4F15">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863ED1" w:rsidRDefault="00FB4F15">
            <w:pPr>
              <w:jc w:val="right"/>
            </w:pPr>
            <w:r>
              <w:rPr>
                <w:color w:val="000000"/>
                <w:sz w:val="24"/>
                <w:szCs w:val="24"/>
              </w:rPr>
              <w:t>100,000</w:t>
            </w:r>
          </w:p>
        </w:tc>
        <w:tc>
          <w:tcPr>
            <w:tcW w:w="2150" w:type="dxa"/>
            <w:vAlign w:val="center"/>
          </w:tcPr>
          <w:p w:rsidR="00863ED1" w:rsidRDefault="00FB4F15">
            <w:pPr>
              <w:jc w:val="right"/>
            </w:pPr>
            <w:r>
              <w:rPr>
                <w:color w:val="000000"/>
                <w:sz w:val="24"/>
                <w:szCs w:val="24"/>
              </w:rPr>
              <w:t>10,161,000.00</w:t>
            </w:r>
          </w:p>
        </w:tc>
        <w:tc>
          <w:tcPr>
            <w:tcW w:w="1237" w:type="dxa"/>
            <w:vAlign w:val="center"/>
          </w:tcPr>
          <w:p w:rsidR="00863ED1" w:rsidRDefault="00FB4F15">
            <w:pPr>
              <w:jc w:val="right"/>
            </w:pPr>
            <w:r>
              <w:rPr>
                <w:color w:val="000000"/>
                <w:sz w:val="24"/>
                <w:szCs w:val="24"/>
              </w:rPr>
              <w:t>11.14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报告期内本基金投资的前十名证券的发行主体除华海药业（证券代码：</w:t>
      </w:r>
      <w:r w:rsidRPr="00BE5388">
        <w:rPr>
          <w:bCs/>
          <w:color w:val="000000"/>
          <w:kern w:val="0"/>
          <w:sz w:val="24"/>
          <w:szCs w:val="24"/>
        </w:rPr>
        <w:t>600521</w:t>
      </w:r>
      <w:r w:rsidRPr="00BE5388">
        <w:rPr>
          <w:bCs/>
          <w:color w:val="000000"/>
          <w:kern w:val="0"/>
          <w:sz w:val="24"/>
          <w:szCs w:val="24"/>
        </w:rPr>
        <w:t>）外，未出现被监管部门立案调查，或在报告编制日前一年内受到公开谴责、处罚的情形。</w:t>
      </w:r>
    </w:p>
    <w:p w:rsidR="00863ED1" w:rsidRDefault="00FB4F15">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报告期内本基金投资的前十名证券之一华海药业（证券代码：</w:t>
      </w:r>
      <w:r>
        <w:rPr>
          <w:bCs/>
          <w:color w:val="000000"/>
          <w:kern w:val="0"/>
          <w:sz w:val="24"/>
          <w:szCs w:val="24"/>
        </w:rPr>
        <w:t>600521</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23</w:t>
      </w:r>
      <w:r>
        <w:rPr>
          <w:bCs/>
          <w:color w:val="000000"/>
          <w:kern w:val="0"/>
          <w:sz w:val="24"/>
          <w:szCs w:val="24"/>
        </w:rPr>
        <w:t>日因川南一分厂不正常使用大气污染物处理设施的行为被临海市环境保护局以临环罚字［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108</w:t>
      </w:r>
      <w:r>
        <w:rPr>
          <w:bCs/>
          <w:color w:val="000000"/>
          <w:kern w:val="0"/>
          <w:sz w:val="24"/>
          <w:szCs w:val="24"/>
        </w:rPr>
        <w:t>号《行政处罚决定书》处以责令停止违法行为和罚款人民币</w:t>
      </w:r>
      <w:r>
        <w:rPr>
          <w:bCs/>
          <w:color w:val="000000"/>
          <w:kern w:val="0"/>
          <w:sz w:val="24"/>
          <w:szCs w:val="24"/>
        </w:rPr>
        <w:t>5</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24</w:t>
      </w:r>
      <w:r>
        <w:rPr>
          <w:bCs/>
          <w:color w:val="000000"/>
          <w:kern w:val="0"/>
          <w:sz w:val="24"/>
          <w:szCs w:val="24"/>
        </w:rPr>
        <w:t>日因川南一分厂废水超标排放被临海市环境保护局以临环罚字［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119</w:t>
      </w:r>
      <w:r>
        <w:rPr>
          <w:bCs/>
          <w:color w:val="000000"/>
          <w:kern w:val="0"/>
          <w:sz w:val="24"/>
          <w:szCs w:val="24"/>
        </w:rPr>
        <w:t>号《行政处罚决定书》处以责令停止违法行为、罚款人民币</w:t>
      </w:r>
      <w:r>
        <w:rPr>
          <w:bCs/>
          <w:color w:val="000000"/>
          <w:kern w:val="0"/>
          <w:sz w:val="24"/>
          <w:szCs w:val="24"/>
        </w:rPr>
        <w:t>58.6</w:t>
      </w:r>
      <w:r>
        <w:rPr>
          <w:bCs/>
          <w:color w:val="000000"/>
          <w:kern w:val="0"/>
          <w:sz w:val="24"/>
          <w:szCs w:val="24"/>
        </w:rPr>
        <w:t>万元的处罚。</w:t>
      </w:r>
    </w:p>
    <w:p w:rsidR="00863ED1" w:rsidRDefault="00FB4F15">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w:t>
      </w:r>
      <w:r>
        <w:rPr>
          <w:bCs/>
          <w:color w:val="000000"/>
          <w:kern w:val="0"/>
          <w:sz w:val="24"/>
          <w:szCs w:val="24"/>
        </w:rPr>
        <w:t>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FB4F15" w:rsidRDefault="00FB4F15">
      <w:pPr>
        <w:autoSpaceDE w:val="0"/>
        <w:autoSpaceDN w:val="0"/>
        <w:adjustRightInd w:val="0"/>
        <w:spacing w:before="29" w:line="288" w:lineRule="auto"/>
        <w:jc w:val="left"/>
        <w:rPr>
          <w:rFonts w:hint="eastAsia"/>
          <w:bCs/>
          <w:color w:val="000000"/>
          <w:kern w:val="0"/>
          <w:sz w:val="24"/>
          <w:szCs w:val="24"/>
        </w:rPr>
      </w:pPr>
    </w:p>
    <w:p w:rsid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FB4F15" w:rsidRPr="00BE5388" w:rsidRDefault="00FB4F15" w:rsidP="00E40D31">
      <w:pPr>
        <w:autoSpaceDE w:val="0"/>
        <w:autoSpaceDN w:val="0"/>
        <w:adjustRightInd w:val="0"/>
        <w:spacing w:before="29" w:line="288" w:lineRule="auto"/>
        <w:jc w:val="left"/>
        <w:rPr>
          <w:rFonts w:hint="eastAsia"/>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120,068.11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2,023,739.10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188,222.18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788.18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2,332,817.57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63ED1">
        <w:trPr>
          <w:jc w:val="center"/>
        </w:trPr>
        <w:tc>
          <w:tcPr>
            <w:tcW w:w="1129" w:type="dxa"/>
            <w:vAlign w:val="center"/>
          </w:tcPr>
          <w:p w:rsidR="00863ED1" w:rsidRDefault="00FB4F15">
            <w:pPr>
              <w:jc w:val="center"/>
            </w:pPr>
            <w:r>
              <w:rPr>
                <w:color w:val="000000"/>
                <w:sz w:val="24"/>
                <w:szCs w:val="24"/>
              </w:rPr>
              <w:t>1</w:t>
            </w:r>
          </w:p>
        </w:tc>
        <w:tc>
          <w:tcPr>
            <w:tcW w:w="1356" w:type="dxa"/>
            <w:vAlign w:val="center"/>
          </w:tcPr>
          <w:p w:rsidR="00863ED1" w:rsidRDefault="00FB4F15">
            <w:pPr>
              <w:jc w:val="center"/>
            </w:pPr>
            <w:r>
              <w:rPr>
                <w:color w:val="000000"/>
                <w:sz w:val="24"/>
                <w:szCs w:val="24"/>
              </w:rPr>
              <w:t>002127</w:t>
            </w:r>
          </w:p>
        </w:tc>
        <w:tc>
          <w:tcPr>
            <w:tcW w:w="1355" w:type="dxa"/>
            <w:vAlign w:val="center"/>
          </w:tcPr>
          <w:p w:rsidR="00863ED1" w:rsidRDefault="00FB4F15">
            <w:pPr>
              <w:jc w:val="center"/>
            </w:pPr>
            <w:r>
              <w:rPr>
                <w:color w:val="000000"/>
                <w:sz w:val="24"/>
                <w:szCs w:val="24"/>
              </w:rPr>
              <w:t>南极电商</w:t>
            </w:r>
          </w:p>
        </w:tc>
        <w:tc>
          <w:tcPr>
            <w:tcW w:w="1880" w:type="dxa"/>
            <w:vAlign w:val="center"/>
          </w:tcPr>
          <w:p w:rsidR="00863ED1" w:rsidRDefault="00FB4F15">
            <w:pPr>
              <w:jc w:val="right"/>
            </w:pPr>
            <w:r>
              <w:rPr>
                <w:color w:val="000000"/>
                <w:sz w:val="24"/>
                <w:szCs w:val="24"/>
              </w:rPr>
              <w:t>2,283,542.64</w:t>
            </w:r>
          </w:p>
        </w:tc>
        <w:tc>
          <w:tcPr>
            <w:tcW w:w="1724" w:type="dxa"/>
            <w:vAlign w:val="center"/>
          </w:tcPr>
          <w:p w:rsidR="00863ED1" w:rsidRDefault="00FB4F15">
            <w:pPr>
              <w:jc w:val="right"/>
            </w:pPr>
            <w:r>
              <w:rPr>
                <w:color w:val="000000"/>
                <w:sz w:val="24"/>
                <w:szCs w:val="24"/>
              </w:rPr>
              <w:t>2.50</w:t>
            </w:r>
          </w:p>
        </w:tc>
        <w:tc>
          <w:tcPr>
            <w:tcW w:w="1424" w:type="dxa"/>
            <w:vAlign w:val="center"/>
          </w:tcPr>
          <w:p w:rsidR="00863ED1" w:rsidRDefault="00FB4F15">
            <w:pPr>
              <w:jc w:val="right"/>
            </w:pPr>
            <w:r>
              <w:rPr>
                <w:rFonts w:hint="eastAsia"/>
                <w:color w:val="000000"/>
                <w:sz w:val="24"/>
                <w:szCs w:val="24"/>
              </w:rPr>
              <w:t>重大事项</w:t>
            </w:r>
            <w:bookmarkStart w:id="0" w:name="_GoBack"/>
            <w:bookmarkEnd w:id="0"/>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48,642,335.00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2,185,922.88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3,673,979.36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47,154,278.52</w:t>
            </w:r>
          </w:p>
        </w:tc>
      </w:tr>
    </w:tbl>
    <w:p w:rsidR="00863ED1" w:rsidRDefault="00FB4F1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63ED1" w:rsidRDefault="00FB4F1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63ED1" w:rsidRDefault="00FB4F1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63ED1" w:rsidRDefault="00FB4F1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B4F15">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B4F15">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63ED1"/>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15"/>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CAAC-09FA-4FBF-80F0-40D6EA2C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11</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刘程业</cp:lastModifiedBy>
  <cp:revision>562</cp:revision>
  <dcterms:created xsi:type="dcterms:W3CDTF">2012-10-16T06:07:00Z</dcterms:created>
  <dcterms:modified xsi:type="dcterms:W3CDTF">2016-07-12T09:56:00Z</dcterms:modified>
</cp:coreProperties>
</file>