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9329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106864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25A06D8"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2C55706"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27A850C1"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7F2ED234" w14:textId="77777777"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14:paraId="424309C7" w14:textId="77777777"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14:paraId="20DAFEEC" w14:textId="77777777"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14:paraId="0C725F3B" w14:textId="77777777" w:rsidR="004061AC" w:rsidRPr="00414345" w:rsidRDefault="004061AC" w:rsidP="00C15CAC">
      <w:pPr>
        <w:spacing w:before="29" w:line="288" w:lineRule="auto"/>
        <w:jc w:val="center"/>
        <w:rPr>
          <w:b/>
          <w:bCs/>
          <w:color w:val="000000"/>
          <w:sz w:val="24"/>
          <w:szCs w:val="24"/>
        </w:rPr>
      </w:pPr>
    </w:p>
    <w:p w14:paraId="1ABC1674" w14:textId="77777777" w:rsidR="004061AC" w:rsidRPr="00414345" w:rsidRDefault="004061AC" w:rsidP="00C15CAC">
      <w:pPr>
        <w:spacing w:before="29" w:line="288" w:lineRule="auto"/>
        <w:jc w:val="center"/>
        <w:rPr>
          <w:b/>
          <w:bCs/>
          <w:color w:val="000000"/>
          <w:sz w:val="24"/>
          <w:szCs w:val="24"/>
        </w:rPr>
      </w:pPr>
    </w:p>
    <w:p w14:paraId="3CB62693" w14:textId="77777777" w:rsidR="004061AC" w:rsidRPr="00414345" w:rsidRDefault="004061AC" w:rsidP="00C15CAC">
      <w:pPr>
        <w:spacing w:before="29" w:line="288" w:lineRule="auto"/>
        <w:jc w:val="center"/>
        <w:rPr>
          <w:b/>
          <w:bCs/>
          <w:color w:val="000000"/>
          <w:sz w:val="24"/>
          <w:szCs w:val="24"/>
        </w:rPr>
      </w:pPr>
    </w:p>
    <w:p w14:paraId="32F2A55A" w14:textId="77777777" w:rsidR="004061AC" w:rsidRPr="00414345" w:rsidRDefault="004061AC" w:rsidP="00C15CAC">
      <w:pPr>
        <w:spacing w:before="29" w:line="288" w:lineRule="auto"/>
        <w:jc w:val="center"/>
        <w:rPr>
          <w:b/>
          <w:bCs/>
          <w:color w:val="000000"/>
          <w:sz w:val="24"/>
          <w:szCs w:val="24"/>
        </w:rPr>
      </w:pPr>
    </w:p>
    <w:p w14:paraId="21BE4045" w14:textId="77777777" w:rsidR="004061AC" w:rsidRPr="00414345" w:rsidRDefault="004061AC" w:rsidP="00C15CAC">
      <w:pPr>
        <w:spacing w:before="29" w:line="288" w:lineRule="auto"/>
        <w:jc w:val="center"/>
        <w:rPr>
          <w:b/>
          <w:bCs/>
          <w:color w:val="000000"/>
          <w:sz w:val="24"/>
          <w:szCs w:val="24"/>
        </w:rPr>
      </w:pPr>
    </w:p>
    <w:p w14:paraId="1AB450FD" w14:textId="77777777" w:rsidR="004061AC" w:rsidRPr="00414345" w:rsidRDefault="004061AC" w:rsidP="00C15CAC">
      <w:pPr>
        <w:spacing w:before="29" w:line="288" w:lineRule="auto"/>
        <w:jc w:val="center"/>
        <w:rPr>
          <w:b/>
          <w:bCs/>
          <w:color w:val="000000"/>
          <w:sz w:val="24"/>
          <w:szCs w:val="24"/>
        </w:rPr>
      </w:pPr>
    </w:p>
    <w:p w14:paraId="1293BD0D" w14:textId="77777777" w:rsidR="004061AC" w:rsidRPr="00414345" w:rsidRDefault="004061AC" w:rsidP="00C15CAC">
      <w:pPr>
        <w:spacing w:before="29" w:line="288" w:lineRule="auto"/>
        <w:jc w:val="center"/>
        <w:rPr>
          <w:b/>
          <w:bCs/>
          <w:color w:val="000000"/>
          <w:sz w:val="24"/>
          <w:szCs w:val="24"/>
        </w:rPr>
      </w:pPr>
    </w:p>
    <w:p w14:paraId="48C8459B" w14:textId="77777777" w:rsidR="004061AC" w:rsidRPr="00414345" w:rsidRDefault="004061AC" w:rsidP="00C15CAC">
      <w:pPr>
        <w:spacing w:before="29" w:line="288" w:lineRule="auto"/>
        <w:jc w:val="center"/>
        <w:rPr>
          <w:b/>
          <w:bCs/>
          <w:color w:val="000000"/>
          <w:sz w:val="24"/>
          <w:szCs w:val="24"/>
        </w:rPr>
      </w:pPr>
    </w:p>
    <w:p w14:paraId="462339C1" w14:textId="77777777" w:rsidR="004061AC" w:rsidRPr="00414345" w:rsidRDefault="004061AC" w:rsidP="00C15CAC">
      <w:pPr>
        <w:spacing w:before="29" w:line="288" w:lineRule="auto"/>
        <w:jc w:val="center"/>
        <w:rPr>
          <w:b/>
          <w:bCs/>
          <w:color w:val="000000"/>
          <w:sz w:val="24"/>
          <w:szCs w:val="24"/>
        </w:rPr>
      </w:pPr>
    </w:p>
    <w:p w14:paraId="506B70E9" w14:textId="77777777" w:rsidR="004061AC" w:rsidRPr="00414345" w:rsidRDefault="004061AC" w:rsidP="00C15CAC">
      <w:pPr>
        <w:spacing w:before="29" w:line="288" w:lineRule="auto"/>
        <w:jc w:val="center"/>
        <w:rPr>
          <w:b/>
          <w:bCs/>
          <w:color w:val="000000"/>
          <w:sz w:val="24"/>
          <w:szCs w:val="24"/>
        </w:rPr>
      </w:pPr>
    </w:p>
    <w:p w14:paraId="44D785A4" w14:textId="77777777" w:rsidR="004061AC" w:rsidRPr="00414345" w:rsidRDefault="004061AC" w:rsidP="00C15CAC">
      <w:pPr>
        <w:spacing w:before="29" w:line="288" w:lineRule="auto"/>
        <w:jc w:val="center"/>
        <w:rPr>
          <w:b/>
          <w:bCs/>
          <w:color w:val="000000"/>
          <w:sz w:val="24"/>
          <w:szCs w:val="24"/>
        </w:rPr>
      </w:pPr>
    </w:p>
    <w:p w14:paraId="1B2ECD1B" w14:textId="77777777" w:rsidR="004061AC" w:rsidRPr="00414345" w:rsidRDefault="004061AC" w:rsidP="00C15CAC">
      <w:pPr>
        <w:spacing w:before="29" w:line="288" w:lineRule="auto"/>
        <w:jc w:val="center"/>
        <w:rPr>
          <w:b/>
          <w:bCs/>
          <w:color w:val="000000"/>
          <w:sz w:val="24"/>
          <w:szCs w:val="24"/>
        </w:rPr>
      </w:pPr>
    </w:p>
    <w:p w14:paraId="6D7F4731"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14:paraId="46DB2075"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14:paraId="5F78F381" w14:textId="77777777"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14:paraId="3E22953F" w14:textId="77777777"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14:paraId="4FC4759E" w14:textId="77777777" w:rsidR="00362270" w:rsidRDefault="0076762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14:paraId="3EE0FF2C" w14:textId="77777777" w:rsidR="00362270" w:rsidRDefault="0076762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14:paraId="58AA0D7B" w14:textId="77777777" w:rsidR="00362270" w:rsidRDefault="0076762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14:paraId="0ED40100" w14:textId="77777777" w:rsidR="00362270" w:rsidRDefault="0076762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14:paraId="76372441" w14:textId="77777777" w:rsidR="00362270" w:rsidRDefault="0076762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14:paraId="3C76C7DA"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14:paraId="33DDC1F3" w14:textId="77777777" w:rsidR="00627E2D" w:rsidRPr="00414345" w:rsidRDefault="00627E2D" w:rsidP="00C15CAC">
      <w:pPr>
        <w:spacing w:before="29" w:line="288" w:lineRule="auto"/>
        <w:ind w:firstLineChars="200" w:firstLine="480"/>
        <w:rPr>
          <w:color w:val="000000"/>
          <w:sz w:val="24"/>
          <w:szCs w:val="24"/>
        </w:rPr>
      </w:pPr>
    </w:p>
    <w:p w14:paraId="5D665341"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14:paraId="36A09BAD" w14:textId="77777777" w:rsidTr="006E6726">
        <w:trPr>
          <w:jc w:val="center"/>
        </w:trPr>
        <w:tc>
          <w:tcPr>
            <w:tcW w:w="3023" w:type="dxa"/>
            <w:vAlign w:val="center"/>
          </w:tcPr>
          <w:p w14:paraId="3994C57F" w14:textId="77777777"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14:paraId="1B696DA9" w14:textId="77777777"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14:paraId="64520799"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4A8106ED" w14:textId="77777777"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14:paraId="52F38C16" w14:textId="77777777"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14:paraId="59B8CC5F"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14:paraId="39FA7018" w14:textId="77777777"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14:paraId="57AB17B1" w14:textId="77777777"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14:paraId="4E3911F0" w14:textId="77777777" w:rsidTr="006E6726">
        <w:trPr>
          <w:jc w:val="center"/>
        </w:trPr>
        <w:tc>
          <w:tcPr>
            <w:tcW w:w="3023" w:type="dxa"/>
            <w:vAlign w:val="center"/>
          </w:tcPr>
          <w:p w14:paraId="21854802"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14:paraId="112832FF"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14:paraId="0543324A" w14:textId="77777777" w:rsidTr="006E6726">
        <w:trPr>
          <w:jc w:val="center"/>
        </w:trPr>
        <w:tc>
          <w:tcPr>
            <w:tcW w:w="3023" w:type="dxa"/>
            <w:vAlign w:val="center"/>
          </w:tcPr>
          <w:p w14:paraId="7E7211F4"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14:paraId="7927C1D0"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14:paraId="3BBB34A4" w14:textId="77777777" w:rsidTr="006E6726">
        <w:trPr>
          <w:jc w:val="center"/>
        </w:trPr>
        <w:tc>
          <w:tcPr>
            <w:tcW w:w="3023" w:type="dxa"/>
            <w:vAlign w:val="center"/>
          </w:tcPr>
          <w:p w14:paraId="7DECFFBF"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14:paraId="081C2B71"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1,092,723,875.23</w:t>
            </w:r>
            <w:r w:rsidRPr="00414345">
              <w:rPr>
                <w:color w:val="000000"/>
                <w:kern w:val="0"/>
                <w:sz w:val="24"/>
                <w:szCs w:val="24"/>
              </w:rPr>
              <w:t>份</w:t>
            </w:r>
          </w:p>
        </w:tc>
      </w:tr>
      <w:tr w:rsidR="001B2F35" w:rsidRPr="00414345" w14:paraId="6B06185C" w14:textId="77777777" w:rsidTr="006E6726">
        <w:trPr>
          <w:jc w:val="center"/>
        </w:trPr>
        <w:tc>
          <w:tcPr>
            <w:tcW w:w="3023" w:type="dxa"/>
            <w:vAlign w:val="center"/>
          </w:tcPr>
          <w:p w14:paraId="17DF3FF6"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14:paraId="6AA585AC"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14:paraId="138EE3BC" w14:textId="77777777" w:rsidTr="006E6726">
        <w:trPr>
          <w:jc w:val="center"/>
        </w:trPr>
        <w:tc>
          <w:tcPr>
            <w:tcW w:w="3023" w:type="dxa"/>
            <w:vAlign w:val="center"/>
          </w:tcPr>
          <w:p w14:paraId="63E16B72"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14:paraId="59E3CF27"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14:paraId="7B75F130" w14:textId="77777777" w:rsidTr="006E6726">
        <w:trPr>
          <w:jc w:val="center"/>
        </w:trPr>
        <w:tc>
          <w:tcPr>
            <w:tcW w:w="3023" w:type="dxa"/>
            <w:vAlign w:val="center"/>
          </w:tcPr>
          <w:p w14:paraId="6BC37198"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14:paraId="43E9CD4E"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14:paraId="148802A2" w14:textId="77777777" w:rsidTr="006E6726">
        <w:trPr>
          <w:jc w:val="center"/>
        </w:trPr>
        <w:tc>
          <w:tcPr>
            <w:tcW w:w="3023" w:type="dxa"/>
            <w:vAlign w:val="center"/>
          </w:tcPr>
          <w:p w14:paraId="76B2C60E"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14:paraId="4364FE99"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14:paraId="4C68C183" w14:textId="77777777" w:rsidTr="006E6726">
        <w:trPr>
          <w:jc w:val="center"/>
        </w:trPr>
        <w:tc>
          <w:tcPr>
            <w:tcW w:w="3023" w:type="dxa"/>
            <w:vAlign w:val="center"/>
          </w:tcPr>
          <w:p w14:paraId="40D9CC88"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14:paraId="7E884269"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14:paraId="0574018E" w14:textId="77777777" w:rsidTr="006E6726">
        <w:trPr>
          <w:jc w:val="center"/>
        </w:trPr>
        <w:tc>
          <w:tcPr>
            <w:tcW w:w="3023" w:type="dxa"/>
            <w:vAlign w:val="center"/>
          </w:tcPr>
          <w:p w14:paraId="69D492BB"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14:paraId="1B0E0F77"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14:paraId="0185FDF5" w14:textId="77777777" w:rsidTr="006E6726">
        <w:trPr>
          <w:jc w:val="center"/>
        </w:trPr>
        <w:tc>
          <w:tcPr>
            <w:tcW w:w="3023" w:type="dxa"/>
            <w:vAlign w:val="center"/>
          </w:tcPr>
          <w:p w14:paraId="4E6C5656"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14:paraId="2D391276"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14:paraId="0C6C3F41" w14:textId="77777777" w:rsidR="005910BF" w:rsidRPr="00414345" w:rsidRDefault="005910BF" w:rsidP="00C15CAC">
      <w:pPr>
        <w:autoSpaceDE w:val="0"/>
        <w:autoSpaceDN w:val="0"/>
        <w:adjustRightInd w:val="0"/>
        <w:spacing w:before="29" w:line="288" w:lineRule="auto"/>
        <w:jc w:val="left"/>
        <w:rPr>
          <w:color w:val="000000"/>
          <w:kern w:val="0"/>
          <w:sz w:val="24"/>
          <w:szCs w:val="24"/>
        </w:rPr>
      </w:pPr>
    </w:p>
    <w:p w14:paraId="2FC34A47"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72054478"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4F209A67"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67625" w:rsidRPr="00414345" w14:paraId="3D84E080" w14:textId="77777777" w:rsidTr="00767625">
        <w:trPr>
          <w:jc w:val="center"/>
        </w:trPr>
        <w:tc>
          <w:tcPr>
            <w:tcW w:w="3402" w:type="dxa"/>
            <w:vAlign w:val="center"/>
          </w:tcPr>
          <w:p w14:paraId="30D04BBE" w14:textId="77777777"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14:paraId="41F68832" w14:textId="77777777"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14:paraId="29D3CDA4" w14:textId="77777777"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67625" w:rsidRPr="00414345" w14:paraId="476D93AC" w14:textId="77777777" w:rsidTr="00767625">
        <w:trPr>
          <w:jc w:val="center"/>
        </w:trPr>
        <w:tc>
          <w:tcPr>
            <w:tcW w:w="3402" w:type="dxa"/>
            <w:vAlign w:val="center"/>
          </w:tcPr>
          <w:p w14:paraId="2DA552C3"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14:paraId="3A64C886"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2,404,844.90</w:t>
            </w:r>
          </w:p>
        </w:tc>
      </w:tr>
      <w:tr w:rsidR="00767625" w:rsidRPr="00414345" w14:paraId="27342C7F" w14:textId="77777777" w:rsidTr="00767625">
        <w:trPr>
          <w:jc w:val="center"/>
        </w:trPr>
        <w:tc>
          <w:tcPr>
            <w:tcW w:w="3402" w:type="dxa"/>
            <w:vAlign w:val="center"/>
          </w:tcPr>
          <w:p w14:paraId="51C702E7"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14:paraId="5AC73474"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113,114.58</w:t>
            </w:r>
          </w:p>
        </w:tc>
      </w:tr>
      <w:tr w:rsidR="00767625" w:rsidRPr="00414345" w14:paraId="19D7455E" w14:textId="77777777" w:rsidTr="00767625">
        <w:trPr>
          <w:jc w:val="center"/>
        </w:trPr>
        <w:tc>
          <w:tcPr>
            <w:tcW w:w="3402" w:type="dxa"/>
            <w:vAlign w:val="center"/>
          </w:tcPr>
          <w:p w14:paraId="179BBC43"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14:paraId="4C920BB0"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0.0002</w:t>
            </w:r>
          </w:p>
        </w:tc>
      </w:tr>
      <w:tr w:rsidR="00767625" w:rsidRPr="00414345" w14:paraId="45D671A0" w14:textId="77777777" w:rsidTr="00767625">
        <w:trPr>
          <w:jc w:val="center"/>
        </w:trPr>
        <w:tc>
          <w:tcPr>
            <w:tcW w:w="3402" w:type="dxa"/>
            <w:vAlign w:val="center"/>
          </w:tcPr>
          <w:p w14:paraId="728CE63C"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14:paraId="226989C1"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1,093,973,722.57</w:t>
            </w:r>
          </w:p>
        </w:tc>
      </w:tr>
      <w:tr w:rsidR="00767625" w:rsidRPr="00414345" w14:paraId="6C46ADD4" w14:textId="77777777" w:rsidTr="00767625">
        <w:trPr>
          <w:trHeight w:val="158"/>
          <w:jc w:val="center"/>
        </w:trPr>
        <w:tc>
          <w:tcPr>
            <w:tcW w:w="3402" w:type="dxa"/>
            <w:vAlign w:val="center"/>
          </w:tcPr>
          <w:p w14:paraId="4ED1F006"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14:paraId="66F1FB68"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1.001</w:t>
            </w:r>
          </w:p>
        </w:tc>
      </w:tr>
    </w:tbl>
    <w:p w14:paraId="6E87912E" w14:textId="77777777" w:rsidR="00362270" w:rsidRDefault="0076762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14:paraId="61D97297"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14:paraId="6E0E05CF"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2B01D92D"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14:paraId="00F55A4F" w14:textId="77777777"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14:paraId="2BE0B752" w14:textId="77777777" w:rsidTr="00A324F4">
        <w:trPr>
          <w:jc w:val="center"/>
        </w:trPr>
        <w:tc>
          <w:tcPr>
            <w:tcW w:w="1614" w:type="dxa"/>
            <w:vAlign w:val="center"/>
          </w:tcPr>
          <w:p w14:paraId="5F963CB3"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14:paraId="21A37B1E"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14:paraId="17B6F5E8"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14:paraId="61048E1C"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14:paraId="06CCB74B"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14:paraId="76A07A08"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14:paraId="0576712E"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62270" w14:paraId="573462AF" w14:textId="77777777">
        <w:trPr>
          <w:jc w:val="center"/>
        </w:trPr>
        <w:tc>
          <w:tcPr>
            <w:tcW w:w="1701" w:type="dxa"/>
            <w:vAlign w:val="center"/>
          </w:tcPr>
          <w:p w14:paraId="66E594CF" w14:textId="77777777" w:rsidR="00362270" w:rsidRDefault="00767625">
            <w:pPr>
              <w:jc w:val="left"/>
            </w:pPr>
            <w:r>
              <w:rPr>
                <w:color w:val="000000"/>
                <w:sz w:val="24"/>
                <w:szCs w:val="24"/>
              </w:rPr>
              <w:t>过去三个月</w:t>
            </w:r>
          </w:p>
        </w:tc>
        <w:tc>
          <w:tcPr>
            <w:tcW w:w="1045" w:type="dxa"/>
            <w:vAlign w:val="center"/>
          </w:tcPr>
          <w:p w14:paraId="108AC91B" w14:textId="77777777" w:rsidR="00362270" w:rsidRDefault="00767625">
            <w:pPr>
              <w:jc w:val="center"/>
            </w:pPr>
            <w:r>
              <w:rPr>
                <w:color w:val="000000"/>
                <w:sz w:val="24"/>
                <w:szCs w:val="24"/>
              </w:rPr>
              <w:t>-0.81%</w:t>
            </w:r>
          </w:p>
        </w:tc>
        <w:tc>
          <w:tcPr>
            <w:tcW w:w="1344" w:type="dxa"/>
            <w:vAlign w:val="center"/>
          </w:tcPr>
          <w:p w14:paraId="3751C69C" w14:textId="77777777" w:rsidR="00362270" w:rsidRDefault="00767625">
            <w:pPr>
              <w:jc w:val="center"/>
            </w:pPr>
            <w:r>
              <w:rPr>
                <w:color w:val="000000"/>
                <w:sz w:val="24"/>
                <w:szCs w:val="24"/>
              </w:rPr>
              <w:t>0.10%</w:t>
            </w:r>
          </w:p>
        </w:tc>
        <w:tc>
          <w:tcPr>
            <w:tcW w:w="1194" w:type="dxa"/>
            <w:vAlign w:val="center"/>
          </w:tcPr>
          <w:p w14:paraId="573D122E" w14:textId="77777777" w:rsidR="00362270" w:rsidRDefault="00767625">
            <w:pPr>
              <w:jc w:val="center"/>
            </w:pPr>
            <w:r>
              <w:rPr>
                <w:color w:val="000000"/>
                <w:sz w:val="24"/>
                <w:szCs w:val="24"/>
              </w:rPr>
              <w:t>0.70%</w:t>
            </w:r>
          </w:p>
        </w:tc>
        <w:tc>
          <w:tcPr>
            <w:tcW w:w="1492" w:type="dxa"/>
            <w:vAlign w:val="center"/>
          </w:tcPr>
          <w:p w14:paraId="5CEF61CD" w14:textId="77777777" w:rsidR="00362270" w:rsidRDefault="00767625">
            <w:pPr>
              <w:jc w:val="center"/>
            </w:pPr>
            <w:r>
              <w:rPr>
                <w:color w:val="000000"/>
                <w:sz w:val="24"/>
                <w:szCs w:val="24"/>
              </w:rPr>
              <w:t>0.01%</w:t>
            </w:r>
          </w:p>
        </w:tc>
        <w:tc>
          <w:tcPr>
            <w:tcW w:w="1194" w:type="dxa"/>
            <w:vAlign w:val="center"/>
          </w:tcPr>
          <w:p w14:paraId="6687CF4F" w14:textId="77777777" w:rsidR="00362270" w:rsidRDefault="00767625">
            <w:pPr>
              <w:jc w:val="center"/>
            </w:pPr>
            <w:r>
              <w:rPr>
                <w:color w:val="000000"/>
                <w:sz w:val="24"/>
                <w:szCs w:val="24"/>
              </w:rPr>
              <w:t>-1.51%</w:t>
            </w:r>
          </w:p>
        </w:tc>
        <w:tc>
          <w:tcPr>
            <w:tcW w:w="898" w:type="dxa"/>
            <w:vAlign w:val="center"/>
          </w:tcPr>
          <w:p w14:paraId="032901BD" w14:textId="77777777" w:rsidR="00362270" w:rsidRDefault="00767625">
            <w:pPr>
              <w:jc w:val="center"/>
            </w:pPr>
            <w:r>
              <w:rPr>
                <w:color w:val="000000"/>
                <w:sz w:val="24"/>
                <w:szCs w:val="24"/>
              </w:rPr>
              <w:t>0.09%</w:t>
            </w:r>
          </w:p>
        </w:tc>
      </w:tr>
    </w:tbl>
    <w:p w14:paraId="0FBAC82B"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B9DD604"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14:paraId="41281A5D" w14:textId="77777777"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14:paraId="3A88437E" w14:textId="77777777"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18920D38" w14:textId="77777777"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3611EC05" w14:textId="77777777"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70199A73" wp14:editId="214717E1">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68984B03"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71F6194E" w14:textId="77777777" w:rsidR="00693843" w:rsidRPr="00414345" w:rsidRDefault="00693843" w:rsidP="00C15CAC">
      <w:pPr>
        <w:tabs>
          <w:tab w:val="left" w:pos="1800"/>
        </w:tabs>
        <w:spacing w:before="29" w:line="288" w:lineRule="auto"/>
        <w:rPr>
          <w:color w:val="000000"/>
          <w:sz w:val="24"/>
          <w:szCs w:val="24"/>
        </w:rPr>
      </w:pPr>
    </w:p>
    <w:p w14:paraId="0935AB18"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6AF15E9B" w14:textId="77777777"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14:paraId="151CB4EC" w14:textId="77777777" w:rsidTr="00024823">
        <w:trPr>
          <w:trHeight w:val="292"/>
          <w:jc w:val="center"/>
        </w:trPr>
        <w:tc>
          <w:tcPr>
            <w:tcW w:w="846" w:type="dxa"/>
            <w:vMerge w:val="restart"/>
            <w:vAlign w:val="center"/>
          </w:tcPr>
          <w:p w14:paraId="48C74490"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45" w:type="dxa"/>
            <w:vMerge w:val="restart"/>
            <w:vAlign w:val="center"/>
          </w:tcPr>
          <w:p w14:paraId="1F9E23A7"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097" w:type="dxa"/>
            <w:gridSpan w:val="2"/>
            <w:vAlign w:val="center"/>
          </w:tcPr>
          <w:p w14:paraId="10CA8142"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07" w:type="dxa"/>
            <w:vMerge w:val="restart"/>
            <w:vAlign w:val="center"/>
          </w:tcPr>
          <w:p w14:paraId="43CD6E4F"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73" w:type="dxa"/>
            <w:vMerge w:val="restart"/>
            <w:vAlign w:val="center"/>
          </w:tcPr>
          <w:p w14:paraId="3B0DA26B"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14:paraId="646FFC39" w14:textId="77777777" w:rsidTr="00024823">
        <w:trPr>
          <w:jc w:val="center"/>
        </w:trPr>
        <w:tc>
          <w:tcPr>
            <w:tcW w:w="846" w:type="dxa"/>
            <w:vMerge/>
            <w:vAlign w:val="center"/>
          </w:tcPr>
          <w:p w14:paraId="0955713E" w14:textId="77777777" w:rsidR="004061AC" w:rsidRPr="00414345" w:rsidRDefault="004061AC" w:rsidP="00C15CAC">
            <w:pPr>
              <w:widowControl/>
              <w:spacing w:before="29" w:line="288" w:lineRule="auto"/>
              <w:jc w:val="left"/>
              <w:rPr>
                <w:color w:val="000000"/>
                <w:kern w:val="0"/>
                <w:sz w:val="24"/>
                <w:szCs w:val="24"/>
              </w:rPr>
            </w:pPr>
          </w:p>
        </w:tc>
        <w:tc>
          <w:tcPr>
            <w:tcW w:w="845" w:type="dxa"/>
            <w:vMerge/>
            <w:vAlign w:val="center"/>
          </w:tcPr>
          <w:p w14:paraId="2DE61125" w14:textId="77777777" w:rsidR="004061AC" w:rsidRPr="00414345" w:rsidRDefault="004061AC" w:rsidP="00C15CAC">
            <w:pPr>
              <w:widowControl/>
              <w:spacing w:before="29" w:line="288" w:lineRule="auto"/>
              <w:jc w:val="left"/>
              <w:rPr>
                <w:color w:val="000000"/>
                <w:kern w:val="0"/>
                <w:sz w:val="24"/>
                <w:szCs w:val="24"/>
              </w:rPr>
            </w:pPr>
          </w:p>
        </w:tc>
        <w:tc>
          <w:tcPr>
            <w:tcW w:w="1549" w:type="dxa"/>
            <w:vAlign w:val="center"/>
          </w:tcPr>
          <w:p w14:paraId="6E2C8611"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48" w:type="dxa"/>
            <w:vAlign w:val="center"/>
          </w:tcPr>
          <w:p w14:paraId="3D201AE9"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07" w:type="dxa"/>
            <w:vMerge/>
            <w:vAlign w:val="center"/>
          </w:tcPr>
          <w:p w14:paraId="13B5234E" w14:textId="77777777" w:rsidR="004061AC" w:rsidRPr="00414345" w:rsidRDefault="004061AC" w:rsidP="00C15CAC">
            <w:pPr>
              <w:widowControl/>
              <w:spacing w:before="29" w:line="288" w:lineRule="auto"/>
              <w:jc w:val="left"/>
              <w:rPr>
                <w:color w:val="000000"/>
                <w:kern w:val="0"/>
                <w:sz w:val="24"/>
                <w:szCs w:val="24"/>
              </w:rPr>
            </w:pPr>
          </w:p>
        </w:tc>
        <w:tc>
          <w:tcPr>
            <w:tcW w:w="2673" w:type="dxa"/>
            <w:vMerge/>
            <w:vAlign w:val="center"/>
          </w:tcPr>
          <w:p w14:paraId="271825D4" w14:textId="77777777" w:rsidR="004061AC" w:rsidRPr="00414345" w:rsidRDefault="004061AC" w:rsidP="00C15CAC">
            <w:pPr>
              <w:widowControl/>
              <w:spacing w:before="29" w:line="288" w:lineRule="auto"/>
              <w:jc w:val="left"/>
              <w:rPr>
                <w:color w:val="000000"/>
                <w:kern w:val="0"/>
                <w:sz w:val="24"/>
                <w:szCs w:val="24"/>
              </w:rPr>
            </w:pPr>
          </w:p>
        </w:tc>
      </w:tr>
      <w:tr w:rsidR="00362270" w14:paraId="5A7B1597" w14:textId="77777777">
        <w:trPr>
          <w:jc w:val="center"/>
        </w:trPr>
        <w:tc>
          <w:tcPr>
            <w:tcW w:w="846" w:type="dxa"/>
            <w:vAlign w:val="center"/>
          </w:tcPr>
          <w:p w14:paraId="372BF81D" w14:textId="77777777" w:rsidR="00362270" w:rsidRDefault="00767625">
            <w:pPr>
              <w:jc w:val="center"/>
            </w:pPr>
            <w:r>
              <w:rPr>
                <w:color w:val="000000"/>
                <w:sz w:val="24"/>
                <w:szCs w:val="24"/>
              </w:rPr>
              <w:t>孙超</w:t>
            </w:r>
          </w:p>
        </w:tc>
        <w:tc>
          <w:tcPr>
            <w:tcW w:w="845" w:type="dxa"/>
            <w:vAlign w:val="center"/>
          </w:tcPr>
          <w:p w14:paraId="2CDA4F79" w14:textId="77777777" w:rsidR="00362270" w:rsidRDefault="00767625">
            <w:pPr>
              <w:jc w:val="center"/>
            </w:pPr>
            <w:r>
              <w:rPr>
                <w:color w:val="000000"/>
                <w:sz w:val="24"/>
                <w:szCs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549" w:type="dxa"/>
            <w:vAlign w:val="center"/>
          </w:tcPr>
          <w:p w14:paraId="4E278DC1" w14:textId="77777777" w:rsidR="00362270" w:rsidRDefault="00767625">
            <w:pPr>
              <w:jc w:val="center"/>
            </w:pPr>
            <w:r>
              <w:rPr>
                <w:color w:val="000000"/>
                <w:sz w:val="24"/>
                <w:szCs w:val="24"/>
              </w:rPr>
              <w:t>2015-11-07</w:t>
            </w:r>
          </w:p>
        </w:tc>
        <w:tc>
          <w:tcPr>
            <w:tcW w:w="1548" w:type="dxa"/>
            <w:vAlign w:val="center"/>
          </w:tcPr>
          <w:p w14:paraId="5E75F2D0" w14:textId="77777777" w:rsidR="00362270" w:rsidRDefault="00767625">
            <w:pPr>
              <w:jc w:val="center"/>
            </w:pPr>
            <w:r>
              <w:rPr>
                <w:color w:val="000000"/>
                <w:sz w:val="24"/>
                <w:szCs w:val="24"/>
              </w:rPr>
              <w:t>-</w:t>
            </w:r>
          </w:p>
        </w:tc>
        <w:tc>
          <w:tcPr>
            <w:tcW w:w="1407" w:type="dxa"/>
            <w:vAlign w:val="center"/>
          </w:tcPr>
          <w:p w14:paraId="6DF0FD43" w14:textId="77777777" w:rsidR="00362270" w:rsidRDefault="00767625">
            <w:pPr>
              <w:jc w:val="center"/>
            </w:pPr>
            <w:r>
              <w:rPr>
                <w:color w:val="000000"/>
                <w:sz w:val="24"/>
                <w:szCs w:val="24"/>
              </w:rPr>
              <w:t>5</w:t>
            </w:r>
            <w:r>
              <w:rPr>
                <w:color w:val="000000"/>
                <w:sz w:val="24"/>
                <w:szCs w:val="24"/>
              </w:rPr>
              <w:t>年</w:t>
            </w:r>
          </w:p>
        </w:tc>
        <w:tc>
          <w:tcPr>
            <w:tcW w:w="2673" w:type="dxa"/>
            <w:vAlign w:val="center"/>
          </w:tcPr>
          <w:p w14:paraId="5130DC2A" w14:textId="77777777" w:rsidR="00362270" w:rsidRDefault="00767625">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p>
        </w:tc>
      </w:tr>
      <w:tr w:rsidR="00024823" w14:paraId="7C661830" w14:textId="77777777">
        <w:trPr>
          <w:jc w:val="center"/>
        </w:trPr>
        <w:tc>
          <w:tcPr>
            <w:tcW w:w="846" w:type="dxa"/>
            <w:vAlign w:val="center"/>
          </w:tcPr>
          <w:p w14:paraId="4B4E1A3F" w14:textId="38EB7EE7" w:rsidR="00024823" w:rsidRDefault="00024823" w:rsidP="00024823">
            <w:pPr>
              <w:jc w:val="center"/>
              <w:rPr>
                <w:color w:val="000000"/>
                <w:sz w:val="24"/>
                <w:szCs w:val="24"/>
              </w:rPr>
            </w:pPr>
            <w:r w:rsidRPr="00024823">
              <w:rPr>
                <w:rFonts w:hint="eastAsia"/>
                <w:color w:val="000000"/>
                <w:sz w:val="24"/>
                <w:szCs w:val="24"/>
              </w:rPr>
              <w:t>章妍</w:t>
            </w:r>
          </w:p>
        </w:tc>
        <w:tc>
          <w:tcPr>
            <w:tcW w:w="845" w:type="dxa"/>
            <w:vAlign w:val="center"/>
          </w:tcPr>
          <w:p w14:paraId="0E51B23D" w14:textId="3D70240F" w:rsidR="00024823" w:rsidRDefault="00024823" w:rsidP="00024823">
            <w:pPr>
              <w:jc w:val="center"/>
              <w:rPr>
                <w:color w:val="000000"/>
                <w:sz w:val="24"/>
                <w:szCs w:val="24"/>
              </w:rPr>
            </w:pPr>
            <w:r w:rsidRPr="00024823">
              <w:rPr>
                <w:rFonts w:hint="eastAsia"/>
                <w:color w:val="000000"/>
                <w:sz w:val="24"/>
                <w:szCs w:val="24"/>
              </w:rPr>
              <w:t>交银荣祥保本混合、交银荣泰保本混合、交银裕通纯债债券的基金经理</w:t>
            </w:r>
          </w:p>
        </w:tc>
        <w:tc>
          <w:tcPr>
            <w:tcW w:w="1549" w:type="dxa"/>
            <w:vAlign w:val="center"/>
          </w:tcPr>
          <w:p w14:paraId="6F2F8F58" w14:textId="12241983" w:rsidR="00024823" w:rsidRDefault="00024823" w:rsidP="00024823">
            <w:pPr>
              <w:jc w:val="center"/>
              <w:rPr>
                <w:color w:val="000000"/>
                <w:sz w:val="24"/>
                <w:szCs w:val="24"/>
              </w:rPr>
            </w:pPr>
            <w:r>
              <w:rPr>
                <w:color w:val="000000"/>
                <w:sz w:val="24"/>
                <w:szCs w:val="24"/>
              </w:rPr>
              <w:t>2016-06-</w:t>
            </w:r>
            <w:r w:rsidRPr="00024823">
              <w:rPr>
                <w:color w:val="000000"/>
                <w:sz w:val="24"/>
                <w:szCs w:val="24"/>
              </w:rPr>
              <w:t>20</w:t>
            </w:r>
          </w:p>
        </w:tc>
        <w:tc>
          <w:tcPr>
            <w:tcW w:w="1548" w:type="dxa"/>
            <w:vAlign w:val="center"/>
          </w:tcPr>
          <w:p w14:paraId="0E9B2439" w14:textId="0DF363B3" w:rsidR="00024823" w:rsidRDefault="00024823" w:rsidP="00024823">
            <w:pPr>
              <w:jc w:val="center"/>
              <w:rPr>
                <w:color w:val="000000"/>
                <w:sz w:val="24"/>
                <w:szCs w:val="24"/>
              </w:rPr>
            </w:pPr>
            <w:r w:rsidRPr="00024823">
              <w:rPr>
                <w:color w:val="000000"/>
                <w:sz w:val="24"/>
                <w:szCs w:val="24"/>
              </w:rPr>
              <w:t>-</w:t>
            </w:r>
          </w:p>
        </w:tc>
        <w:tc>
          <w:tcPr>
            <w:tcW w:w="1407" w:type="dxa"/>
            <w:vAlign w:val="center"/>
          </w:tcPr>
          <w:p w14:paraId="70C95EEB" w14:textId="6677F4B2" w:rsidR="00024823" w:rsidRDefault="00024823" w:rsidP="00024823">
            <w:pPr>
              <w:jc w:val="center"/>
              <w:rPr>
                <w:color w:val="000000"/>
                <w:sz w:val="24"/>
                <w:szCs w:val="24"/>
              </w:rPr>
            </w:pPr>
            <w:r w:rsidRPr="00024823">
              <w:rPr>
                <w:color w:val="000000"/>
                <w:sz w:val="24"/>
                <w:szCs w:val="24"/>
              </w:rPr>
              <w:t>1</w:t>
            </w:r>
            <w:r>
              <w:rPr>
                <w:rFonts w:hint="eastAsia"/>
                <w:color w:val="000000"/>
                <w:sz w:val="24"/>
                <w:szCs w:val="24"/>
              </w:rPr>
              <w:t>年</w:t>
            </w:r>
          </w:p>
        </w:tc>
        <w:tc>
          <w:tcPr>
            <w:tcW w:w="2673" w:type="dxa"/>
            <w:vAlign w:val="center"/>
          </w:tcPr>
          <w:p w14:paraId="784B50C2" w14:textId="598F3884" w:rsidR="00024823" w:rsidRDefault="00024823" w:rsidP="00024823">
            <w:pPr>
              <w:rPr>
                <w:color w:val="000000"/>
                <w:sz w:val="24"/>
                <w:szCs w:val="24"/>
              </w:rPr>
            </w:pPr>
            <w:r w:rsidRPr="00024823">
              <w:rPr>
                <w:rFonts w:hint="eastAsia"/>
                <w:color w:val="000000"/>
                <w:sz w:val="24"/>
                <w:szCs w:val="24"/>
              </w:rPr>
              <w:t>章妍女士，复旦大学金融学硕士、中央财经大学统计学学士。</w:t>
            </w:r>
            <w:r w:rsidRPr="00024823">
              <w:rPr>
                <w:color w:val="000000"/>
                <w:sz w:val="24"/>
                <w:szCs w:val="24"/>
              </w:rPr>
              <w:t>9</w:t>
            </w:r>
            <w:r w:rsidRPr="00024823">
              <w:rPr>
                <w:rFonts w:hint="eastAsia"/>
                <w:color w:val="000000"/>
                <w:sz w:val="24"/>
                <w:szCs w:val="24"/>
              </w:rPr>
              <w:t>年金融行业证券投资工作经验，历任太平洋资产管理有限公司高级投资经理、资深投资经理。</w:t>
            </w:r>
            <w:r w:rsidRPr="00024823">
              <w:rPr>
                <w:color w:val="000000"/>
                <w:sz w:val="24"/>
                <w:szCs w:val="24"/>
              </w:rPr>
              <w:t>2015</w:t>
            </w:r>
            <w:r w:rsidRPr="00024823">
              <w:rPr>
                <w:rFonts w:hint="eastAsia"/>
                <w:color w:val="000000"/>
                <w:sz w:val="24"/>
                <w:szCs w:val="24"/>
              </w:rPr>
              <w:t>年加入交银施罗德基金管理有限公司。</w:t>
            </w:r>
          </w:p>
        </w:tc>
      </w:tr>
    </w:tbl>
    <w:p w14:paraId="3EF835FF"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14:paraId="533C3FF1"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96DE54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1800CD40" w14:textId="77777777" w:rsidR="00362270" w:rsidRDefault="00767625">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71CED388"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14:paraId="26960CF5"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57BD2EA"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5A5758E3"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14:paraId="63F9DC4C" w14:textId="77777777" w:rsidR="00362270" w:rsidRDefault="0076762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14:paraId="038535AA" w14:textId="77777777" w:rsidR="00362270" w:rsidRDefault="0076762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14:paraId="28687D5F" w14:textId="77777777" w:rsidR="00362270" w:rsidRDefault="0076762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B9E6B58"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14:paraId="1788F3E6"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14:paraId="7C018BBA" w14:textId="77777777"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14:paraId="625A6238" w14:textId="77777777" w:rsidR="004061AC" w:rsidRPr="00414345" w:rsidRDefault="004061AC" w:rsidP="00C15CAC">
      <w:pPr>
        <w:spacing w:before="29" w:line="288" w:lineRule="auto"/>
        <w:ind w:firstLineChars="200" w:firstLine="480"/>
        <w:rPr>
          <w:color w:val="000000"/>
          <w:sz w:val="24"/>
          <w:szCs w:val="24"/>
        </w:rPr>
      </w:pPr>
    </w:p>
    <w:p w14:paraId="4076DDBA" w14:textId="77777777"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14:paraId="2B250B2D" w14:textId="77777777" w:rsidR="00362270" w:rsidRDefault="00767625">
      <w:pPr>
        <w:spacing w:before="29" w:line="288" w:lineRule="auto"/>
        <w:ind w:firstLineChars="200" w:firstLine="480"/>
        <w:rPr>
          <w:color w:val="000000"/>
          <w:sz w:val="24"/>
          <w:szCs w:val="24"/>
        </w:rPr>
      </w:pPr>
      <w:r>
        <w:rPr>
          <w:color w:val="000000"/>
          <w:sz w:val="24"/>
          <w:szCs w:val="24"/>
        </w:rPr>
        <w:t>2016</w:t>
      </w:r>
      <w:r>
        <w:rPr>
          <w:color w:val="000000"/>
          <w:sz w:val="24"/>
          <w:szCs w:val="24"/>
        </w:rPr>
        <w:t>年上半年国内经济经历了一季度由地产带动的强劲反弹后，二季度进入温和复苏加财政托底阶段。二季度受经济基本面乐观情绪及诸多不利因素影响，收益率一路震荡上行，尤其是</w:t>
      </w:r>
      <w:r>
        <w:rPr>
          <w:color w:val="000000"/>
          <w:sz w:val="24"/>
          <w:szCs w:val="24"/>
        </w:rPr>
        <w:t>4</w:t>
      </w:r>
      <w:r>
        <w:rPr>
          <w:color w:val="000000"/>
          <w:sz w:val="24"/>
          <w:szCs w:val="24"/>
        </w:rPr>
        <w:t>月份，债券市场跌势惨重。后由于权威人士讲话，对经济形势并不乐观，债券市场获得喘息机会，重回上行轨道。</w:t>
      </w:r>
      <w:r>
        <w:rPr>
          <w:color w:val="000000"/>
          <w:sz w:val="24"/>
          <w:szCs w:val="24"/>
        </w:rPr>
        <w:t xml:space="preserve"> 6</w:t>
      </w:r>
      <w:r>
        <w:rPr>
          <w:color w:val="000000"/>
          <w:sz w:val="24"/>
          <w:szCs w:val="24"/>
        </w:rPr>
        <w:t>月份受英国脱欧的黑天鹅事件冲击，全球避险资产大涨，国内债券也有较大涨幅。长期来看，经济基本面对债市的支撑基础仍在。</w:t>
      </w:r>
    </w:p>
    <w:p w14:paraId="472A98AF" w14:textId="77777777" w:rsidR="00362270" w:rsidRDefault="00767625">
      <w:pPr>
        <w:spacing w:before="29" w:line="288" w:lineRule="auto"/>
        <w:ind w:firstLineChars="200" w:firstLine="480"/>
        <w:rPr>
          <w:color w:val="000000"/>
          <w:sz w:val="24"/>
          <w:szCs w:val="24"/>
        </w:rPr>
      </w:pPr>
      <w:r>
        <w:rPr>
          <w:color w:val="000000"/>
          <w:sz w:val="24"/>
          <w:szCs w:val="24"/>
        </w:rPr>
        <w:t>股市</w:t>
      </w:r>
      <w:r>
        <w:rPr>
          <w:color w:val="000000"/>
          <w:sz w:val="24"/>
          <w:szCs w:val="24"/>
        </w:rPr>
        <w:t>2016</w:t>
      </w:r>
      <w:r>
        <w:rPr>
          <w:color w:val="000000"/>
          <w:sz w:val="24"/>
          <w:szCs w:val="24"/>
        </w:rPr>
        <w:t>年上半年则呈现猛烈下跌后不断震荡磨地的过程，</w:t>
      </w:r>
      <w:r>
        <w:rPr>
          <w:color w:val="000000"/>
          <w:sz w:val="24"/>
          <w:szCs w:val="24"/>
        </w:rPr>
        <w:t>4</w:t>
      </w:r>
      <w:r>
        <w:rPr>
          <w:color w:val="000000"/>
          <w:sz w:val="24"/>
          <w:szCs w:val="24"/>
        </w:rPr>
        <w:t>月份、</w:t>
      </w:r>
      <w:r>
        <w:rPr>
          <w:color w:val="000000"/>
          <w:sz w:val="24"/>
          <w:szCs w:val="24"/>
        </w:rPr>
        <w:t>5</w:t>
      </w:r>
      <w:r>
        <w:rPr>
          <w:color w:val="000000"/>
          <w:sz w:val="24"/>
          <w:szCs w:val="24"/>
        </w:rPr>
        <w:t>月份继</w:t>
      </w:r>
      <w:r>
        <w:rPr>
          <w:color w:val="000000"/>
          <w:sz w:val="24"/>
          <w:szCs w:val="24"/>
        </w:rPr>
        <w:t>2</w:t>
      </w:r>
      <w:r>
        <w:rPr>
          <w:color w:val="000000"/>
          <w:sz w:val="24"/>
          <w:szCs w:val="24"/>
        </w:rPr>
        <w:t>月份、</w:t>
      </w:r>
      <w:r>
        <w:rPr>
          <w:color w:val="000000"/>
          <w:sz w:val="24"/>
          <w:szCs w:val="24"/>
        </w:rPr>
        <w:t>3</w:t>
      </w:r>
      <w:r>
        <w:rPr>
          <w:color w:val="000000"/>
          <w:sz w:val="24"/>
          <w:szCs w:val="24"/>
        </w:rPr>
        <w:t>月份的超跌反弹行情后总体呈现震荡下跌格局，</w:t>
      </w:r>
      <w:r>
        <w:rPr>
          <w:color w:val="000000"/>
          <w:sz w:val="24"/>
          <w:szCs w:val="24"/>
        </w:rPr>
        <w:t>6</w:t>
      </w:r>
      <w:r>
        <w:rPr>
          <w:color w:val="000000"/>
          <w:sz w:val="24"/>
          <w:szCs w:val="24"/>
        </w:rPr>
        <w:t>月份市场经受诸多不利消息影响，基本保持平稳。展望</w:t>
      </w:r>
      <w:r>
        <w:rPr>
          <w:color w:val="000000"/>
          <w:sz w:val="24"/>
          <w:szCs w:val="24"/>
        </w:rPr>
        <w:t>2016</w:t>
      </w:r>
      <w:r>
        <w:rPr>
          <w:color w:val="000000"/>
          <w:sz w:val="24"/>
          <w:szCs w:val="24"/>
        </w:rPr>
        <w:t>年下半年，基本面、情绪和流动性层面还很难形成合力，中期趋势仍不明朗。</w:t>
      </w:r>
    </w:p>
    <w:p w14:paraId="48305B86"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2016</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26</w:t>
      </w:r>
      <w:r w:rsidRPr="00414345">
        <w:rPr>
          <w:color w:val="000000"/>
          <w:sz w:val="24"/>
          <w:szCs w:val="24"/>
        </w:rPr>
        <w:t>日进入第二个保本周期，在第二个保本周期初期，以累积安全垫为首要目标，以固定收益为主要配置资产，审慎参与股票投资。展望</w:t>
      </w:r>
      <w:r w:rsidRPr="00414345">
        <w:rPr>
          <w:color w:val="000000"/>
          <w:sz w:val="24"/>
          <w:szCs w:val="24"/>
        </w:rPr>
        <w:t>2016</w:t>
      </w:r>
      <w:r w:rsidRPr="00414345">
        <w:rPr>
          <w:color w:val="000000"/>
          <w:sz w:val="24"/>
          <w:szCs w:val="24"/>
        </w:rPr>
        <w:t>年三季度，本基金仍将重点参与固定收益资产，适当参与股票投资。</w:t>
      </w:r>
    </w:p>
    <w:p w14:paraId="0233F761" w14:textId="77777777" w:rsidR="00627E2D" w:rsidRPr="00414345" w:rsidRDefault="00627E2D" w:rsidP="00C15CAC">
      <w:pPr>
        <w:spacing w:before="29" w:line="288" w:lineRule="auto"/>
        <w:ind w:firstLineChars="200" w:firstLine="480"/>
        <w:rPr>
          <w:color w:val="000000"/>
          <w:sz w:val="24"/>
          <w:szCs w:val="24"/>
        </w:rPr>
      </w:pPr>
    </w:p>
    <w:p w14:paraId="1EA5F398" w14:textId="77777777"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5F7EE044"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1.001</w:t>
      </w:r>
      <w:r w:rsidRPr="00414345">
        <w:rPr>
          <w:color w:val="000000"/>
          <w:sz w:val="24"/>
          <w:szCs w:val="24"/>
        </w:rPr>
        <w:t>元，本报告期份额净值增长率为</w:t>
      </w:r>
      <w:r w:rsidRPr="00414345">
        <w:rPr>
          <w:color w:val="000000"/>
          <w:sz w:val="24"/>
          <w:szCs w:val="24"/>
        </w:rPr>
        <w:t>-0.81%</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14:paraId="216E7D93" w14:textId="77777777" w:rsidR="009C5186" w:rsidRPr="00414345" w:rsidRDefault="009C5186" w:rsidP="00C15CAC">
      <w:pPr>
        <w:spacing w:before="29" w:line="288" w:lineRule="auto"/>
        <w:ind w:firstLineChars="200" w:firstLine="480"/>
        <w:rPr>
          <w:color w:val="000000"/>
          <w:sz w:val="24"/>
          <w:szCs w:val="24"/>
        </w:rPr>
      </w:pPr>
    </w:p>
    <w:p w14:paraId="26D44752" w14:textId="2AA50889"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6A1FCB">
        <w:rPr>
          <w:b/>
          <w:color w:val="000000"/>
          <w:kern w:val="0"/>
          <w:sz w:val="24"/>
        </w:rPr>
        <w:t xml:space="preserve"> </w:t>
      </w:r>
      <w:bookmarkStart w:id="0" w:name="_GoBack"/>
      <w:bookmarkEnd w:id="0"/>
      <w:r w:rsidRPr="002070B4">
        <w:rPr>
          <w:rFonts w:hint="eastAsia"/>
          <w:b/>
          <w:color w:val="000000"/>
          <w:kern w:val="0"/>
          <w:sz w:val="24"/>
        </w:rPr>
        <w:t>报告期内基金持有人数或基金资产净值预警说明</w:t>
      </w:r>
    </w:p>
    <w:p w14:paraId="38C0E33D" w14:textId="77777777"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14:paraId="5ADA7BD1"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14:paraId="0ACCE6E8"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14:paraId="01DF2D32" w14:textId="77777777" w:rsidTr="007D100C">
        <w:trPr>
          <w:jc w:val="center"/>
        </w:trPr>
        <w:tc>
          <w:tcPr>
            <w:tcW w:w="718" w:type="dxa"/>
            <w:vAlign w:val="center"/>
          </w:tcPr>
          <w:p w14:paraId="71C30DEC"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62FA070D"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2CED625A"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14:paraId="29E2EE5D"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14:paraId="16B00D95" w14:textId="77777777" w:rsidTr="007D100C">
        <w:trPr>
          <w:jc w:val="center"/>
        </w:trPr>
        <w:tc>
          <w:tcPr>
            <w:tcW w:w="718" w:type="dxa"/>
            <w:vAlign w:val="center"/>
          </w:tcPr>
          <w:p w14:paraId="69D58E9C"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40CCE066" w14:textId="77777777"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0EC97EDA" w14:textId="77777777" w:rsidR="00853140" w:rsidRPr="00414345" w:rsidRDefault="00C77AEF" w:rsidP="00C15CAC">
            <w:pPr>
              <w:spacing w:before="29" w:line="288" w:lineRule="auto"/>
              <w:ind w:left="17"/>
              <w:jc w:val="right"/>
              <w:rPr>
                <w:color w:val="000000"/>
                <w:sz w:val="24"/>
                <w:szCs w:val="24"/>
              </w:rPr>
            </w:pPr>
            <w:r w:rsidRPr="00414345">
              <w:rPr>
                <w:color w:val="000000"/>
                <w:sz w:val="24"/>
                <w:szCs w:val="24"/>
              </w:rPr>
              <w:t>3,228,421.70</w:t>
            </w:r>
          </w:p>
        </w:tc>
        <w:tc>
          <w:tcPr>
            <w:tcW w:w="1837" w:type="dxa"/>
            <w:vAlign w:val="center"/>
          </w:tcPr>
          <w:p w14:paraId="631423D8"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0.29</w:t>
            </w:r>
          </w:p>
        </w:tc>
      </w:tr>
      <w:tr w:rsidR="00C91E1B" w:rsidRPr="00414345" w14:paraId="7854853B" w14:textId="77777777" w:rsidTr="007D100C">
        <w:trPr>
          <w:jc w:val="center"/>
        </w:trPr>
        <w:tc>
          <w:tcPr>
            <w:tcW w:w="718" w:type="dxa"/>
            <w:vAlign w:val="center"/>
          </w:tcPr>
          <w:p w14:paraId="7B05C71F"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27B4E0BB"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611E3222"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3,228,421.70</w:t>
            </w:r>
          </w:p>
        </w:tc>
        <w:tc>
          <w:tcPr>
            <w:tcW w:w="1837" w:type="dxa"/>
            <w:vAlign w:val="center"/>
          </w:tcPr>
          <w:p w14:paraId="5E763823"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0.29</w:t>
            </w:r>
          </w:p>
        </w:tc>
      </w:tr>
      <w:tr w:rsidR="00C91E1B" w:rsidRPr="00414345" w14:paraId="698D330C" w14:textId="77777777" w:rsidTr="007D100C">
        <w:trPr>
          <w:jc w:val="center"/>
        </w:trPr>
        <w:tc>
          <w:tcPr>
            <w:tcW w:w="718" w:type="dxa"/>
            <w:vAlign w:val="center"/>
          </w:tcPr>
          <w:p w14:paraId="5D882590"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4B15EC57" w14:textId="77777777"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23189615"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734,899,000.00</w:t>
            </w:r>
          </w:p>
        </w:tc>
        <w:tc>
          <w:tcPr>
            <w:tcW w:w="1837" w:type="dxa"/>
            <w:vAlign w:val="center"/>
          </w:tcPr>
          <w:p w14:paraId="01425A41"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65.21</w:t>
            </w:r>
          </w:p>
        </w:tc>
      </w:tr>
      <w:tr w:rsidR="00C91E1B" w:rsidRPr="00414345" w14:paraId="211DEF65" w14:textId="77777777" w:rsidTr="007D100C">
        <w:trPr>
          <w:jc w:val="center"/>
        </w:trPr>
        <w:tc>
          <w:tcPr>
            <w:tcW w:w="718" w:type="dxa"/>
            <w:vAlign w:val="center"/>
          </w:tcPr>
          <w:p w14:paraId="68EC3F7B"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4A4C3B1B"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69846A73"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734,899,000.00</w:t>
            </w:r>
          </w:p>
        </w:tc>
        <w:tc>
          <w:tcPr>
            <w:tcW w:w="1837" w:type="dxa"/>
            <w:vAlign w:val="center"/>
          </w:tcPr>
          <w:p w14:paraId="17F4B058"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65.21</w:t>
            </w:r>
          </w:p>
        </w:tc>
      </w:tr>
      <w:tr w:rsidR="00C91E1B" w:rsidRPr="00414345" w14:paraId="13BBE9A6" w14:textId="77777777" w:rsidTr="007D100C">
        <w:trPr>
          <w:jc w:val="center"/>
        </w:trPr>
        <w:tc>
          <w:tcPr>
            <w:tcW w:w="718" w:type="dxa"/>
            <w:vAlign w:val="center"/>
          </w:tcPr>
          <w:p w14:paraId="1475BDDA"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0401049A" w14:textId="77777777"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361A4876"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295A9968"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6914E9E2" w14:textId="77777777" w:rsidTr="007D100C">
        <w:trPr>
          <w:jc w:val="center"/>
        </w:trPr>
        <w:tc>
          <w:tcPr>
            <w:tcW w:w="718" w:type="dxa"/>
            <w:vAlign w:val="center"/>
          </w:tcPr>
          <w:p w14:paraId="2AFF47FE"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1E79A814" w14:textId="77777777"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3C31C1B6" w14:textId="77777777"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5BE130AB" w14:textId="77777777"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14:paraId="3456F2D7" w14:textId="77777777" w:rsidTr="007D100C">
        <w:trPr>
          <w:jc w:val="center"/>
        </w:trPr>
        <w:tc>
          <w:tcPr>
            <w:tcW w:w="718" w:type="dxa"/>
            <w:vAlign w:val="center"/>
          </w:tcPr>
          <w:p w14:paraId="625D742B"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363E7322" w14:textId="77777777"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14D3AD34"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17A8732B"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6D2880BB" w14:textId="77777777" w:rsidTr="007D100C">
        <w:trPr>
          <w:jc w:val="center"/>
        </w:trPr>
        <w:tc>
          <w:tcPr>
            <w:tcW w:w="718" w:type="dxa"/>
            <w:vAlign w:val="center"/>
          </w:tcPr>
          <w:p w14:paraId="06AF011E"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02CA9BAB" w14:textId="77777777"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31C29257"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280,001,260.00</w:t>
            </w:r>
          </w:p>
        </w:tc>
        <w:tc>
          <w:tcPr>
            <w:tcW w:w="1837" w:type="dxa"/>
            <w:vAlign w:val="center"/>
          </w:tcPr>
          <w:p w14:paraId="1074D553"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24.85</w:t>
            </w:r>
          </w:p>
        </w:tc>
      </w:tr>
      <w:tr w:rsidR="007D100C" w:rsidRPr="00414345" w14:paraId="05860354" w14:textId="77777777" w:rsidTr="007D100C">
        <w:trPr>
          <w:jc w:val="center"/>
        </w:trPr>
        <w:tc>
          <w:tcPr>
            <w:tcW w:w="718" w:type="dxa"/>
            <w:vAlign w:val="center"/>
          </w:tcPr>
          <w:p w14:paraId="45DF6CE3" w14:textId="77777777" w:rsidR="007D100C" w:rsidRPr="00414345" w:rsidRDefault="007D100C" w:rsidP="00C15CAC">
            <w:pPr>
              <w:spacing w:before="29" w:line="288" w:lineRule="auto"/>
              <w:ind w:left="17"/>
              <w:jc w:val="center"/>
              <w:rPr>
                <w:color w:val="000000"/>
                <w:sz w:val="24"/>
                <w:szCs w:val="24"/>
              </w:rPr>
            </w:pPr>
          </w:p>
        </w:tc>
        <w:tc>
          <w:tcPr>
            <w:tcW w:w="3346" w:type="dxa"/>
            <w:vAlign w:val="center"/>
          </w:tcPr>
          <w:p w14:paraId="27610A1F" w14:textId="77777777"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50CE0FF1"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0C4671BC"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2AC2075D" w14:textId="77777777" w:rsidTr="007D100C">
        <w:trPr>
          <w:jc w:val="center"/>
        </w:trPr>
        <w:tc>
          <w:tcPr>
            <w:tcW w:w="718" w:type="dxa"/>
            <w:vAlign w:val="center"/>
          </w:tcPr>
          <w:p w14:paraId="013A72AE"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3A4E236D" w14:textId="77777777"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62B1D880"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107,182,653.35</w:t>
            </w:r>
          </w:p>
        </w:tc>
        <w:tc>
          <w:tcPr>
            <w:tcW w:w="1837" w:type="dxa"/>
            <w:vAlign w:val="center"/>
          </w:tcPr>
          <w:p w14:paraId="5BCB8BE0"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9.51</w:t>
            </w:r>
          </w:p>
        </w:tc>
      </w:tr>
      <w:tr w:rsidR="007D100C" w:rsidRPr="00414345" w14:paraId="63378C2E" w14:textId="77777777" w:rsidTr="007D100C">
        <w:trPr>
          <w:jc w:val="center"/>
        </w:trPr>
        <w:tc>
          <w:tcPr>
            <w:tcW w:w="718" w:type="dxa"/>
            <w:vAlign w:val="center"/>
          </w:tcPr>
          <w:p w14:paraId="70A13F58"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7507F486" w14:textId="77777777"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14:paraId="4D3CA5B3"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1,647,634.37</w:t>
            </w:r>
          </w:p>
        </w:tc>
        <w:tc>
          <w:tcPr>
            <w:tcW w:w="1837" w:type="dxa"/>
            <w:vAlign w:val="center"/>
          </w:tcPr>
          <w:p w14:paraId="2AADA8F5"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0.15</w:t>
            </w:r>
          </w:p>
        </w:tc>
      </w:tr>
      <w:tr w:rsidR="007D100C" w:rsidRPr="00414345" w14:paraId="7B60E9C8" w14:textId="77777777" w:rsidTr="007D100C">
        <w:trPr>
          <w:jc w:val="center"/>
        </w:trPr>
        <w:tc>
          <w:tcPr>
            <w:tcW w:w="718" w:type="dxa"/>
            <w:vAlign w:val="center"/>
          </w:tcPr>
          <w:p w14:paraId="65099DFF"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3CFF1EF2" w14:textId="77777777"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14:paraId="2253058E"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1,126,958,969.42</w:t>
            </w:r>
          </w:p>
        </w:tc>
        <w:tc>
          <w:tcPr>
            <w:tcW w:w="1837" w:type="dxa"/>
            <w:vAlign w:val="center"/>
          </w:tcPr>
          <w:p w14:paraId="6608D1AE"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14:paraId="4FF59B3C" w14:textId="77777777" w:rsidR="004061AC" w:rsidRPr="00414345" w:rsidRDefault="004061AC" w:rsidP="00C15CAC">
      <w:pPr>
        <w:autoSpaceDE w:val="0"/>
        <w:autoSpaceDN w:val="0"/>
        <w:adjustRightInd w:val="0"/>
        <w:spacing w:before="29" w:line="288" w:lineRule="auto"/>
        <w:jc w:val="left"/>
        <w:rPr>
          <w:color w:val="000000"/>
          <w:sz w:val="24"/>
          <w:szCs w:val="24"/>
        </w:rPr>
      </w:pPr>
    </w:p>
    <w:p w14:paraId="1C51371F" w14:textId="77777777"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14:paraId="72BC706F" w14:textId="77777777"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14:paraId="1EF4B059" w14:textId="77777777"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3239CD"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E04178"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3C63D3"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CE5736"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14:paraId="4E06C83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1E1861"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9A171C"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7546CB"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29A75E"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14:paraId="3CB4C3D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3CDF8B"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58BC5A"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3E8F0D" w14:textId="77777777"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02D511" w14:textId="77777777"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14:paraId="2919737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CAFB8E"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F21639B"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F7163C" w14:textId="77777777" w:rsidR="00531F10" w:rsidRPr="00414345" w:rsidRDefault="00531F10" w:rsidP="00C15CAC">
            <w:pPr>
              <w:spacing w:before="29" w:line="288" w:lineRule="auto"/>
              <w:jc w:val="right"/>
              <w:rPr>
                <w:sz w:val="24"/>
                <w:szCs w:val="24"/>
              </w:rPr>
            </w:pPr>
            <w:r w:rsidRPr="00414345">
              <w:rPr>
                <w:sz w:val="24"/>
                <w:szCs w:val="24"/>
              </w:rPr>
              <w:t>3,228,421.70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1CEF6A" w14:textId="77777777"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14:paraId="022FCD35"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6FCB1D"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CFEF6C"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2104E9"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C63017"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6D258140"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E01E7A"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FE1F50"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042DB0"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596286"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1D4FFA6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DC5488"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A3CEFA"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484A66"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B1562"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217EB497"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46759F"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A1B28AE"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F485D6"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BF286D"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4D541952"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E2DA47"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DC8BF7"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F26914"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B6291E"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5302E472" w14:textId="77777777"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5C4C30"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E38868" w14:textId="77777777"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F4D5C0"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B8E3AA"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62880B5F"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02D4A3"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A44848"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75CE8B"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8182E9"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13C648F4"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29168D"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52ED4B"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76660CA"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9BF9AD"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100D9942"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E969B8"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8990B5"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8159ED"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63C1C5"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563BF40C"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BD21A9"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C14270"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F1E87DA"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4E5C69"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7F5A3EC6"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0E4A46"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443812"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27DFCE"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C1D6CD"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4FD9E6F6"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273CFF"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5BE146"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FDDFDB7"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5B33AB"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3A07A3F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7E3BEA"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6CD63F7"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080BA33"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73E43C"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6B8CE673"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2B2B14"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207601"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5BF91A"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03424"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403B827F"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71AB6A"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EC9B43B"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143A84"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158FD3"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64D6EBAB"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0A0AE4"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50B4FB"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3BC717"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51A940"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51C728B9"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1BDCDC" w14:textId="77777777"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F4A050"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2B70656" w14:textId="77777777" w:rsidR="00531F10" w:rsidRPr="00414345" w:rsidRDefault="00531F10" w:rsidP="00C15CAC">
            <w:pPr>
              <w:spacing w:before="29" w:line="288" w:lineRule="auto"/>
              <w:jc w:val="right"/>
              <w:rPr>
                <w:sz w:val="24"/>
                <w:szCs w:val="24"/>
              </w:rPr>
            </w:pPr>
            <w:r w:rsidRPr="00414345">
              <w:rPr>
                <w:sz w:val="24"/>
                <w:szCs w:val="24"/>
              </w:rPr>
              <w:t>3,228,421.70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7AF2F3" w14:textId="77777777" w:rsidR="00531F10" w:rsidRPr="00414345" w:rsidRDefault="00531F10" w:rsidP="00C15CAC">
            <w:pPr>
              <w:spacing w:before="29" w:line="288" w:lineRule="auto"/>
              <w:jc w:val="right"/>
              <w:rPr>
                <w:sz w:val="24"/>
                <w:szCs w:val="24"/>
              </w:rPr>
            </w:pPr>
            <w:r w:rsidRPr="00414345">
              <w:rPr>
                <w:sz w:val="24"/>
                <w:szCs w:val="24"/>
              </w:rPr>
              <w:t>0.30</w:t>
            </w:r>
          </w:p>
        </w:tc>
      </w:tr>
    </w:tbl>
    <w:p w14:paraId="60720FE1" w14:textId="77777777" w:rsidR="00767625" w:rsidRDefault="00767625" w:rsidP="00F51C4E">
      <w:pPr>
        <w:jc w:val="left"/>
        <w:rPr>
          <w:rFonts w:asciiTheme="minorEastAsia" w:eastAsiaTheme="minorEastAsia" w:hAnsiTheme="minorEastAsia"/>
          <w:b/>
          <w:bCs/>
          <w:color w:val="000000" w:themeColor="text1"/>
          <w:kern w:val="0"/>
          <w:sz w:val="24"/>
        </w:rPr>
      </w:pPr>
    </w:p>
    <w:p w14:paraId="12D8204E" w14:textId="77777777" w:rsidR="00F51C4E" w:rsidRPr="008A409E" w:rsidRDefault="00F51C4E" w:rsidP="00F51C4E">
      <w:pPr>
        <w:jc w:val="left"/>
        <w:rPr>
          <w:rFonts w:asciiTheme="minorEastAsia" w:eastAsiaTheme="minorEastAsia" w:hAnsiTheme="minorEastAsia"/>
          <w:b/>
          <w:bCs/>
          <w:color w:val="000000" w:themeColor="text1"/>
          <w:kern w:val="0"/>
          <w:sz w:val="24"/>
        </w:rPr>
      </w:pPr>
      <w:r w:rsidRPr="00BA3501">
        <w:rPr>
          <w:rFonts w:hint="eastAsia"/>
          <w:b/>
          <w:bCs/>
          <w:color w:val="000000"/>
          <w:kern w:val="0"/>
          <w:sz w:val="24"/>
          <w:szCs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14:paraId="085C0397" w14:textId="77777777"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14:paraId="4D02749F" w14:textId="77777777" w:rsidR="004061AC" w:rsidRPr="00F51C4E" w:rsidRDefault="004061AC" w:rsidP="00C15CAC">
      <w:pPr>
        <w:autoSpaceDE w:val="0"/>
        <w:autoSpaceDN w:val="0"/>
        <w:adjustRightInd w:val="0"/>
        <w:spacing w:before="29" w:line="288" w:lineRule="auto"/>
        <w:jc w:val="left"/>
        <w:rPr>
          <w:color w:val="000000"/>
          <w:kern w:val="0"/>
          <w:sz w:val="24"/>
          <w:szCs w:val="24"/>
        </w:rPr>
      </w:pPr>
    </w:p>
    <w:p w14:paraId="7240DD83"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14:paraId="18184E76" w14:textId="77777777" w:rsidTr="00A324F4">
        <w:trPr>
          <w:jc w:val="center"/>
        </w:trPr>
        <w:tc>
          <w:tcPr>
            <w:tcW w:w="869" w:type="dxa"/>
            <w:vAlign w:val="center"/>
          </w:tcPr>
          <w:p w14:paraId="3D7EDE0E"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14:paraId="4719957A"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14:paraId="3B8853B8"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14:paraId="780090FB"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14:paraId="48C6F6E7" w14:textId="77777777"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14:paraId="13FAD05D"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62270" w14:paraId="177841FE" w14:textId="77777777">
        <w:trPr>
          <w:jc w:val="center"/>
        </w:trPr>
        <w:tc>
          <w:tcPr>
            <w:tcW w:w="855" w:type="dxa"/>
            <w:vAlign w:val="center"/>
          </w:tcPr>
          <w:p w14:paraId="7786D410" w14:textId="77777777" w:rsidR="00362270" w:rsidRDefault="00767625">
            <w:pPr>
              <w:jc w:val="center"/>
            </w:pPr>
            <w:r>
              <w:rPr>
                <w:color w:val="000000"/>
                <w:sz w:val="24"/>
                <w:szCs w:val="24"/>
              </w:rPr>
              <w:t>1</w:t>
            </w:r>
          </w:p>
        </w:tc>
        <w:tc>
          <w:tcPr>
            <w:tcW w:w="1334" w:type="dxa"/>
            <w:vAlign w:val="center"/>
          </w:tcPr>
          <w:p w14:paraId="0A8269CB" w14:textId="77777777" w:rsidR="00362270" w:rsidRDefault="00767625">
            <w:pPr>
              <w:jc w:val="center"/>
            </w:pPr>
            <w:r>
              <w:rPr>
                <w:color w:val="000000"/>
                <w:sz w:val="24"/>
                <w:szCs w:val="24"/>
              </w:rPr>
              <w:t>300488</w:t>
            </w:r>
          </w:p>
        </w:tc>
        <w:tc>
          <w:tcPr>
            <w:tcW w:w="1777" w:type="dxa"/>
            <w:vAlign w:val="center"/>
          </w:tcPr>
          <w:p w14:paraId="48214D83" w14:textId="77777777" w:rsidR="00362270" w:rsidRDefault="00767625">
            <w:pPr>
              <w:jc w:val="center"/>
            </w:pPr>
            <w:r>
              <w:rPr>
                <w:color w:val="000000"/>
                <w:sz w:val="24"/>
                <w:szCs w:val="24"/>
              </w:rPr>
              <w:t>恒锋工具</w:t>
            </w:r>
          </w:p>
        </w:tc>
        <w:tc>
          <w:tcPr>
            <w:tcW w:w="1334" w:type="dxa"/>
            <w:vAlign w:val="center"/>
          </w:tcPr>
          <w:p w14:paraId="40A78058" w14:textId="77777777" w:rsidR="00362270" w:rsidRDefault="00767625">
            <w:pPr>
              <w:jc w:val="right"/>
            </w:pPr>
            <w:r>
              <w:rPr>
                <w:color w:val="000000"/>
                <w:sz w:val="24"/>
                <w:szCs w:val="24"/>
              </w:rPr>
              <w:t>44,777</w:t>
            </w:r>
          </w:p>
        </w:tc>
        <w:tc>
          <w:tcPr>
            <w:tcW w:w="1924" w:type="dxa"/>
            <w:vAlign w:val="center"/>
          </w:tcPr>
          <w:p w14:paraId="74F37D11" w14:textId="77777777" w:rsidR="00362270" w:rsidRDefault="00767625">
            <w:pPr>
              <w:jc w:val="right"/>
            </w:pPr>
            <w:r>
              <w:rPr>
                <w:color w:val="000000"/>
                <w:sz w:val="24"/>
                <w:szCs w:val="24"/>
              </w:rPr>
              <w:t>3,228,421.70</w:t>
            </w:r>
          </w:p>
        </w:tc>
        <w:tc>
          <w:tcPr>
            <w:tcW w:w="1644" w:type="dxa"/>
            <w:vAlign w:val="center"/>
          </w:tcPr>
          <w:p w14:paraId="3C11F1DB" w14:textId="77777777" w:rsidR="00362270" w:rsidRDefault="00767625">
            <w:pPr>
              <w:jc w:val="right"/>
            </w:pPr>
            <w:r>
              <w:rPr>
                <w:color w:val="000000"/>
                <w:sz w:val="24"/>
                <w:szCs w:val="24"/>
              </w:rPr>
              <w:t>0.30</w:t>
            </w:r>
          </w:p>
        </w:tc>
      </w:tr>
    </w:tbl>
    <w:p w14:paraId="7B88622B"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3A2B14F7"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14:paraId="77AB954C" w14:textId="77777777" w:rsidTr="00F323FF">
        <w:trPr>
          <w:jc w:val="center"/>
        </w:trPr>
        <w:tc>
          <w:tcPr>
            <w:tcW w:w="828" w:type="dxa"/>
            <w:vAlign w:val="center"/>
          </w:tcPr>
          <w:p w14:paraId="21D01FA0"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4859F313"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3DCEF15A"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14:paraId="470DCE2E"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14:paraId="4120A49B" w14:textId="77777777" w:rsidTr="00F323FF">
        <w:trPr>
          <w:jc w:val="center"/>
        </w:trPr>
        <w:tc>
          <w:tcPr>
            <w:tcW w:w="828" w:type="dxa"/>
            <w:vAlign w:val="center"/>
          </w:tcPr>
          <w:p w14:paraId="0C8B759B"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5D2B6B7C"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65C76C61"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29,982,000.00</w:t>
            </w:r>
          </w:p>
        </w:tc>
        <w:tc>
          <w:tcPr>
            <w:tcW w:w="1751" w:type="dxa"/>
            <w:vAlign w:val="center"/>
          </w:tcPr>
          <w:p w14:paraId="2E95BA81"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2.74</w:t>
            </w:r>
          </w:p>
        </w:tc>
      </w:tr>
      <w:tr w:rsidR="00AC592E" w:rsidRPr="00414345" w14:paraId="56BE89BB" w14:textId="77777777" w:rsidTr="00F323FF">
        <w:trPr>
          <w:jc w:val="center"/>
        </w:trPr>
        <w:tc>
          <w:tcPr>
            <w:tcW w:w="828" w:type="dxa"/>
            <w:vAlign w:val="center"/>
          </w:tcPr>
          <w:p w14:paraId="1C579B90"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67F7A133"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21F02315"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47E9248"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54A5CF5C" w14:textId="77777777" w:rsidTr="00F323FF">
        <w:trPr>
          <w:jc w:val="center"/>
        </w:trPr>
        <w:tc>
          <w:tcPr>
            <w:tcW w:w="828" w:type="dxa"/>
            <w:vAlign w:val="center"/>
          </w:tcPr>
          <w:p w14:paraId="66B69FE6"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07213A03"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20BB3772"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59,952,000.00</w:t>
            </w:r>
          </w:p>
        </w:tc>
        <w:tc>
          <w:tcPr>
            <w:tcW w:w="1751" w:type="dxa"/>
            <w:vAlign w:val="center"/>
          </w:tcPr>
          <w:p w14:paraId="494AC64A"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5.48</w:t>
            </w:r>
          </w:p>
        </w:tc>
      </w:tr>
      <w:tr w:rsidR="00AC592E" w:rsidRPr="00414345" w14:paraId="6B556E74" w14:textId="77777777" w:rsidTr="00F323FF">
        <w:trPr>
          <w:jc w:val="center"/>
        </w:trPr>
        <w:tc>
          <w:tcPr>
            <w:tcW w:w="828" w:type="dxa"/>
            <w:vAlign w:val="center"/>
          </w:tcPr>
          <w:p w14:paraId="7810EB63" w14:textId="77777777" w:rsidR="00AC592E" w:rsidRPr="00414345" w:rsidRDefault="00AC592E" w:rsidP="00C15CAC">
            <w:pPr>
              <w:spacing w:before="29" w:line="288" w:lineRule="auto"/>
              <w:ind w:left="17"/>
              <w:jc w:val="center"/>
              <w:rPr>
                <w:color w:val="000000"/>
                <w:sz w:val="24"/>
                <w:szCs w:val="24"/>
              </w:rPr>
            </w:pPr>
          </w:p>
        </w:tc>
        <w:tc>
          <w:tcPr>
            <w:tcW w:w="3302" w:type="dxa"/>
            <w:vAlign w:val="center"/>
          </w:tcPr>
          <w:p w14:paraId="3C23358B"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2DC9E3A6"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59,952,000.00</w:t>
            </w:r>
          </w:p>
        </w:tc>
        <w:tc>
          <w:tcPr>
            <w:tcW w:w="1751" w:type="dxa"/>
            <w:vAlign w:val="center"/>
          </w:tcPr>
          <w:p w14:paraId="352F1C17"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5.48</w:t>
            </w:r>
          </w:p>
        </w:tc>
      </w:tr>
      <w:tr w:rsidR="00AC592E" w:rsidRPr="00414345" w14:paraId="1FCEF989" w14:textId="77777777" w:rsidTr="00F323FF">
        <w:trPr>
          <w:jc w:val="center"/>
        </w:trPr>
        <w:tc>
          <w:tcPr>
            <w:tcW w:w="828" w:type="dxa"/>
            <w:vAlign w:val="center"/>
          </w:tcPr>
          <w:p w14:paraId="477B38A6"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5D391058"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7134EA37"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60A2F8D"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7FD1DD31" w14:textId="77777777" w:rsidTr="00F323FF">
        <w:trPr>
          <w:jc w:val="center"/>
        </w:trPr>
        <w:tc>
          <w:tcPr>
            <w:tcW w:w="828" w:type="dxa"/>
            <w:vAlign w:val="center"/>
          </w:tcPr>
          <w:p w14:paraId="6247B0EB"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735B1164"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14:paraId="07B72A5C"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8E0B6CF"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14:paraId="40E9CC4E" w14:textId="77777777" w:rsidTr="00F323FF">
        <w:trPr>
          <w:jc w:val="center"/>
        </w:trPr>
        <w:tc>
          <w:tcPr>
            <w:tcW w:w="828" w:type="dxa"/>
            <w:vAlign w:val="center"/>
          </w:tcPr>
          <w:p w14:paraId="311F9145" w14:textId="77777777"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2314D045" w14:textId="77777777"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7086B67D"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B13C7ED"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5409CE66" w14:textId="77777777" w:rsidTr="00F323FF">
        <w:trPr>
          <w:jc w:val="center"/>
        </w:trPr>
        <w:tc>
          <w:tcPr>
            <w:tcW w:w="828" w:type="dxa"/>
            <w:vAlign w:val="center"/>
          </w:tcPr>
          <w:p w14:paraId="644F93E4" w14:textId="77777777"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5BE97D93"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14:paraId="278351E3"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3E93100"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14:paraId="177E2405" w14:textId="77777777" w:rsidTr="0006711A">
        <w:trPr>
          <w:jc w:val="center"/>
        </w:trPr>
        <w:tc>
          <w:tcPr>
            <w:tcW w:w="828" w:type="dxa"/>
            <w:vAlign w:val="center"/>
          </w:tcPr>
          <w:p w14:paraId="17401392" w14:textId="77777777"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103B8CD4" w14:textId="77777777"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57964AC0" w14:textId="77777777"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644,965,000.00</w:t>
            </w:r>
          </w:p>
        </w:tc>
        <w:tc>
          <w:tcPr>
            <w:tcW w:w="1751" w:type="dxa"/>
            <w:vAlign w:val="center"/>
          </w:tcPr>
          <w:p w14:paraId="3BBE8842" w14:textId="77777777"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58.96</w:t>
            </w:r>
          </w:p>
        </w:tc>
      </w:tr>
      <w:tr w:rsidR="00AC592E" w:rsidRPr="00414345" w14:paraId="3C622DBD" w14:textId="77777777" w:rsidTr="00F323FF">
        <w:trPr>
          <w:jc w:val="center"/>
        </w:trPr>
        <w:tc>
          <w:tcPr>
            <w:tcW w:w="828" w:type="dxa"/>
            <w:vAlign w:val="center"/>
          </w:tcPr>
          <w:p w14:paraId="5D3897B3"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5F209D98"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014ABBD2"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2B141479"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26A523CE" w14:textId="77777777" w:rsidTr="00F323FF">
        <w:trPr>
          <w:jc w:val="center"/>
        </w:trPr>
        <w:tc>
          <w:tcPr>
            <w:tcW w:w="828" w:type="dxa"/>
            <w:vAlign w:val="center"/>
          </w:tcPr>
          <w:p w14:paraId="1D819174"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0EB5CC96"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6F7647DE"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734,899,000.00</w:t>
            </w:r>
          </w:p>
        </w:tc>
        <w:tc>
          <w:tcPr>
            <w:tcW w:w="1751" w:type="dxa"/>
            <w:vAlign w:val="center"/>
          </w:tcPr>
          <w:p w14:paraId="27B00463"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67.18</w:t>
            </w:r>
          </w:p>
        </w:tc>
      </w:tr>
    </w:tbl>
    <w:p w14:paraId="285B6782"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59EBF9D"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14:paraId="5C5D2043" w14:textId="77777777" w:rsidTr="00A324F4">
        <w:trPr>
          <w:jc w:val="center"/>
        </w:trPr>
        <w:tc>
          <w:tcPr>
            <w:tcW w:w="817" w:type="dxa"/>
            <w:vAlign w:val="center"/>
          </w:tcPr>
          <w:p w14:paraId="4629DEA0"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14:paraId="4F4E6BE0"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14:paraId="0E8D62B8"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14:paraId="6110E75C"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14:paraId="6088AF4D"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14:paraId="76BA18FA"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62270" w14:paraId="6BBF505E" w14:textId="77777777">
        <w:trPr>
          <w:jc w:val="center"/>
        </w:trPr>
        <w:tc>
          <w:tcPr>
            <w:tcW w:w="850" w:type="dxa"/>
            <w:vAlign w:val="center"/>
          </w:tcPr>
          <w:p w14:paraId="7BAB847A" w14:textId="77777777" w:rsidR="00362270" w:rsidRDefault="00767625">
            <w:pPr>
              <w:jc w:val="center"/>
            </w:pPr>
            <w:r>
              <w:rPr>
                <w:color w:val="000000"/>
                <w:sz w:val="24"/>
                <w:szCs w:val="24"/>
              </w:rPr>
              <w:t>1</w:t>
            </w:r>
          </w:p>
        </w:tc>
        <w:tc>
          <w:tcPr>
            <w:tcW w:w="1475" w:type="dxa"/>
            <w:vAlign w:val="center"/>
          </w:tcPr>
          <w:p w14:paraId="7E0629DD" w14:textId="77777777" w:rsidR="00362270" w:rsidRDefault="00767625">
            <w:pPr>
              <w:jc w:val="center"/>
            </w:pPr>
            <w:r>
              <w:rPr>
                <w:color w:val="000000"/>
                <w:sz w:val="24"/>
                <w:szCs w:val="24"/>
              </w:rPr>
              <w:t>111614079</w:t>
            </w:r>
          </w:p>
        </w:tc>
        <w:tc>
          <w:tcPr>
            <w:tcW w:w="1769" w:type="dxa"/>
            <w:vAlign w:val="center"/>
          </w:tcPr>
          <w:p w14:paraId="4D80F2B4" w14:textId="77777777" w:rsidR="00362270" w:rsidRDefault="00767625">
            <w:pPr>
              <w:jc w:val="center"/>
            </w:pPr>
            <w:r>
              <w:rPr>
                <w:color w:val="000000"/>
                <w:sz w:val="24"/>
                <w:szCs w:val="24"/>
              </w:rPr>
              <w:t>16</w:t>
            </w:r>
            <w:r>
              <w:rPr>
                <w:color w:val="000000"/>
                <w:sz w:val="24"/>
                <w:szCs w:val="24"/>
              </w:rPr>
              <w:t>江苏银行</w:t>
            </w:r>
            <w:r>
              <w:rPr>
                <w:color w:val="000000"/>
                <w:sz w:val="24"/>
                <w:szCs w:val="24"/>
              </w:rPr>
              <w:t>CD079</w:t>
            </w:r>
          </w:p>
        </w:tc>
        <w:tc>
          <w:tcPr>
            <w:tcW w:w="1387" w:type="dxa"/>
            <w:vAlign w:val="center"/>
          </w:tcPr>
          <w:p w14:paraId="66EBC120" w14:textId="77777777" w:rsidR="00362270" w:rsidRDefault="00767625">
            <w:pPr>
              <w:jc w:val="right"/>
            </w:pPr>
            <w:r>
              <w:rPr>
                <w:color w:val="000000"/>
                <w:sz w:val="24"/>
                <w:szCs w:val="24"/>
              </w:rPr>
              <w:t>1,000,000</w:t>
            </w:r>
          </w:p>
        </w:tc>
        <w:tc>
          <w:tcPr>
            <w:tcW w:w="2150" w:type="dxa"/>
            <w:vAlign w:val="center"/>
          </w:tcPr>
          <w:p w14:paraId="7D5CCB61" w14:textId="77777777" w:rsidR="00362270" w:rsidRDefault="00767625">
            <w:pPr>
              <w:jc w:val="right"/>
            </w:pPr>
            <w:r>
              <w:rPr>
                <w:color w:val="000000"/>
                <w:sz w:val="24"/>
                <w:szCs w:val="24"/>
              </w:rPr>
              <w:t>99,760,000.00</w:t>
            </w:r>
          </w:p>
        </w:tc>
        <w:tc>
          <w:tcPr>
            <w:tcW w:w="1237" w:type="dxa"/>
            <w:vAlign w:val="center"/>
          </w:tcPr>
          <w:p w14:paraId="6BF33183" w14:textId="77777777" w:rsidR="00362270" w:rsidRDefault="00767625">
            <w:pPr>
              <w:jc w:val="right"/>
            </w:pPr>
            <w:r>
              <w:rPr>
                <w:color w:val="000000"/>
                <w:sz w:val="24"/>
                <w:szCs w:val="24"/>
              </w:rPr>
              <w:t>9.12</w:t>
            </w:r>
          </w:p>
        </w:tc>
      </w:tr>
      <w:tr w:rsidR="00362270" w14:paraId="042ABBA0" w14:textId="77777777">
        <w:trPr>
          <w:jc w:val="center"/>
        </w:trPr>
        <w:tc>
          <w:tcPr>
            <w:tcW w:w="850" w:type="dxa"/>
            <w:vAlign w:val="center"/>
          </w:tcPr>
          <w:p w14:paraId="257B2800" w14:textId="77777777" w:rsidR="00362270" w:rsidRDefault="00767625">
            <w:pPr>
              <w:jc w:val="center"/>
            </w:pPr>
            <w:r>
              <w:rPr>
                <w:color w:val="000000"/>
                <w:sz w:val="24"/>
                <w:szCs w:val="24"/>
              </w:rPr>
              <w:t>2</w:t>
            </w:r>
          </w:p>
        </w:tc>
        <w:tc>
          <w:tcPr>
            <w:tcW w:w="1475" w:type="dxa"/>
            <w:vAlign w:val="center"/>
          </w:tcPr>
          <w:p w14:paraId="00BA599A" w14:textId="77777777" w:rsidR="00362270" w:rsidRDefault="00767625">
            <w:pPr>
              <w:jc w:val="center"/>
            </w:pPr>
            <w:r>
              <w:rPr>
                <w:color w:val="000000"/>
                <w:sz w:val="24"/>
                <w:szCs w:val="24"/>
              </w:rPr>
              <w:t>111616120</w:t>
            </w:r>
          </w:p>
        </w:tc>
        <w:tc>
          <w:tcPr>
            <w:tcW w:w="1769" w:type="dxa"/>
            <w:vAlign w:val="center"/>
          </w:tcPr>
          <w:p w14:paraId="080C1502" w14:textId="77777777" w:rsidR="00362270" w:rsidRDefault="00767625">
            <w:pPr>
              <w:jc w:val="center"/>
            </w:pPr>
            <w:r>
              <w:rPr>
                <w:color w:val="000000"/>
                <w:sz w:val="24"/>
                <w:szCs w:val="24"/>
              </w:rPr>
              <w:t>16</w:t>
            </w:r>
            <w:r>
              <w:rPr>
                <w:color w:val="000000"/>
                <w:sz w:val="24"/>
                <w:szCs w:val="24"/>
              </w:rPr>
              <w:t>上海银行</w:t>
            </w:r>
            <w:r>
              <w:rPr>
                <w:color w:val="000000"/>
                <w:sz w:val="24"/>
                <w:szCs w:val="24"/>
              </w:rPr>
              <w:t>CD120</w:t>
            </w:r>
          </w:p>
        </w:tc>
        <w:tc>
          <w:tcPr>
            <w:tcW w:w="1387" w:type="dxa"/>
            <w:vAlign w:val="center"/>
          </w:tcPr>
          <w:p w14:paraId="528E99B6" w14:textId="77777777" w:rsidR="00362270" w:rsidRDefault="00767625">
            <w:pPr>
              <w:jc w:val="right"/>
            </w:pPr>
            <w:r>
              <w:rPr>
                <w:color w:val="000000"/>
                <w:sz w:val="24"/>
                <w:szCs w:val="24"/>
              </w:rPr>
              <w:t>1,000,000</w:t>
            </w:r>
          </w:p>
        </w:tc>
        <w:tc>
          <w:tcPr>
            <w:tcW w:w="2150" w:type="dxa"/>
            <w:vAlign w:val="center"/>
          </w:tcPr>
          <w:p w14:paraId="43ABB1FF" w14:textId="77777777" w:rsidR="00362270" w:rsidRDefault="00767625">
            <w:pPr>
              <w:jc w:val="right"/>
            </w:pPr>
            <w:r>
              <w:rPr>
                <w:color w:val="000000"/>
                <w:sz w:val="24"/>
                <w:szCs w:val="24"/>
              </w:rPr>
              <w:t>99,250,000.00</w:t>
            </w:r>
          </w:p>
        </w:tc>
        <w:tc>
          <w:tcPr>
            <w:tcW w:w="1237" w:type="dxa"/>
            <w:vAlign w:val="center"/>
          </w:tcPr>
          <w:p w14:paraId="2CD861C0" w14:textId="77777777" w:rsidR="00362270" w:rsidRDefault="00767625">
            <w:pPr>
              <w:jc w:val="right"/>
            </w:pPr>
            <w:r>
              <w:rPr>
                <w:color w:val="000000"/>
                <w:sz w:val="24"/>
                <w:szCs w:val="24"/>
              </w:rPr>
              <w:t>9.07</w:t>
            </w:r>
          </w:p>
        </w:tc>
      </w:tr>
      <w:tr w:rsidR="00362270" w14:paraId="69B68025" w14:textId="77777777">
        <w:trPr>
          <w:jc w:val="center"/>
        </w:trPr>
        <w:tc>
          <w:tcPr>
            <w:tcW w:w="850" w:type="dxa"/>
            <w:vAlign w:val="center"/>
          </w:tcPr>
          <w:p w14:paraId="766C976D" w14:textId="77777777" w:rsidR="00362270" w:rsidRDefault="00767625">
            <w:pPr>
              <w:jc w:val="center"/>
            </w:pPr>
            <w:r>
              <w:rPr>
                <w:color w:val="000000"/>
                <w:sz w:val="24"/>
                <w:szCs w:val="24"/>
              </w:rPr>
              <w:t>3</w:t>
            </w:r>
          </w:p>
        </w:tc>
        <w:tc>
          <w:tcPr>
            <w:tcW w:w="1475" w:type="dxa"/>
            <w:vAlign w:val="center"/>
          </w:tcPr>
          <w:p w14:paraId="3EFA3A8B" w14:textId="77777777" w:rsidR="00362270" w:rsidRDefault="00767625">
            <w:pPr>
              <w:jc w:val="center"/>
            </w:pPr>
            <w:r>
              <w:rPr>
                <w:color w:val="000000"/>
                <w:sz w:val="24"/>
                <w:szCs w:val="24"/>
              </w:rPr>
              <w:t>111620082</w:t>
            </w:r>
          </w:p>
        </w:tc>
        <w:tc>
          <w:tcPr>
            <w:tcW w:w="1769" w:type="dxa"/>
            <w:vAlign w:val="center"/>
          </w:tcPr>
          <w:p w14:paraId="20A4A969" w14:textId="77777777" w:rsidR="00362270" w:rsidRDefault="00767625">
            <w:pPr>
              <w:jc w:val="center"/>
            </w:pPr>
            <w:r>
              <w:rPr>
                <w:color w:val="000000"/>
                <w:sz w:val="24"/>
                <w:szCs w:val="24"/>
              </w:rPr>
              <w:t>16</w:t>
            </w:r>
            <w:r>
              <w:rPr>
                <w:color w:val="000000"/>
                <w:sz w:val="24"/>
                <w:szCs w:val="24"/>
              </w:rPr>
              <w:t>广发银行</w:t>
            </w:r>
            <w:r>
              <w:rPr>
                <w:color w:val="000000"/>
                <w:sz w:val="24"/>
                <w:szCs w:val="24"/>
              </w:rPr>
              <w:t>CD082</w:t>
            </w:r>
          </w:p>
        </w:tc>
        <w:tc>
          <w:tcPr>
            <w:tcW w:w="1387" w:type="dxa"/>
            <w:vAlign w:val="center"/>
          </w:tcPr>
          <w:p w14:paraId="6803DC7C" w14:textId="77777777" w:rsidR="00362270" w:rsidRDefault="00767625">
            <w:pPr>
              <w:jc w:val="right"/>
            </w:pPr>
            <w:r>
              <w:rPr>
                <w:color w:val="000000"/>
                <w:sz w:val="24"/>
                <w:szCs w:val="24"/>
              </w:rPr>
              <w:t>1,000,000</w:t>
            </w:r>
          </w:p>
        </w:tc>
        <w:tc>
          <w:tcPr>
            <w:tcW w:w="2150" w:type="dxa"/>
            <w:vAlign w:val="center"/>
          </w:tcPr>
          <w:p w14:paraId="772E7BDA" w14:textId="77777777" w:rsidR="00362270" w:rsidRDefault="00767625">
            <w:pPr>
              <w:jc w:val="right"/>
            </w:pPr>
            <w:r>
              <w:rPr>
                <w:color w:val="000000"/>
                <w:sz w:val="24"/>
                <w:szCs w:val="24"/>
              </w:rPr>
              <w:t>99,250,000.00</w:t>
            </w:r>
          </w:p>
        </w:tc>
        <w:tc>
          <w:tcPr>
            <w:tcW w:w="1237" w:type="dxa"/>
            <w:vAlign w:val="center"/>
          </w:tcPr>
          <w:p w14:paraId="4D524F3C" w14:textId="77777777" w:rsidR="00362270" w:rsidRDefault="00767625">
            <w:pPr>
              <w:jc w:val="right"/>
            </w:pPr>
            <w:r>
              <w:rPr>
                <w:color w:val="000000"/>
                <w:sz w:val="24"/>
                <w:szCs w:val="24"/>
              </w:rPr>
              <w:t>9.07</w:t>
            </w:r>
          </w:p>
        </w:tc>
      </w:tr>
      <w:tr w:rsidR="00362270" w14:paraId="3A9F488B" w14:textId="77777777">
        <w:trPr>
          <w:jc w:val="center"/>
        </w:trPr>
        <w:tc>
          <w:tcPr>
            <w:tcW w:w="850" w:type="dxa"/>
            <w:vAlign w:val="center"/>
          </w:tcPr>
          <w:p w14:paraId="195EF2FF" w14:textId="77777777" w:rsidR="00362270" w:rsidRDefault="00767625">
            <w:pPr>
              <w:jc w:val="center"/>
            </w:pPr>
            <w:r>
              <w:rPr>
                <w:color w:val="000000"/>
                <w:sz w:val="24"/>
                <w:szCs w:val="24"/>
              </w:rPr>
              <w:t>4</w:t>
            </w:r>
          </w:p>
        </w:tc>
        <w:tc>
          <w:tcPr>
            <w:tcW w:w="1475" w:type="dxa"/>
            <w:vAlign w:val="center"/>
          </w:tcPr>
          <w:p w14:paraId="6A9CD529" w14:textId="77777777" w:rsidR="00362270" w:rsidRDefault="00767625">
            <w:pPr>
              <w:jc w:val="center"/>
            </w:pPr>
            <w:r>
              <w:rPr>
                <w:color w:val="000000"/>
                <w:sz w:val="24"/>
                <w:szCs w:val="24"/>
              </w:rPr>
              <w:t>111617124</w:t>
            </w:r>
          </w:p>
        </w:tc>
        <w:tc>
          <w:tcPr>
            <w:tcW w:w="1769" w:type="dxa"/>
            <w:vAlign w:val="center"/>
          </w:tcPr>
          <w:p w14:paraId="1DAA6C66" w14:textId="77777777" w:rsidR="00362270" w:rsidRDefault="00767625">
            <w:pPr>
              <w:jc w:val="center"/>
            </w:pPr>
            <w:r>
              <w:rPr>
                <w:color w:val="000000"/>
                <w:sz w:val="24"/>
                <w:szCs w:val="24"/>
              </w:rPr>
              <w:t>16</w:t>
            </w:r>
            <w:r>
              <w:rPr>
                <w:color w:val="000000"/>
                <w:sz w:val="24"/>
                <w:szCs w:val="24"/>
              </w:rPr>
              <w:t>光大</w:t>
            </w:r>
            <w:r>
              <w:rPr>
                <w:color w:val="000000"/>
                <w:sz w:val="24"/>
                <w:szCs w:val="24"/>
              </w:rPr>
              <w:t>CD124</w:t>
            </w:r>
          </w:p>
        </w:tc>
        <w:tc>
          <w:tcPr>
            <w:tcW w:w="1387" w:type="dxa"/>
            <w:vAlign w:val="center"/>
          </w:tcPr>
          <w:p w14:paraId="2E0D4B1D" w14:textId="77777777" w:rsidR="00362270" w:rsidRDefault="00767625">
            <w:pPr>
              <w:jc w:val="right"/>
            </w:pPr>
            <w:r>
              <w:rPr>
                <w:color w:val="000000"/>
                <w:sz w:val="24"/>
                <w:szCs w:val="24"/>
              </w:rPr>
              <w:t>1,000,000</w:t>
            </w:r>
          </w:p>
        </w:tc>
        <w:tc>
          <w:tcPr>
            <w:tcW w:w="2150" w:type="dxa"/>
            <w:vAlign w:val="center"/>
          </w:tcPr>
          <w:p w14:paraId="4F076B01" w14:textId="77777777" w:rsidR="00362270" w:rsidRDefault="00767625">
            <w:pPr>
              <w:jc w:val="right"/>
            </w:pPr>
            <w:r>
              <w:rPr>
                <w:color w:val="000000"/>
                <w:sz w:val="24"/>
                <w:szCs w:val="24"/>
              </w:rPr>
              <w:t>99,250,000.00</w:t>
            </w:r>
          </w:p>
        </w:tc>
        <w:tc>
          <w:tcPr>
            <w:tcW w:w="1237" w:type="dxa"/>
            <w:vAlign w:val="center"/>
          </w:tcPr>
          <w:p w14:paraId="6AA0EC8A" w14:textId="77777777" w:rsidR="00362270" w:rsidRDefault="00767625">
            <w:pPr>
              <w:jc w:val="right"/>
            </w:pPr>
            <w:r>
              <w:rPr>
                <w:color w:val="000000"/>
                <w:sz w:val="24"/>
                <w:szCs w:val="24"/>
              </w:rPr>
              <w:t>9.07</w:t>
            </w:r>
          </w:p>
        </w:tc>
      </w:tr>
      <w:tr w:rsidR="00362270" w14:paraId="0F39AC04" w14:textId="77777777">
        <w:trPr>
          <w:jc w:val="center"/>
        </w:trPr>
        <w:tc>
          <w:tcPr>
            <w:tcW w:w="850" w:type="dxa"/>
            <w:vAlign w:val="center"/>
          </w:tcPr>
          <w:p w14:paraId="0BAED13E" w14:textId="77777777" w:rsidR="00362270" w:rsidRDefault="00767625">
            <w:pPr>
              <w:jc w:val="center"/>
            </w:pPr>
            <w:r>
              <w:rPr>
                <w:color w:val="000000"/>
                <w:sz w:val="24"/>
                <w:szCs w:val="24"/>
              </w:rPr>
              <w:t>5</w:t>
            </w:r>
          </w:p>
        </w:tc>
        <w:tc>
          <w:tcPr>
            <w:tcW w:w="1475" w:type="dxa"/>
            <w:vAlign w:val="center"/>
          </w:tcPr>
          <w:p w14:paraId="4C9DFBB5" w14:textId="77777777" w:rsidR="00362270" w:rsidRDefault="00767625">
            <w:pPr>
              <w:jc w:val="center"/>
            </w:pPr>
            <w:r>
              <w:rPr>
                <w:color w:val="000000"/>
                <w:sz w:val="24"/>
                <w:szCs w:val="24"/>
              </w:rPr>
              <w:t>111694864</w:t>
            </w:r>
          </w:p>
        </w:tc>
        <w:tc>
          <w:tcPr>
            <w:tcW w:w="1769" w:type="dxa"/>
            <w:vAlign w:val="center"/>
          </w:tcPr>
          <w:p w14:paraId="63CE33D5" w14:textId="77777777" w:rsidR="00362270" w:rsidRDefault="00767625">
            <w:pPr>
              <w:jc w:val="center"/>
            </w:pPr>
            <w:r>
              <w:rPr>
                <w:color w:val="000000"/>
                <w:sz w:val="24"/>
                <w:szCs w:val="24"/>
              </w:rPr>
              <w:t>16</w:t>
            </w:r>
            <w:r>
              <w:rPr>
                <w:color w:val="000000"/>
                <w:sz w:val="24"/>
                <w:szCs w:val="24"/>
              </w:rPr>
              <w:t>宁波银行</w:t>
            </w:r>
            <w:r>
              <w:rPr>
                <w:color w:val="000000"/>
                <w:sz w:val="24"/>
                <w:szCs w:val="24"/>
              </w:rPr>
              <w:t>CD140</w:t>
            </w:r>
          </w:p>
        </w:tc>
        <w:tc>
          <w:tcPr>
            <w:tcW w:w="1387" w:type="dxa"/>
            <w:vAlign w:val="center"/>
          </w:tcPr>
          <w:p w14:paraId="78A74D7D" w14:textId="77777777" w:rsidR="00362270" w:rsidRDefault="00767625">
            <w:pPr>
              <w:jc w:val="right"/>
            </w:pPr>
            <w:r>
              <w:rPr>
                <w:color w:val="000000"/>
                <w:sz w:val="24"/>
                <w:szCs w:val="24"/>
              </w:rPr>
              <w:t>1,000,000</w:t>
            </w:r>
          </w:p>
        </w:tc>
        <w:tc>
          <w:tcPr>
            <w:tcW w:w="2150" w:type="dxa"/>
            <w:vAlign w:val="center"/>
          </w:tcPr>
          <w:p w14:paraId="4554AFD1" w14:textId="77777777" w:rsidR="00362270" w:rsidRDefault="00767625">
            <w:pPr>
              <w:jc w:val="right"/>
            </w:pPr>
            <w:r>
              <w:rPr>
                <w:color w:val="000000"/>
                <w:sz w:val="24"/>
                <w:szCs w:val="24"/>
              </w:rPr>
              <w:t>98,450,000.00</w:t>
            </w:r>
          </w:p>
        </w:tc>
        <w:tc>
          <w:tcPr>
            <w:tcW w:w="1237" w:type="dxa"/>
            <w:vAlign w:val="center"/>
          </w:tcPr>
          <w:p w14:paraId="5CE9C50F" w14:textId="77777777" w:rsidR="00362270" w:rsidRDefault="00767625">
            <w:pPr>
              <w:jc w:val="right"/>
            </w:pPr>
            <w:r>
              <w:rPr>
                <w:color w:val="000000"/>
                <w:sz w:val="24"/>
                <w:szCs w:val="24"/>
              </w:rPr>
              <w:t>9.00</w:t>
            </w:r>
          </w:p>
        </w:tc>
      </w:tr>
    </w:tbl>
    <w:p w14:paraId="3288C795"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445D6676"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14:paraId="4E3093B5"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14:paraId="389F7499" w14:textId="77777777" w:rsidR="00A54C7D" w:rsidRPr="00414345" w:rsidRDefault="00A54C7D" w:rsidP="00C15CAC">
      <w:pPr>
        <w:autoSpaceDE w:val="0"/>
        <w:autoSpaceDN w:val="0"/>
        <w:adjustRightInd w:val="0"/>
        <w:spacing w:before="29" w:line="288" w:lineRule="auto"/>
        <w:jc w:val="left"/>
        <w:rPr>
          <w:color w:val="000000"/>
          <w:sz w:val="24"/>
          <w:szCs w:val="24"/>
        </w:rPr>
      </w:pPr>
    </w:p>
    <w:p w14:paraId="5848F65C" w14:textId="77777777"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14:paraId="02200D07" w14:textId="77777777"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14:paraId="22A084B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030FF252" w14:textId="77777777"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15CFE0C0"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14:paraId="62EDD8A0"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99C6FC7" w14:textId="77777777"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14:paraId="61791695" w14:textId="77777777"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14:paraId="7D64448A" w14:textId="77777777" w:rsidR="00AA3A38" w:rsidRPr="00414345" w:rsidRDefault="00AA3A38" w:rsidP="00C15CAC">
      <w:pPr>
        <w:adjustRightInd w:val="0"/>
        <w:snapToGrid w:val="0"/>
        <w:spacing w:before="29" w:line="288" w:lineRule="auto"/>
        <w:rPr>
          <w:sz w:val="24"/>
          <w:szCs w:val="24"/>
        </w:rPr>
      </w:pPr>
    </w:p>
    <w:p w14:paraId="0AA6705A" w14:textId="77777777"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14:paraId="2E30D6E2" w14:textId="77777777"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14:paraId="22B059B2" w14:textId="77777777" w:rsidR="00426096" w:rsidRPr="00414345" w:rsidRDefault="00426096" w:rsidP="00C15CAC">
      <w:pPr>
        <w:autoSpaceDE w:val="0"/>
        <w:autoSpaceDN w:val="0"/>
        <w:adjustRightInd w:val="0"/>
        <w:spacing w:before="29" w:line="288" w:lineRule="auto"/>
        <w:jc w:val="left"/>
        <w:rPr>
          <w:color w:val="000000"/>
          <w:sz w:val="24"/>
          <w:szCs w:val="24"/>
        </w:rPr>
      </w:pPr>
    </w:p>
    <w:p w14:paraId="626DC0FA" w14:textId="77777777"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14:paraId="27912351"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0604B4DE"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14:paraId="7D9B6556"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14:paraId="5FC94919" w14:textId="77777777" w:rsidTr="000243BD">
        <w:trPr>
          <w:jc w:val="center"/>
        </w:trPr>
        <w:tc>
          <w:tcPr>
            <w:tcW w:w="1235" w:type="dxa"/>
            <w:vAlign w:val="center"/>
          </w:tcPr>
          <w:p w14:paraId="4D8B9964"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7F88629F"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2E3C710A"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14:paraId="1951DDD7" w14:textId="77777777" w:rsidTr="000243BD">
        <w:trPr>
          <w:jc w:val="center"/>
        </w:trPr>
        <w:tc>
          <w:tcPr>
            <w:tcW w:w="1235" w:type="dxa"/>
            <w:vAlign w:val="center"/>
          </w:tcPr>
          <w:p w14:paraId="48063453"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311231BD"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220AF47B"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148,299.22</w:t>
            </w:r>
          </w:p>
        </w:tc>
      </w:tr>
      <w:tr w:rsidR="004C0914" w:rsidRPr="00414345" w14:paraId="12FE4DA6" w14:textId="77777777" w:rsidTr="000243BD">
        <w:trPr>
          <w:jc w:val="center"/>
        </w:trPr>
        <w:tc>
          <w:tcPr>
            <w:tcW w:w="1235" w:type="dxa"/>
            <w:vAlign w:val="center"/>
          </w:tcPr>
          <w:p w14:paraId="74B83BB2"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5AD71D83"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0994228E"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0FFDE73C" w14:textId="77777777" w:rsidTr="000243BD">
        <w:trPr>
          <w:jc w:val="center"/>
        </w:trPr>
        <w:tc>
          <w:tcPr>
            <w:tcW w:w="1235" w:type="dxa"/>
            <w:vAlign w:val="center"/>
          </w:tcPr>
          <w:p w14:paraId="40F5854A"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26073343"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7D4660D6"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0E66E581" w14:textId="77777777" w:rsidTr="000243BD">
        <w:trPr>
          <w:jc w:val="center"/>
        </w:trPr>
        <w:tc>
          <w:tcPr>
            <w:tcW w:w="1235" w:type="dxa"/>
            <w:vAlign w:val="center"/>
          </w:tcPr>
          <w:p w14:paraId="1A9C9515"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04100785"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75FD3854"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1,469,371.11</w:t>
            </w:r>
          </w:p>
        </w:tc>
      </w:tr>
      <w:tr w:rsidR="004C0914" w:rsidRPr="00414345" w14:paraId="1021C089" w14:textId="77777777" w:rsidTr="000243BD">
        <w:trPr>
          <w:jc w:val="center"/>
        </w:trPr>
        <w:tc>
          <w:tcPr>
            <w:tcW w:w="1235" w:type="dxa"/>
            <w:vAlign w:val="center"/>
          </w:tcPr>
          <w:p w14:paraId="1C7F4A6D"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5A56F2CA"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54AD1C41"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29,964.04</w:t>
            </w:r>
          </w:p>
        </w:tc>
      </w:tr>
      <w:tr w:rsidR="004C0914" w:rsidRPr="00414345" w14:paraId="678D7CC0" w14:textId="77777777" w:rsidTr="000243BD">
        <w:trPr>
          <w:jc w:val="center"/>
        </w:trPr>
        <w:tc>
          <w:tcPr>
            <w:tcW w:w="1235" w:type="dxa"/>
            <w:vAlign w:val="center"/>
          </w:tcPr>
          <w:p w14:paraId="79E3EFDA"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3875853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0F84751C"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6A2A1426" w14:textId="77777777" w:rsidTr="000243BD">
        <w:trPr>
          <w:jc w:val="center"/>
        </w:trPr>
        <w:tc>
          <w:tcPr>
            <w:tcW w:w="1235" w:type="dxa"/>
            <w:vAlign w:val="center"/>
          </w:tcPr>
          <w:p w14:paraId="39F7B9D3"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6FA0B8F4"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03E458AA"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3FFAE86C" w14:textId="77777777" w:rsidTr="000243BD">
        <w:trPr>
          <w:jc w:val="center"/>
        </w:trPr>
        <w:tc>
          <w:tcPr>
            <w:tcW w:w="1235" w:type="dxa"/>
            <w:vAlign w:val="center"/>
          </w:tcPr>
          <w:p w14:paraId="6B53DDF4"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0B76C5EA"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6693679D"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0D7C682A" w14:textId="77777777" w:rsidTr="000243BD">
        <w:trPr>
          <w:jc w:val="center"/>
        </w:trPr>
        <w:tc>
          <w:tcPr>
            <w:tcW w:w="1235" w:type="dxa"/>
            <w:vAlign w:val="center"/>
          </w:tcPr>
          <w:p w14:paraId="17B350C7"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552E9817"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778D943A"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1,647,634.37</w:t>
            </w:r>
          </w:p>
        </w:tc>
      </w:tr>
    </w:tbl>
    <w:p w14:paraId="78B4C6BB" w14:textId="77777777" w:rsidR="002918E3" w:rsidRPr="00414345" w:rsidRDefault="002918E3" w:rsidP="00C15CAC">
      <w:pPr>
        <w:autoSpaceDE w:val="0"/>
        <w:autoSpaceDN w:val="0"/>
        <w:adjustRightInd w:val="0"/>
        <w:spacing w:before="29" w:line="288" w:lineRule="auto"/>
        <w:rPr>
          <w:color w:val="000000"/>
          <w:sz w:val="24"/>
          <w:szCs w:val="24"/>
        </w:rPr>
      </w:pPr>
    </w:p>
    <w:p w14:paraId="4A38EBF8"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14:paraId="04C162A3"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14:paraId="09F1BD04" w14:textId="77777777" w:rsidR="002918E3" w:rsidRPr="00414345" w:rsidRDefault="002918E3" w:rsidP="00C15CAC">
      <w:pPr>
        <w:autoSpaceDE w:val="0"/>
        <w:autoSpaceDN w:val="0"/>
        <w:adjustRightInd w:val="0"/>
        <w:spacing w:before="29" w:line="288" w:lineRule="auto"/>
        <w:rPr>
          <w:color w:val="000000"/>
          <w:sz w:val="24"/>
          <w:szCs w:val="24"/>
        </w:rPr>
      </w:pPr>
    </w:p>
    <w:p w14:paraId="19ED05F7"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14:paraId="74F7F9F3" w14:textId="77777777" w:rsidTr="00BC216C">
        <w:trPr>
          <w:jc w:val="center"/>
        </w:trPr>
        <w:tc>
          <w:tcPr>
            <w:tcW w:w="1083" w:type="dxa"/>
            <w:vAlign w:val="center"/>
          </w:tcPr>
          <w:p w14:paraId="350AA175"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73E0DF57"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14E504A5"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30EFE11E"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7D9C180F"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14:paraId="6853E152"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62270" w14:paraId="24C999A0" w14:textId="77777777">
        <w:trPr>
          <w:jc w:val="center"/>
        </w:trPr>
        <w:tc>
          <w:tcPr>
            <w:tcW w:w="1129" w:type="dxa"/>
            <w:vAlign w:val="center"/>
          </w:tcPr>
          <w:p w14:paraId="683CE672" w14:textId="77777777" w:rsidR="00362270" w:rsidRDefault="00767625">
            <w:pPr>
              <w:jc w:val="center"/>
            </w:pPr>
            <w:r>
              <w:rPr>
                <w:color w:val="000000"/>
                <w:sz w:val="24"/>
                <w:szCs w:val="24"/>
              </w:rPr>
              <w:t>1</w:t>
            </w:r>
          </w:p>
        </w:tc>
        <w:tc>
          <w:tcPr>
            <w:tcW w:w="1356" w:type="dxa"/>
            <w:vAlign w:val="center"/>
          </w:tcPr>
          <w:p w14:paraId="03619755" w14:textId="77777777" w:rsidR="00362270" w:rsidRDefault="00767625">
            <w:pPr>
              <w:jc w:val="center"/>
            </w:pPr>
            <w:r>
              <w:rPr>
                <w:color w:val="000000"/>
                <w:sz w:val="24"/>
                <w:szCs w:val="24"/>
              </w:rPr>
              <w:t>300488</w:t>
            </w:r>
          </w:p>
        </w:tc>
        <w:tc>
          <w:tcPr>
            <w:tcW w:w="1355" w:type="dxa"/>
            <w:vAlign w:val="center"/>
          </w:tcPr>
          <w:p w14:paraId="51F74B47" w14:textId="77777777" w:rsidR="00362270" w:rsidRDefault="00767625">
            <w:pPr>
              <w:jc w:val="center"/>
            </w:pPr>
            <w:r>
              <w:rPr>
                <w:color w:val="000000"/>
                <w:sz w:val="24"/>
                <w:szCs w:val="24"/>
              </w:rPr>
              <w:t>恒锋工具</w:t>
            </w:r>
          </w:p>
        </w:tc>
        <w:tc>
          <w:tcPr>
            <w:tcW w:w="1880" w:type="dxa"/>
            <w:vAlign w:val="center"/>
          </w:tcPr>
          <w:p w14:paraId="170FD3DD" w14:textId="77777777" w:rsidR="00362270" w:rsidRDefault="00767625">
            <w:pPr>
              <w:jc w:val="right"/>
            </w:pPr>
            <w:r>
              <w:rPr>
                <w:color w:val="000000"/>
                <w:sz w:val="24"/>
                <w:szCs w:val="24"/>
              </w:rPr>
              <w:t>3,228,421.70</w:t>
            </w:r>
          </w:p>
        </w:tc>
        <w:tc>
          <w:tcPr>
            <w:tcW w:w="1724" w:type="dxa"/>
            <w:vAlign w:val="center"/>
          </w:tcPr>
          <w:p w14:paraId="553F7C6E" w14:textId="77777777" w:rsidR="00362270" w:rsidRDefault="00767625">
            <w:pPr>
              <w:jc w:val="right"/>
            </w:pPr>
            <w:r>
              <w:rPr>
                <w:color w:val="000000"/>
                <w:sz w:val="24"/>
                <w:szCs w:val="24"/>
              </w:rPr>
              <w:t>0.30</w:t>
            </w:r>
          </w:p>
        </w:tc>
        <w:tc>
          <w:tcPr>
            <w:tcW w:w="1424" w:type="dxa"/>
            <w:vAlign w:val="center"/>
          </w:tcPr>
          <w:p w14:paraId="7F957C2C" w14:textId="77777777" w:rsidR="00362270" w:rsidRDefault="00AE68E6">
            <w:pPr>
              <w:jc w:val="right"/>
            </w:pPr>
            <w:r w:rsidRPr="00AE68E6">
              <w:rPr>
                <w:rFonts w:hint="eastAsia"/>
                <w:color w:val="000000"/>
                <w:sz w:val="24"/>
                <w:szCs w:val="24"/>
              </w:rPr>
              <w:t>限售股</w:t>
            </w:r>
          </w:p>
        </w:tc>
      </w:tr>
    </w:tbl>
    <w:p w14:paraId="6517497E" w14:textId="77777777" w:rsidR="002918E3" w:rsidRPr="00414345" w:rsidRDefault="002918E3" w:rsidP="00C15CAC">
      <w:pPr>
        <w:autoSpaceDE w:val="0"/>
        <w:autoSpaceDN w:val="0"/>
        <w:adjustRightInd w:val="0"/>
        <w:spacing w:before="29" w:line="288" w:lineRule="auto"/>
        <w:rPr>
          <w:color w:val="000000"/>
          <w:sz w:val="24"/>
          <w:szCs w:val="24"/>
        </w:rPr>
      </w:pPr>
    </w:p>
    <w:p w14:paraId="496B53B8"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14:paraId="357797BB" w14:textId="77777777"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14:paraId="4804AB43" w14:textId="77777777" w:rsidR="006B2FF6" w:rsidRPr="00414345" w:rsidRDefault="006B2FF6" w:rsidP="00C15CAC">
      <w:pPr>
        <w:spacing w:before="29" w:line="288" w:lineRule="auto"/>
        <w:ind w:firstLineChars="200" w:firstLine="480"/>
        <w:rPr>
          <w:color w:val="000000"/>
          <w:sz w:val="24"/>
          <w:szCs w:val="24"/>
        </w:rPr>
      </w:pPr>
    </w:p>
    <w:p w14:paraId="762B0A5E" w14:textId="77777777"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14:paraId="6C39C0F7"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14:paraId="0D59E068"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7EACB7A4"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30E0EC8" w14:textId="77777777"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251,866,170.24</w:t>
            </w:r>
          </w:p>
        </w:tc>
      </w:tr>
      <w:tr w:rsidR="004061AC" w:rsidRPr="00414345" w14:paraId="070D2830"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4C02AFC6" w14:textId="77777777"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E1E2F66"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958,075,616.12</w:t>
            </w:r>
          </w:p>
        </w:tc>
      </w:tr>
      <w:tr w:rsidR="004061AC" w:rsidRPr="00414345" w14:paraId="17BBDBF8"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1ECB5B88"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A833CAE"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195,675,422.50</w:t>
            </w:r>
          </w:p>
        </w:tc>
      </w:tr>
      <w:tr w:rsidR="004061AC" w:rsidRPr="00414345" w14:paraId="0651693D"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1CF27D35" w14:textId="77777777"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1DBA1201"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78,457,511.37</w:t>
            </w:r>
          </w:p>
        </w:tc>
      </w:tr>
      <w:tr w:rsidR="006D7FF8" w:rsidRPr="00414345" w14:paraId="576FB579"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7C3EF776" w14:textId="77777777"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6A873D0" w14:textId="77777777"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1,092,723,875.23</w:t>
            </w:r>
          </w:p>
        </w:tc>
      </w:tr>
    </w:tbl>
    <w:p w14:paraId="7391C4A9" w14:textId="77777777" w:rsidR="00362270" w:rsidRDefault="0076762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14:paraId="3A328234"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14:paraId="3EB9D3A4" w14:textId="77777777" w:rsidR="00320E90" w:rsidRDefault="00320E90" w:rsidP="00C15CAC">
      <w:pPr>
        <w:autoSpaceDE w:val="0"/>
        <w:autoSpaceDN w:val="0"/>
        <w:adjustRightInd w:val="0"/>
        <w:spacing w:before="29" w:line="288" w:lineRule="auto"/>
        <w:jc w:val="left"/>
        <w:rPr>
          <w:color w:val="000000"/>
          <w:sz w:val="24"/>
          <w:szCs w:val="24"/>
        </w:rPr>
      </w:pPr>
    </w:p>
    <w:p w14:paraId="79F910BE" w14:textId="77777777"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14:paraId="630444E1" w14:textId="77777777"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14:paraId="35D34F52" w14:textId="77777777"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14:paraId="0696BFA1" w14:textId="77777777" w:rsidR="00410630" w:rsidRDefault="00410630" w:rsidP="00C15CAC">
      <w:pPr>
        <w:autoSpaceDE w:val="0"/>
        <w:autoSpaceDN w:val="0"/>
        <w:adjustRightInd w:val="0"/>
        <w:spacing w:before="29" w:line="288" w:lineRule="auto"/>
        <w:jc w:val="left"/>
        <w:rPr>
          <w:rFonts w:eastAsiaTheme="minorEastAsia"/>
          <w:color w:val="000000"/>
          <w:sz w:val="24"/>
        </w:rPr>
      </w:pPr>
    </w:p>
    <w:p w14:paraId="604237DD" w14:textId="77777777"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14:paraId="6765F1D9" w14:textId="77777777"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14:paraId="4CFC067F" w14:textId="77777777" w:rsidR="00480B35" w:rsidRPr="00414345" w:rsidRDefault="00480B35" w:rsidP="00C15CAC">
      <w:pPr>
        <w:autoSpaceDE w:val="0"/>
        <w:autoSpaceDN w:val="0"/>
        <w:adjustRightInd w:val="0"/>
        <w:spacing w:before="29" w:line="288" w:lineRule="auto"/>
        <w:jc w:val="left"/>
        <w:rPr>
          <w:color w:val="000000"/>
          <w:sz w:val="24"/>
        </w:rPr>
      </w:pPr>
    </w:p>
    <w:p w14:paraId="7B9208DB"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14:paraId="2C6AA7C8"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根据《交银施罗德荣祥保本混合型证券投资基金基金合同》和《交银施罗德基金管理有限公司关于交银施罗德荣祥保本混合型证券投资基金保本周期到期及转入下一保本周期的相关规则公告》等的相关规定，本基金第一个保本周期为</w:t>
      </w:r>
      <w:r w:rsidRPr="00414345">
        <w:rPr>
          <w:color w:val="000000"/>
          <w:sz w:val="24"/>
          <w:szCs w:val="24"/>
        </w:rPr>
        <w:t>2013</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24</w:t>
      </w:r>
      <w:r w:rsidRPr="00414345">
        <w:rPr>
          <w:color w:val="000000"/>
          <w:sz w:val="24"/>
          <w:szCs w:val="24"/>
        </w:rPr>
        <w:t>日开始至</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25</w:t>
      </w:r>
      <w:r w:rsidRPr="00414345">
        <w:rPr>
          <w:color w:val="000000"/>
          <w:sz w:val="24"/>
          <w:szCs w:val="24"/>
        </w:rPr>
        <w:t>日到期。本基金在第一个保本周期届满后，在符合基金合同规定的保本基金存续条件下，本基金进入第二个保本周期。本基金第一个保本周期的到期期间自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25</w:t>
      </w:r>
      <w:r w:rsidRPr="00414345">
        <w:rPr>
          <w:color w:val="000000"/>
          <w:sz w:val="24"/>
          <w:szCs w:val="24"/>
        </w:rPr>
        <w:t>日（含）起至</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28</w:t>
      </w:r>
      <w:r w:rsidRPr="00414345">
        <w:rPr>
          <w:color w:val="000000"/>
          <w:sz w:val="24"/>
          <w:szCs w:val="24"/>
        </w:rPr>
        <w:t>日（含）止。本基金到期期间结束后第一个工作日起至下一保本周期开始日前一工作日止的期间为过渡期，过渡期自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29</w:t>
      </w:r>
      <w:r w:rsidRPr="00414345">
        <w:rPr>
          <w:color w:val="000000"/>
          <w:sz w:val="24"/>
          <w:szCs w:val="24"/>
        </w:rPr>
        <w:t>日（含）起至</w:t>
      </w:r>
      <w:r w:rsidRPr="00414345">
        <w:rPr>
          <w:color w:val="000000"/>
          <w:sz w:val="24"/>
          <w:szCs w:val="24"/>
        </w:rPr>
        <w:t>2016</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25</w:t>
      </w:r>
      <w:r w:rsidRPr="00414345">
        <w:rPr>
          <w:color w:val="000000"/>
          <w:sz w:val="24"/>
          <w:szCs w:val="24"/>
        </w:rPr>
        <w:t>日止（含），过渡期的最后一个工作日为折算日，即于</w:t>
      </w:r>
      <w:r w:rsidRPr="00414345">
        <w:rPr>
          <w:color w:val="000000"/>
          <w:sz w:val="24"/>
          <w:szCs w:val="24"/>
        </w:rPr>
        <w:t>2016</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25</w:t>
      </w:r>
      <w:r w:rsidRPr="00414345">
        <w:rPr>
          <w:color w:val="000000"/>
          <w:sz w:val="24"/>
          <w:szCs w:val="24"/>
        </w:rPr>
        <w:t>日收市后进行基金份额折算，折算后基金份额净值调整为</w:t>
      </w:r>
      <w:r w:rsidRPr="00414345">
        <w:rPr>
          <w:color w:val="000000"/>
          <w:sz w:val="24"/>
          <w:szCs w:val="24"/>
        </w:rPr>
        <w:t xml:space="preserve">1.000 </w:t>
      </w:r>
      <w:r w:rsidRPr="00414345">
        <w:rPr>
          <w:color w:val="000000"/>
          <w:sz w:val="24"/>
          <w:szCs w:val="24"/>
        </w:rPr>
        <w:t>元。本基金第二个保本周期的起始日为</w:t>
      </w:r>
      <w:r w:rsidRPr="00414345">
        <w:rPr>
          <w:color w:val="000000"/>
          <w:sz w:val="24"/>
          <w:szCs w:val="24"/>
        </w:rPr>
        <w:t>2016</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26</w:t>
      </w:r>
      <w:r w:rsidRPr="00414345">
        <w:rPr>
          <w:color w:val="000000"/>
          <w:sz w:val="24"/>
          <w:szCs w:val="24"/>
        </w:rPr>
        <w:t>日，保本周期为三年（自本基金公告的保本周期起始之日起至三个公历年后对应日止），即第二个保本周期为自</w:t>
      </w:r>
      <w:r w:rsidRPr="00414345">
        <w:rPr>
          <w:color w:val="000000"/>
          <w:sz w:val="24"/>
          <w:szCs w:val="24"/>
        </w:rPr>
        <w:t>2016</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26</w:t>
      </w:r>
      <w:r w:rsidRPr="00414345">
        <w:rPr>
          <w:color w:val="000000"/>
          <w:sz w:val="24"/>
          <w:szCs w:val="24"/>
        </w:rPr>
        <w:t>日至</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26</w:t>
      </w:r>
      <w:r w:rsidRPr="00414345">
        <w:rPr>
          <w:color w:val="000000"/>
          <w:sz w:val="24"/>
          <w:szCs w:val="24"/>
        </w:rPr>
        <w:t>日止。如保本周期到期日为非工作日，则保本周期到期日顺延至下一个工作日。详情请查阅关于本基金保本周期到期及转入下一保本周期相关安排的系列公告。</w:t>
      </w:r>
    </w:p>
    <w:p w14:paraId="12B35EA1" w14:textId="77777777" w:rsidR="00ED6E80" w:rsidRPr="00414345" w:rsidRDefault="00ED6E80" w:rsidP="00C15CAC">
      <w:pPr>
        <w:spacing w:before="29" w:line="288" w:lineRule="auto"/>
        <w:ind w:firstLineChars="200" w:firstLine="480"/>
        <w:rPr>
          <w:color w:val="000000"/>
          <w:sz w:val="24"/>
          <w:szCs w:val="24"/>
        </w:rPr>
      </w:pPr>
    </w:p>
    <w:p w14:paraId="0641F818" w14:textId="77777777"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14:paraId="2BD76DA3"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14:paraId="0295D38B" w14:textId="77777777" w:rsidR="00362270" w:rsidRDefault="0076762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14:paraId="48E1405B" w14:textId="77777777" w:rsidR="00362270" w:rsidRDefault="0076762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14:paraId="046EBA22" w14:textId="77777777" w:rsidR="00362270" w:rsidRDefault="0076762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14:paraId="26E75104" w14:textId="77777777" w:rsidR="00362270" w:rsidRDefault="0076762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14:paraId="131BD5CE" w14:textId="77777777" w:rsidR="00362270" w:rsidRDefault="0076762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14:paraId="2DE60106" w14:textId="77777777" w:rsidR="00362270" w:rsidRDefault="00767625">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14:paraId="6BC21E11" w14:textId="77777777" w:rsidR="00362270" w:rsidRDefault="00767625">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14:paraId="110858AE" w14:textId="77777777" w:rsidR="00362270" w:rsidRDefault="00767625">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14:paraId="083ED146"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14:paraId="6CEF1789" w14:textId="77777777" w:rsidR="006A48FD" w:rsidRPr="00414345" w:rsidRDefault="006A48FD" w:rsidP="00C15CAC">
      <w:pPr>
        <w:spacing w:before="29" w:line="288" w:lineRule="auto"/>
        <w:ind w:firstLineChars="200" w:firstLine="480"/>
        <w:rPr>
          <w:color w:val="000000"/>
          <w:sz w:val="24"/>
          <w:szCs w:val="24"/>
        </w:rPr>
      </w:pPr>
    </w:p>
    <w:p w14:paraId="2B66C9F3"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14:paraId="215E2767"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14:paraId="341A4FC5" w14:textId="77777777" w:rsidR="006A48FD" w:rsidRPr="00414345" w:rsidRDefault="006A48FD" w:rsidP="00C15CAC">
      <w:pPr>
        <w:spacing w:before="29" w:line="288" w:lineRule="auto"/>
        <w:ind w:firstLineChars="200" w:firstLine="480"/>
        <w:rPr>
          <w:color w:val="000000"/>
          <w:sz w:val="24"/>
          <w:szCs w:val="24"/>
        </w:rPr>
      </w:pPr>
    </w:p>
    <w:p w14:paraId="7072F8A1"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14:paraId="05B91DF2" w14:textId="77777777" w:rsidR="00362270" w:rsidRDefault="0076762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14:paraId="29BE7E4B" w14:textId="77777777"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14:paraId="0BFFD1A0" w14:textId="77777777"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DFD09" w14:textId="77777777" w:rsidR="00FF6D4B" w:rsidRDefault="00FF6D4B" w:rsidP="00876D65">
      <w:r>
        <w:separator/>
      </w:r>
    </w:p>
  </w:endnote>
  <w:endnote w:type="continuationSeparator" w:id="0">
    <w:p w14:paraId="7E17A6EF" w14:textId="77777777" w:rsidR="00FF6D4B" w:rsidRDefault="00FF6D4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2C17A" w14:textId="77777777"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A1FCB">
      <w:rPr>
        <w:noProof/>
        <w:kern w:val="0"/>
        <w:szCs w:val="21"/>
      </w:rPr>
      <w:t>7</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A1FCB">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469D2" w14:textId="77777777" w:rsidR="00FF6D4B" w:rsidRDefault="00FF6D4B" w:rsidP="00876D65">
      <w:r>
        <w:separator/>
      </w:r>
    </w:p>
  </w:footnote>
  <w:footnote w:type="continuationSeparator" w:id="0">
    <w:p w14:paraId="2FA30F37" w14:textId="77777777" w:rsidR="00FF6D4B" w:rsidRDefault="00FF6D4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EAD1B" w14:textId="77777777"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14:anchorId="35371424" wp14:editId="1D0C7E93">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823"/>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2270"/>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3505"/>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2FD3"/>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1FCB"/>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625"/>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68E6"/>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3501"/>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0BB"/>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13AB"/>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C7C2B"/>
    <w:rsid w:val="00DE27F7"/>
    <w:rsid w:val="00DE4B43"/>
    <w:rsid w:val="00E02660"/>
    <w:rsid w:val="00E16C9B"/>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D4B"/>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FD8BB"/>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6C331-4AC2-4EA5-93A4-C8D2A99E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13</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569</cp:revision>
  <dcterms:created xsi:type="dcterms:W3CDTF">2012-10-16T06:07:00Z</dcterms:created>
  <dcterms:modified xsi:type="dcterms:W3CDTF">2016-07-20T02:06:00Z</dcterms:modified>
</cp:coreProperties>
</file>