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FC7F43" w:rsidRPr="007F52FA" w:rsidRDefault="00FC7F4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7F52FA" w:rsidRDefault="009A2283" w:rsidP="007C14DF">
      <w:pPr>
        <w:autoSpaceDE w:val="0"/>
        <w:autoSpaceDN w:val="0"/>
        <w:adjustRightInd w:val="0"/>
        <w:spacing w:before="29" w:line="288" w:lineRule="auto"/>
        <w:jc w:val="left"/>
        <w:rPr>
          <w:rFonts w:eastAsiaTheme="minorEastAsia"/>
          <w:color w:val="000000"/>
          <w:kern w:val="0"/>
          <w:sz w:val="24"/>
        </w:rPr>
      </w:pPr>
    </w:p>
    <w:p w:rsidR="009A2283"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交银施罗德双轮动债券型证券投资基金</w:t>
      </w:r>
    </w:p>
    <w:p w:rsidR="002D2A00" w:rsidRPr="005858C2" w:rsidRDefault="002D2A00" w:rsidP="007C14DF">
      <w:pPr>
        <w:spacing w:before="29" w:line="288" w:lineRule="auto"/>
        <w:jc w:val="center"/>
        <w:rPr>
          <w:rFonts w:eastAsiaTheme="minorEastAsia"/>
          <w:b/>
          <w:sz w:val="36"/>
          <w:szCs w:val="36"/>
        </w:rPr>
      </w:pPr>
      <w:r w:rsidRPr="005858C2">
        <w:rPr>
          <w:rFonts w:eastAsiaTheme="minorEastAsia"/>
          <w:b/>
          <w:sz w:val="36"/>
          <w:szCs w:val="36"/>
        </w:rPr>
        <w:t>2016</w:t>
      </w:r>
      <w:r w:rsidRPr="005858C2">
        <w:rPr>
          <w:rFonts w:eastAsiaTheme="minorEastAsia"/>
          <w:b/>
          <w:sz w:val="36"/>
          <w:szCs w:val="36"/>
        </w:rPr>
        <w:t>年第</w:t>
      </w:r>
      <w:r w:rsidRPr="005858C2">
        <w:rPr>
          <w:rFonts w:eastAsiaTheme="minorEastAsia"/>
          <w:b/>
          <w:sz w:val="36"/>
          <w:szCs w:val="36"/>
        </w:rPr>
        <w:t>2</w:t>
      </w:r>
      <w:r w:rsidRPr="005858C2">
        <w:rPr>
          <w:rFonts w:eastAsiaTheme="minorEastAsia"/>
          <w:b/>
          <w:sz w:val="36"/>
          <w:szCs w:val="36"/>
        </w:rPr>
        <w:t>季度报告</w:t>
      </w:r>
    </w:p>
    <w:p w:rsidR="009A2283" w:rsidRPr="005858C2" w:rsidRDefault="00121533" w:rsidP="007C14DF">
      <w:pPr>
        <w:spacing w:before="29" w:line="288" w:lineRule="auto"/>
        <w:jc w:val="center"/>
        <w:rPr>
          <w:b/>
          <w:sz w:val="36"/>
          <w:szCs w:val="36"/>
        </w:rPr>
      </w:pPr>
      <w:r w:rsidRPr="005858C2">
        <w:rPr>
          <w:b/>
          <w:sz w:val="36"/>
          <w:szCs w:val="36"/>
        </w:rPr>
        <w:t>2016</w:t>
      </w:r>
      <w:r w:rsidRPr="005858C2">
        <w:rPr>
          <w:b/>
          <w:sz w:val="36"/>
          <w:szCs w:val="36"/>
        </w:rPr>
        <w:t>年</w:t>
      </w:r>
      <w:r w:rsidRPr="005858C2">
        <w:rPr>
          <w:b/>
          <w:sz w:val="36"/>
          <w:szCs w:val="36"/>
        </w:rPr>
        <w:t>6</w:t>
      </w:r>
      <w:r w:rsidRPr="005858C2">
        <w:rPr>
          <w:b/>
          <w:sz w:val="36"/>
          <w:szCs w:val="36"/>
        </w:rPr>
        <w:t>月</w:t>
      </w:r>
      <w:r w:rsidRPr="005858C2">
        <w:rPr>
          <w:b/>
          <w:sz w:val="36"/>
          <w:szCs w:val="36"/>
        </w:rPr>
        <w:t>30</w:t>
      </w:r>
      <w:r w:rsidRPr="005858C2">
        <w:rPr>
          <w:b/>
          <w:sz w:val="36"/>
          <w:szCs w:val="36"/>
        </w:rPr>
        <w:t>日</w:t>
      </w:r>
    </w:p>
    <w:p w:rsidR="009A2283" w:rsidRPr="007F52FA" w:rsidRDefault="009A2283" w:rsidP="007C14DF">
      <w:pPr>
        <w:spacing w:before="29" w:line="288" w:lineRule="auto"/>
        <w:jc w:val="center"/>
        <w:rPr>
          <w:rFonts w:eastAsiaTheme="minorEastAsia"/>
          <w:b/>
          <w:color w:val="000000"/>
          <w:sz w:val="24"/>
        </w:rPr>
      </w:pPr>
    </w:p>
    <w:p w:rsidR="009A2283" w:rsidRPr="00657487"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E27360" w:rsidRPr="007F52FA" w:rsidRDefault="00E27360"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jc w:val="center"/>
        <w:rPr>
          <w:rFonts w:eastAsiaTheme="minorEastAsia"/>
          <w:b/>
          <w:color w:val="000000"/>
          <w:sz w:val="24"/>
        </w:rPr>
      </w:pPr>
    </w:p>
    <w:p w:rsidR="009A2283" w:rsidRPr="007F52FA" w:rsidRDefault="009A2283" w:rsidP="007C14DF">
      <w:pPr>
        <w:spacing w:before="29" w:line="288" w:lineRule="auto"/>
        <w:rPr>
          <w:color w:val="000000"/>
          <w:sz w:val="24"/>
        </w:rPr>
      </w:pP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基金管理人：</w:t>
      </w:r>
      <w:r w:rsidR="00BF377F" w:rsidRPr="005858C2">
        <w:rPr>
          <w:b/>
          <w:color w:val="000000"/>
          <w:sz w:val="24"/>
        </w:rPr>
        <w:t>交银施罗德基金管理有限公司</w:t>
      </w:r>
    </w:p>
    <w:p w:rsidR="00BD1A02" w:rsidRPr="005858C2" w:rsidRDefault="009A2283" w:rsidP="007C14DF">
      <w:pPr>
        <w:spacing w:before="29" w:line="288" w:lineRule="auto"/>
        <w:ind w:firstLineChars="900" w:firstLine="2168"/>
        <w:rPr>
          <w:b/>
          <w:color w:val="000000"/>
          <w:sz w:val="24"/>
        </w:rPr>
      </w:pPr>
      <w:r w:rsidRPr="005858C2">
        <w:rPr>
          <w:b/>
          <w:color w:val="000000"/>
          <w:sz w:val="24"/>
        </w:rPr>
        <w:t>基金托管人：</w:t>
      </w:r>
      <w:r w:rsidR="00BF377F" w:rsidRPr="005858C2">
        <w:rPr>
          <w:b/>
          <w:color w:val="000000"/>
          <w:sz w:val="24"/>
        </w:rPr>
        <w:t>中信银行股份有限公司</w:t>
      </w:r>
    </w:p>
    <w:p w:rsidR="009A2283" w:rsidRPr="005858C2" w:rsidRDefault="009A2283" w:rsidP="007C14DF">
      <w:pPr>
        <w:spacing w:before="29" w:line="288" w:lineRule="auto"/>
        <w:ind w:firstLineChars="900" w:firstLine="2168"/>
        <w:rPr>
          <w:b/>
          <w:sz w:val="24"/>
        </w:rPr>
        <w:sectPr w:rsidR="009A2283" w:rsidRPr="005858C2" w:rsidSect="007A5233">
          <w:headerReference w:type="default" r:id="rId8"/>
          <w:footerReference w:type="default" r:id="rId9"/>
          <w:pgSz w:w="11926" w:h="15840"/>
          <w:pgMar w:top="1418" w:right="1440" w:bottom="851" w:left="1440" w:header="851" w:footer="992" w:gutter="0"/>
          <w:cols w:space="720"/>
          <w:noEndnote/>
        </w:sectPr>
      </w:pPr>
      <w:r w:rsidRPr="005858C2">
        <w:rPr>
          <w:b/>
          <w:color w:val="000000"/>
          <w:sz w:val="24"/>
        </w:rPr>
        <w:t>报告送出日期：</w:t>
      </w:r>
      <w:r w:rsidR="00D04410" w:rsidRPr="005858C2">
        <w:rPr>
          <w:b/>
          <w:color w:val="000000"/>
          <w:sz w:val="24"/>
        </w:rPr>
        <w:t>二〇一六年七月二十一日</w:t>
      </w:r>
    </w:p>
    <w:p w:rsidR="009238DB" w:rsidRPr="007F52FA" w:rsidRDefault="009238DB" w:rsidP="00310317">
      <w:pPr>
        <w:pStyle w:val="1"/>
        <w:spacing w:beforeLines="100" w:before="312" w:afterLines="100" w:after="312" w:line="288" w:lineRule="auto"/>
        <w:jc w:val="center"/>
        <w:rPr>
          <w:b w:val="0"/>
          <w:color w:val="000000"/>
          <w:kern w:val="0"/>
          <w:sz w:val="24"/>
          <w:szCs w:val="24"/>
        </w:rPr>
      </w:pPr>
      <w:r w:rsidRPr="007F52FA">
        <w:rPr>
          <w:color w:val="000000"/>
          <w:kern w:val="0"/>
          <w:sz w:val="24"/>
          <w:szCs w:val="24"/>
        </w:rPr>
        <w:lastRenderedPageBreak/>
        <w:t xml:space="preserve">§1  </w:t>
      </w:r>
      <w:r w:rsidRPr="007F52FA">
        <w:rPr>
          <w:color w:val="000000"/>
          <w:kern w:val="0"/>
          <w:sz w:val="24"/>
          <w:szCs w:val="24"/>
        </w:rPr>
        <w:t>重要提示</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基金管理人的董事会及董事保证本报告所载资料不存在虚假记载、误导性陈述或重大遗漏，并对其内容的真实性、准确性和完整性承担个别及连带责任。</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基金托管人中信银行股份有限公司根据本基金合同规定，于</w:t>
      </w:r>
      <w:r>
        <w:rPr>
          <w:rFonts w:eastAsiaTheme="minorEastAsia"/>
          <w:color w:val="000000"/>
          <w:sz w:val="24"/>
        </w:rPr>
        <w:t>2016</w:t>
      </w:r>
      <w:r>
        <w:rPr>
          <w:rFonts w:eastAsiaTheme="minorEastAsia"/>
          <w:color w:val="000000"/>
          <w:sz w:val="24"/>
        </w:rPr>
        <w:t>年</w:t>
      </w:r>
      <w:r>
        <w:rPr>
          <w:rFonts w:eastAsiaTheme="minorEastAsia"/>
          <w:color w:val="000000"/>
          <w:sz w:val="24"/>
        </w:rPr>
        <w:t>7</w:t>
      </w:r>
      <w:r>
        <w:rPr>
          <w:rFonts w:eastAsiaTheme="minorEastAsia"/>
          <w:color w:val="000000"/>
          <w:sz w:val="24"/>
        </w:rPr>
        <w:t>月</w:t>
      </w:r>
      <w:r>
        <w:rPr>
          <w:rFonts w:eastAsiaTheme="minorEastAsia"/>
          <w:color w:val="000000"/>
          <w:sz w:val="24"/>
        </w:rPr>
        <w:t>20</w:t>
      </w:r>
      <w:r>
        <w:rPr>
          <w:rFonts w:eastAsiaTheme="minorEastAsia"/>
          <w:color w:val="000000"/>
          <w:sz w:val="24"/>
        </w:rPr>
        <w:t>日复核了本报告中的财务指标、净值表现和投资组合报告等内容，保证复核内容不存在虚假记载、误导性陈述或者重大遗漏。</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基金管理人承诺以诚实信用、勤勉尽责的原则管理和运用基金资产，但不保证基金一定盈利。</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基金的过往业绩并不代表其未来表现。投资有风险，投资者在作出投资决策前应仔细阅读本基金的招募说明书。</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本报告中财务资料未经审计。</w:t>
      </w:r>
      <w:r>
        <w:rPr>
          <w:rFonts w:eastAsiaTheme="minorEastAsia"/>
          <w:color w:val="000000"/>
          <w:sz w:val="24"/>
        </w:rPr>
        <w:t xml:space="preserve"> </w:t>
      </w:r>
    </w:p>
    <w:p w:rsidR="009238DB" w:rsidRPr="007F52FA" w:rsidRDefault="00267DA9" w:rsidP="007C14DF">
      <w:pPr>
        <w:spacing w:before="29" w:line="288" w:lineRule="auto"/>
        <w:ind w:firstLineChars="200" w:firstLine="480"/>
        <w:rPr>
          <w:rFonts w:eastAsiaTheme="minorEastAsia"/>
          <w:color w:val="000000"/>
          <w:sz w:val="24"/>
        </w:rPr>
      </w:pPr>
      <w:r w:rsidRPr="007F52FA">
        <w:rPr>
          <w:rFonts w:eastAsiaTheme="minorEastAsia"/>
          <w:color w:val="000000"/>
          <w:sz w:val="24"/>
        </w:rPr>
        <w:t>本报告期自</w:t>
      </w:r>
      <w:r w:rsidRPr="007F52FA">
        <w:rPr>
          <w:rFonts w:eastAsiaTheme="minorEastAsia"/>
          <w:color w:val="000000"/>
          <w:sz w:val="24"/>
        </w:rPr>
        <w:t>2016</w:t>
      </w:r>
      <w:r w:rsidRPr="007F52FA">
        <w:rPr>
          <w:rFonts w:eastAsiaTheme="minorEastAsia"/>
          <w:color w:val="000000"/>
          <w:sz w:val="24"/>
        </w:rPr>
        <w:t>年</w:t>
      </w:r>
      <w:r w:rsidRPr="007F52FA">
        <w:rPr>
          <w:rFonts w:eastAsiaTheme="minorEastAsia"/>
          <w:color w:val="000000"/>
          <w:sz w:val="24"/>
        </w:rPr>
        <w:t>4</w:t>
      </w:r>
      <w:r w:rsidRPr="007F52FA">
        <w:rPr>
          <w:rFonts w:eastAsiaTheme="minorEastAsia"/>
          <w:color w:val="000000"/>
          <w:sz w:val="24"/>
        </w:rPr>
        <w:t>月</w:t>
      </w:r>
      <w:r w:rsidRPr="007F52FA">
        <w:rPr>
          <w:rFonts w:eastAsiaTheme="minorEastAsia"/>
          <w:color w:val="000000"/>
          <w:sz w:val="24"/>
        </w:rPr>
        <w:t>1</w:t>
      </w:r>
      <w:r w:rsidRPr="007F52FA">
        <w:rPr>
          <w:rFonts w:eastAsiaTheme="minorEastAsia"/>
          <w:color w:val="000000"/>
          <w:sz w:val="24"/>
        </w:rPr>
        <w:t>日起至</w:t>
      </w:r>
      <w:r w:rsidRPr="007F52FA">
        <w:rPr>
          <w:rFonts w:eastAsiaTheme="minorEastAsia"/>
          <w:color w:val="000000"/>
          <w:sz w:val="24"/>
        </w:rPr>
        <w:t>6</w:t>
      </w:r>
      <w:r w:rsidRPr="007F52FA">
        <w:rPr>
          <w:rFonts w:eastAsiaTheme="minorEastAsia"/>
          <w:color w:val="000000"/>
          <w:sz w:val="24"/>
        </w:rPr>
        <w:t>月</w:t>
      </w:r>
      <w:r w:rsidRPr="007F52FA">
        <w:rPr>
          <w:rFonts w:eastAsiaTheme="minorEastAsia"/>
          <w:color w:val="000000"/>
          <w:sz w:val="24"/>
        </w:rPr>
        <w:t>30</w:t>
      </w:r>
      <w:r w:rsidRPr="007F52FA">
        <w:rPr>
          <w:rFonts w:eastAsiaTheme="minorEastAsia"/>
          <w:color w:val="000000"/>
          <w:sz w:val="24"/>
        </w:rPr>
        <w:t>日止。</w:t>
      </w:r>
    </w:p>
    <w:p w:rsidR="00740635" w:rsidRPr="007F52FA" w:rsidRDefault="00740635" w:rsidP="007C14DF">
      <w:pPr>
        <w:spacing w:before="29" w:line="288" w:lineRule="auto"/>
        <w:ind w:firstLineChars="200" w:firstLine="480"/>
        <w:rPr>
          <w:rFonts w:eastAsiaTheme="minorEastAsia"/>
          <w:color w:val="000000"/>
          <w:sz w:val="24"/>
        </w:rPr>
      </w:pPr>
    </w:p>
    <w:p w:rsidR="009238DB" w:rsidRPr="007F52FA" w:rsidRDefault="009238DB" w:rsidP="00310317">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§2  </w:t>
      </w:r>
      <w:r w:rsidRPr="007F52FA">
        <w:rPr>
          <w:color w:val="000000"/>
          <w:kern w:val="0"/>
          <w:sz w:val="24"/>
          <w:szCs w:val="24"/>
        </w:rPr>
        <w:t>基金产品概况</w:t>
      </w:r>
    </w:p>
    <w:tbl>
      <w:tblPr>
        <w:tblW w:w="8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3"/>
        <w:gridCol w:w="2922"/>
        <w:gridCol w:w="3048"/>
      </w:tblGrid>
      <w:tr w:rsidR="00A6200E" w:rsidRPr="007F52FA" w:rsidTr="009416C9">
        <w:trPr>
          <w:jc w:val="center"/>
        </w:trPr>
        <w:tc>
          <w:tcPr>
            <w:tcW w:w="3023" w:type="dxa"/>
            <w:vAlign w:val="center"/>
          </w:tcPr>
          <w:p w:rsidR="00A6200E" w:rsidRPr="007F52FA" w:rsidRDefault="00A6200E" w:rsidP="007C14DF">
            <w:pPr>
              <w:adjustRightInd w:val="0"/>
              <w:spacing w:before="29" w:line="288" w:lineRule="auto"/>
              <w:ind w:left="17"/>
              <w:jc w:val="left"/>
              <w:rPr>
                <w:kern w:val="0"/>
                <w:sz w:val="24"/>
              </w:rPr>
            </w:pPr>
            <w:r w:rsidRPr="007F52FA">
              <w:rPr>
                <w:kern w:val="0"/>
                <w:sz w:val="24"/>
              </w:rPr>
              <w:t>基金简称</w:t>
            </w:r>
          </w:p>
        </w:tc>
        <w:tc>
          <w:tcPr>
            <w:tcW w:w="5970" w:type="dxa"/>
            <w:gridSpan w:val="2"/>
            <w:vAlign w:val="center"/>
          </w:tcPr>
          <w:p w:rsidR="00A6200E" w:rsidRPr="007F52FA" w:rsidRDefault="00A6200E" w:rsidP="007C14DF">
            <w:pPr>
              <w:adjustRightInd w:val="0"/>
              <w:spacing w:before="29" w:line="288" w:lineRule="auto"/>
              <w:ind w:left="17"/>
              <w:jc w:val="left"/>
              <w:rPr>
                <w:color w:val="000000"/>
                <w:kern w:val="0"/>
                <w:sz w:val="24"/>
              </w:rPr>
            </w:pPr>
            <w:r w:rsidRPr="007F52FA">
              <w:rPr>
                <w:color w:val="000000"/>
                <w:kern w:val="0"/>
                <w:sz w:val="24"/>
              </w:rPr>
              <w:t>交银双轮动债券</w:t>
            </w:r>
          </w:p>
        </w:tc>
      </w:tr>
      <w:tr w:rsidR="00B95753" w:rsidRPr="007F52FA" w:rsidTr="009416C9">
        <w:trPr>
          <w:jc w:val="center"/>
        </w:trPr>
        <w:tc>
          <w:tcPr>
            <w:tcW w:w="3023" w:type="dxa"/>
            <w:vAlign w:val="center"/>
          </w:tcPr>
          <w:p w:rsidR="00B95753" w:rsidRPr="007F52FA" w:rsidRDefault="00B95753" w:rsidP="007C14DF">
            <w:pPr>
              <w:adjustRightInd w:val="0"/>
              <w:spacing w:before="29" w:line="288" w:lineRule="auto"/>
              <w:ind w:left="17"/>
              <w:jc w:val="left"/>
              <w:rPr>
                <w:kern w:val="0"/>
                <w:sz w:val="24"/>
              </w:rPr>
            </w:pPr>
            <w:r w:rsidRPr="007F52FA">
              <w:rPr>
                <w:kern w:val="0"/>
                <w:sz w:val="24"/>
              </w:rPr>
              <w:t>基金主代码</w:t>
            </w:r>
          </w:p>
        </w:tc>
        <w:tc>
          <w:tcPr>
            <w:tcW w:w="5970" w:type="dxa"/>
            <w:gridSpan w:val="2"/>
            <w:tcBorders>
              <w:bottom w:val="single" w:sz="4" w:space="0" w:color="auto"/>
            </w:tcBorders>
            <w:vAlign w:val="center"/>
          </w:tcPr>
          <w:p w:rsidR="00B95753" w:rsidRPr="007F52FA" w:rsidRDefault="00B95753" w:rsidP="007C14DF">
            <w:pPr>
              <w:adjustRightInd w:val="0"/>
              <w:spacing w:before="29" w:line="288" w:lineRule="auto"/>
              <w:ind w:left="17"/>
              <w:jc w:val="left"/>
              <w:rPr>
                <w:color w:val="000000"/>
                <w:kern w:val="0"/>
                <w:sz w:val="24"/>
              </w:rPr>
            </w:pPr>
            <w:r w:rsidRPr="007F52FA">
              <w:rPr>
                <w:color w:val="000000"/>
                <w:kern w:val="0"/>
                <w:sz w:val="24"/>
              </w:rPr>
              <w:t>519723</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基金运作方式</w:t>
            </w:r>
          </w:p>
        </w:tc>
        <w:tc>
          <w:tcPr>
            <w:tcW w:w="5970" w:type="dxa"/>
            <w:gridSpan w:val="2"/>
            <w:tcBorders>
              <w:top w:val="single" w:sz="4" w:space="0" w:color="auto"/>
            </w:tcBorders>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契约型开放式</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基金合同生效日</w:t>
            </w:r>
          </w:p>
        </w:tc>
        <w:tc>
          <w:tcPr>
            <w:tcW w:w="5970" w:type="dxa"/>
            <w:gridSpan w:val="2"/>
            <w:vAlign w:val="center"/>
          </w:tcPr>
          <w:p w:rsidR="008532F3" w:rsidRPr="007F52FA" w:rsidRDefault="008532F3" w:rsidP="007C14DF">
            <w:pPr>
              <w:adjustRightInd w:val="0"/>
              <w:spacing w:before="29" w:line="288" w:lineRule="auto"/>
              <w:ind w:left="17"/>
              <w:jc w:val="left"/>
              <w:rPr>
                <w:color w:val="000000"/>
                <w:kern w:val="0"/>
                <w:sz w:val="24"/>
              </w:rPr>
            </w:pPr>
            <w:r w:rsidRPr="007F52FA">
              <w:rPr>
                <w:color w:val="000000"/>
                <w:kern w:val="0"/>
                <w:sz w:val="24"/>
              </w:rPr>
              <w:t>2013</w:t>
            </w:r>
            <w:r w:rsidRPr="007F52FA">
              <w:rPr>
                <w:color w:val="000000"/>
                <w:kern w:val="0"/>
                <w:sz w:val="24"/>
              </w:rPr>
              <w:t>年</w:t>
            </w:r>
            <w:r w:rsidRPr="007F52FA">
              <w:rPr>
                <w:color w:val="000000"/>
                <w:kern w:val="0"/>
                <w:sz w:val="24"/>
              </w:rPr>
              <w:t>4</w:t>
            </w:r>
            <w:r w:rsidRPr="007F52FA">
              <w:rPr>
                <w:color w:val="000000"/>
                <w:kern w:val="0"/>
                <w:sz w:val="24"/>
              </w:rPr>
              <w:t>月</w:t>
            </w:r>
            <w:r w:rsidRPr="007F52FA">
              <w:rPr>
                <w:color w:val="000000"/>
                <w:kern w:val="0"/>
                <w:sz w:val="24"/>
              </w:rPr>
              <w:t>18</w:t>
            </w:r>
            <w:r w:rsidRPr="007F52FA">
              <w:rPr>
                <w:color w:val="000000"/>
                <w:kern w:val="0"/>
                <w:sz w:val="24"/>
              </w:rPr>
              <w:t>日</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报告期末基金份额总额</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2,978,159,691.29</w:t>
            </w:r>
            <w:r w:rsidRPr="007F52FA">
              <w:rPr>
                <w:color w:val="000000"/>
                <w:kern w:val="0"/>
                <w:sz w:val="24"/>
              </w:rPr>
              <w:t>份</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投资目标</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本基金在严格控制投资风险的基础上，通过积极主动的投资管理，把握债券市场轮动带来的机会，力争实现基金资产长期稳健的增值。</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投资策略</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充分发挥基金管理人的研究优势，将规范化的基本面研究、严谨的信用分析与积极主动的投资风格相结合，在分析和判断宏观经济运行状况和金融市场运行趋势的基础上，判断不同类别债券在经济周期的不同阶段的相对投资价值，动态调整大类金融资产比例，自上而下决定类属资产配置和债券组合久期、期限结构。同时，通过对信用债发债主体所处行业的景气轮动判断，并结合内部信用评级系统，综合考察信用债券的信用评级，在严谨深入的分析基础上，综合考量各类债券的流动性、供求关系和收益率水平等，自下而上地精选个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lastRenderedPageBreak/>
              <w:t>业绩比较基准</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中债综合全价指数</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风险收益特征</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本基金是一只债券型基金，属于证券投资基金中中等风险的品种，其长期平均的预期收益和预期风险高于货币市场基金，低于混合型基金和股票型基金。</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基金管理人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交银施罗德基金管理有限公司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sz w:val="24"/>
              </w:rPr>
            </w:pPr>
            <w:r w:rsidRPr="007F52FA">
              <w:rPr>
                <w:kern w:val="0"/>
                <w:sz w:val="24"/>
              </w:rPr>
              <w:t>基金托管人</w:t>
            </w:r>
          </w:p>
        </w:tc>
        <w:tc>
          <w:tcPr>
            <w:tcW w:w="5970" w:type="dxa"/>
            <w:gridSpan w:val="2"/>
            <w:vAlign w:val="center"/>
          </w:tcPr>
          <w:p w:rsidR="008532F3" w:rsidRPr="007F52FA" w:rsidRDefault="008532F3" w:rsidP="007C14DF">
            <w:pPr>
              <w:adjustRightInd w:val="0"/>
              <w:spacing w:before="29" w:line="288" w:lineRule="auto"/>
              <w:ind w:left="17"/>
              <w:jc w:val="left"/>
              <w:rPr>
                <w:color w:val="000000"/>
                <w:sz w:val="24"/>
              </w:rPr>
            </w:pPr>
            <w:r w:rsidRPr="007F52FA">
              <w:rPr>
                <w:color w:val="000000"/>
                <w:kern w:val="0"/>
                <w:sz w:val="24"/>
              </w:rPr>
              <w:t>中信银行股份有限公司</w:t>
            </w:r>
          </w:p>
        </w:tc>
      </w:tr>
      <w:tr w:rsidR="008532F3" w:rsidRPr="007F52FA" w:rsidTr="009416C9">
        <w:trPr>
          <w:jc w:val="center"/>
        </w:trPr>
        <w:tc>
          <w:tcPr>
            <w:tcW w:w="3023" w:type="dxa"/>
            <w:vAlign w:val="center"/>
          </w:tcPr>
          <w:p w:rsidR="008532F3" w:rsidRPr="007F52FA" w:rsidRDefault="008532F3" w:rsidP="007C14DF">
            <w:pPr>
              <w:adjustRightInd w:val="0"/>
              <w:spacing w:before="29" w:line="288" w:lineRule="auto"/>
              <w:ind w:left="17"/>
              <w:jc w:val="left"/>
              <w:rPr>
                <w:kern w:val="0"/>
                <w:sz w:val="24"/>
              </w:rPr>
            </w:pPr>
            <w:r w:rsidRPr="007F52FA">
              <w:rPr>
                <w:color w:val="000000"/>
                <w:sz w:val="24"/>
              </w:rPr>
              <w:t>下属两级基金的基金简称</w:t>
            </w:r>
          </w:p>
        </w:tc>
        <w:tc>
          <w:tcPr>
            <w:tcW w:w="2922"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A/B</w:t>
            </w:r>
          </w:p>
        </w:tc>
        <w:tc>
          <w:tcPr>
            <w:tcW w:w="3048" w:type="dxa"/>
            <w:vAlign w:val="center"/>
          </w:tcPr>
          <w:p w:rsidR="008532F3" w:rsidRPr="007F52FA" w:rsidRDefault="008532F3" w:rsidP="007C14DF">
            <w:pPr>
              <w:spacing w:before="29" w:line="288" w:lineRule="auto"/>
              <w:jc w:val="left"/>
              <w:rPr>
                <w:sz w:val="24"/>
              </w:rPr>
            </w:pPr>
            <w:r w:rsidRPr="007F52FA">
              <w:rPr>
                <w:sz w:val="24"/>
              </w:rPr>
              <w:t>交银双轮动债券</w:t>
            </w:r>
            <w:r w:rsidRPr="007F52FA">
              <w:rPr>
                <w:sz w:val="24"/>
              </w:rPr>
              <w:t>C</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下属两级基金的交易代码</w:t>
            </w:r>
          </w:p>
        </w:tc>
        <w:tc>
          <w:tcPr>
            <w:tcW w:w="2922" w:type="dxa"/>
            <w:vAlign w:val="center"/>
          </w:tcPr>
          <w:p w:rsidR="00C23B30" w:rsidRPr="007F52FA" w:rsidRDefault="00C23B30" w:rsidP="007C14DF">
            <w:pPr>
              <w:spacing w:before="29" w:line="288" w:lineRule="auto"/>
              <w:jc w:val="left"/>
              <w:rPr>
                <w:sz w:val="24"/>
              </w:rPr>
            </w:pPr>
            <w:r w:rsidRPr="007F52FA">
              <w:rPr>
                <w:color w:val="000000" w:themeColor="text1"/>
                <w:sz w:val="24"/>
              </w:rPr>
              <w:t>519723</w:t>
            </w:r>
            <w:r w:rsidRPr="007F52FA">
              <w:rPr>
                <w:color w:val="000000" w:themeColor="text1"/>
                <w:sz w:val="24"/>
              </w:rPr>
              <w:t>（前端）、</w:t>
            </w:r>
            <w:r w:rsidRPr="007F52FA">
              <w:rPr>
                <w:color w:val="000000" w:themeColor="text1"/>
                <w:sz w:val="24"/>
              </w:rPr>
              <w:t>519724</w:t>
            </w:r>
            <w:r w:rsidRPr="007F52FA">
              <w:rPr>
                <w:color w:val="000000" w:themeColor="text1"/>
                <w:sz w:val="24"/>
              </w:rPr>
              <w:t>（后端）</w:t>
            </w:r>
          </w:p>
        </w:tc>
        <w:tc>
          <w:tcPr>
            <w:tcW w:w="3048" w:type="dxa"/>
            <w:vAlign w:val="center"/>
          </w:tcPr>
          <w:p w:rsidR="00C23B30" w:rsidRPr="007F52FA" w:rsidRDefault="00C23B30" w:rsidP="007C14DF">
            <w:pPr>
              <w:spacing w:before="29" w:line="288" w:lineRule="auto"/>
              <w:jc w:val="left"/>
              <w:rPr>
                <w:color w:val="000000" w:themeColor="text1"/>
                <w:sz w:val="24"/>
              </w:rPr>
            </w:pPr>
            <w:r w:rsidRPr="007F52FA">
              <w:rPr>
                <w:color w:val="000000" w:themeColor="text1"/>
                <w:sz w:val="24"/>
              </w:rPr>
              <w:t>519725</w:t>
            </w:r>
          </w:p>
        </w:tc>
      </w:tr>
      <w:tr w:rsidR="00C23B30" w:rsidRPr="007F52FA" w:rsidTr="009416C9">
        <w:trPr>
          <w:jc w:val="center"/>
        </w:trPr>
        <w:tc>
          <w:tcPr>
            <w:tcW w:w="3023" w:type="dxa"/>
            <w:vAlign w:val="center"/>
          </w:tcPr>
          <w:p w:rsidR="00C23B30" w:rsidRPr="007F52FA" w:rsidRDefault="00C23B30" w:rsidP="007C14DF">
            <w:pPr>
              <w:adjustRightInd w:val="0"/>
              <w:spacing w:before="29" w:line="288" w:lineRule="auto"/>
              <w:ind w:left="17"/>
              <w:jc w:val="left"/>
              <w:rPr>
                <w:color w:val="000000"/>
                <w:sz w:val="24"/>
              </w:rPr>
            </w:pPr>
            <w:r w:rsidRPr="007F52FA">
              <w:rPr>
                <w:color w:val="000000"/>
                <w:sz w:val="24"/>
              </w:rPr>
              <w:t>报告期末下属两级基金的份额总额</w:t>
            </w:r>
          </w:p>
        </w:tc>
        <w:tc>
          <w:tcPr>
            <w:tcW w:w="2922" w:type="dxa"/>
            <w:vAlign w:val="center"/>
          </w:tcPr>
          <w:p w:rsidR="00C23B30" w:rsidRPr="007F52FA" w:rsidRDefault="00C23B30" w:rsidP="007C14DF">
            <w:pPr>
              <w:spacing w:before="29" w:line="288" w:lineRule="auto"/>
              <w:jc w:val="left"/>
              <w:rPr>
                <w:sz w:val="24"/>
              </w:rPr>
            </w:pPr>
            <w:r w:rsidRPr="007F52FA">
              <w:rPr>
                <w:sz w:val="24"/>
              </w:rPr>
              <w:t>2,963,325,234.53</w:t>
            </w:r>
            <w:r w:rsidRPr="007F52FA">
              <w:rPr>
                <w:color w:val="000000"/>
                <w:kern w:val="0"/>
                <w:sz w:val="24"/>
              </w:rPr>
              <w:t>份</w:t>
            </w:r>
          </w:p>
        </w:tc>
        <w:tc>
          <w:tcPr>
            <w:tcW w:w="3048" w:type="dxa"/>
            <w:vAlign w:val="center"/>
          </w:tcPr>
          <w:p w:rsidR="00C23B30" w:rsidRPr="007F52FA" w:rsidRDefault="00C23B30" w:rsidP="007C14DF">
            <w:pPr>
              <w:spacing w:before="29" w:line="288" w:lineRule="auto"/>
              <w:jc w:val="left"/>
              <w:rPr>
                <w:sz w:val="24"/>
              </w:rPr>
            </w:pPr>
            <w:r w:rsidRPr="007F52FA">
              <w:rPr>
                <w:sz w:val="24"/>
              </w:rPr>
              <w:t>14,834,456.76</w:t>
            </w:r>
            <w:r w:rsidRPr="007F52FA">
              <w:rPr>
                <w:color w:val="000000"/>
                <w:kern w:val="0"/>
                <w:sz w:val="24"/>
              </w:rPr>
              <w:t>份</w:t>
            </w:r>
          </w:p>
        </w:tc>
      </w:tr>
    </w:tbl>
    <w:p w:rsidR="009238DB" w:rsidRPr="007F52FA" w:rsidRDefault="00A6200E"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注：本基金</w:t>
      </w:r>
      <w:r w:rsidRPr="007F52FA">
        <w:rPr>
          <w:rFonts w:eastAsiaTheme="minorEastAsia"/>
          <w:color w:val="000000"/>
          <w:sz w:val="24"/>
        </w:rPr>
        <w:t>A</w:t>
      </w:r>
      <w:r w:rsidRPr="007F52FA">
        <w:rPr>
          <w:rFonts w:eastAsiaTheme="minorEastAsia"/>
          <w:color w:val="000000"/>
          <w:sz w:val="24"/>
        </w:rPr>
        <w:t>类基金份额采用前端收费模式，</w:t>
      </w:r>
      <w:r w:rsidRPr="007F52FA">
        <w:rPr>
          <w:rFonts w:eastAsiaTheme="minorEastAsia"/>
          <w:color w:val="000000"/>
          <w:sz w:val="24"/>
        </w:rPr>
        <w:t>B</w:t>
      </w:r>
      <w:r w:rsidRPr="007F52FA">
        <w:rPr>
          <w:rFonts w:eastAsiaTheme="minorEastAsia"/>
          <w:color w:val="000000"/>
          <w:sz w:val="24"/>
        </w:rPr>
        <w:t>类基金份额采用后端收费模式，前端交易代码即为</w:t>
      </w:r>
      <w:r w:rsidRPr="007F52FA">
        <w:rPr>
          <w:rFonts w:eastAsiaTheme="minorEastAsia"/>
          <w:color w:val="000000"/>
          <w:sz w:val="24"/>
        </w:rPr>
        <w:t>A</w:t>
      </w:r>
      <w:r w:rsidRPr="007F52FA">
        <w:rPr>
          <w:rFonts w:eastAsiaTheme="minorEastAsia"/>
          <w:color w:val="000000"/>
          <w:sz w:val="24"/>
        </w:rPr>
        <w:t>类基金份额交易代码，后端交易代码即为</w:t>
      </w:r>
      <w:r w:rsidRPr="007F52FA">
        <w:rPr>
          <w:rFonts w:eastAsiaTheme="minorEastAsia"/>
          <w:color w:val="000000"/>
          <w:sz w:val="24"/>
        </w:rPr>
        <w:t>B</w:t>
      </w:r>
      <w:r w:rsidRPr="007F52FA">
        <w:rPr>
          <w:rFonts w:eastAsiaTheme="minorEastAsia"/>
          <w:color w:val="000000"/>
          <w:sz w:val="24"/>
        </w:rPr>
        <w:t>类基金份额交易代码。</w:t>
      </w:r>
    </w:p>
    <w:p w:rsidR="00740635" w:rsidRPr="007F52FA" w:rsidRDefault="00740635" w:rsidP="007C14DF">
      <w:pPr>
        <w:autoSpaceDE w:val="0"/>
        <w:autoSpaceDN w:val="0"/>
        <w:adjustRightInd w:val="0"/>
        <w:spacing w:before="29" w:line="288" w:lineRule="auto"/>
        <w:jc w:val="left"/>
        <w:rPr>
          <w:rFonts w:eastAsiaTheme="minorEastAsia"/>
          <w:color w:val="000000"/>
          <w:sz w:val="24"/>
        </w:rPr>
      </w:pPr>
    </w:p>
    <w:p w:rsidR="009238DB" w:rsidRPr="007F52FA" w:rsidRDefault="009238DB" w:rsidP="00310317">
      <w:pPr>
        <w:pStyle w:val="1"/>
        <w:spacing w:beforeLines="100" w:before="312" w:afterLines="100" w:after="312" w:line="288" w:lineRule="auto"/>
        <w:jc w:val="center"/>
        <w:rPr>
          <w:color w:val="000000"/>
          <w:kern w:val="0"/>
          <w:sz w:val="24"/>
          <w:szCs w:val="24"/>
        </w:rPr>
      </w:pPr>
      <w:r w:rsidRPr="007F52FA">
        <w:rPr>
          <w:color w:val="000000"/>
          <w:kern w:val="0"/>
          <w:sz w:val="24"/>
          <w:szCs w:val="24"/>
        </w:rPr>
        <w:t xml:space="preserve">§3  </w:t>
      </w:r>
      <w:r w:rsidRPr="007F52FA">
        <w:rPr>
          <w:color w:val="000000"/>
          <w:kern w:val="0"/>
          <w:sz w:val="24"/>
          <w:szCs w:val="24"/>
        </w:rPr>
        <w:t>主要财务指标和基金净值表现</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3.1 </w:t>
      </w:r>
      <w:r w:rsidRPr="007F52FA">
        <w:rPr>
          <w:b/>
          <w:color w:val="000000"/>
          <w:kern w:val="0"/>
          <w:sz w:val="24"/>
        </w:rPr>
        <w:t>主要财务指标</w:t>
      </w:r>
    </w:p>
    <w:p w:rsidR="009238DB" w:rsidRPr="007F52FA" w:rsidRDefault="009238DB" w:rsidP="007C14DF">
      <w:pPr>
        <w:autoSpaceDE w:val="0"/>
        <w:autoSpaceDN w:val="0"/>
        <w:adjustRightInd w:val="0"/>
        <w:spacing w:before="29" w:line="288" w:lineRule="auto"/>
        <w:ind w:left="15" w:right="480"/>
        <w:jc w:val="right"/>
        <w:rPr>
          <w:color w:val="000000"/>
          <w:kern w:val="0"/>
          <w:sz w:val="24"/>
        </w:rPr>
      </w:pPr>
      <w:r w:rsidRPr="007F52FA">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6"/>
        <w:gridCol w:w="2631"/>
        <w:gridCol w:w="2631"/>
      </w:tblGrid>
      <w:tr w:rsidR="009E549D" w:rsidRPr="007F52FA" w:rsidTr="007A5233">
        <w:trPr>
          <w:jc w:val="center"/>
        </w:trPr>
        <w:tc>
          <w:tcPr>
            <w:tcW w:w="3402" w:type="dxa"/>
            <w:vMerge w:val="restart"/>
            <w:vAlign w:val="center"/>
          </w:tcPr>
          <w:p w:rsidR="009E549D" w:rsidRPr="007F52FA" w:rsidRDefault="009E549D" w:rsidP="007C14DF">
            <w:pPr>
              <w:adjustRightInd w:val="0"/>
              <w:spacing w:before="29" w:line="288" w:lineRule="auto"/>
              <w:ind w:left="17"/>
              <w:jc w:val="center"/>
              <w:rPr>
                <w:kern w:val="0"/>
                <w:sz w:val="24"/>
              </w:rPr>
            </w:pPr>
            <w:r w:rsidRPr="007F52FA">
              <w:rPr>
                <w:kern w:val="0"/>
                <w:sz w:val="24"/>
              </w:rPr>
              <w:t>主要财务指标</w:t>
            </w:r>
          </w:p>
        </w:tc>
        <w:tc>
          <w:tcPr>
            <w:tcW w:w="4962" w:type="dxa"/>
            <w:gridSpan w:val="2"/>
            <w:vAlign w:val="center"/>
          </w:tcPr>
          <w:p w:rsidR="002976E5" w:rsidRPr="007F52FA" w:rsidRDefault="009E549D" w:rsidP="007C14DF">
            <w:pPr>
              <w:adjustRightInd w:val="0"/>
              <w:spacing w:before="29" w:line="288" w:lineRule="auto"/>
              <w:ind w:left="17"/>
              <w:jc w:val="center"/>
              <w:rPr>
                <w:color w:val="000000"/>
                <w:sz w:val="24"/>
              </w:rPr>
            </w:pPr>
            <w:r w:rsidRPr="007F52FA">
              <w:rPr>
                <w:color w:val="000000"/>
                <w:sz w:val="24"/>
              </w:rPr>
              <w:t>报告期</w:t>
            </w:r>
          </w:p>
          <w:p w:rsidR="009E549D" w:rsidRPr="007F52FA" w:rsidRDefault="009E549D" w:rsidP="007C14DF">
            <w:pPr>
              <w:adjustRightInd w:val="0"/>
              <w:spacing w:before="29" w:line="288" w:lineRule="auto"/>
              <w:ind w:left="17"/>
              <w:jc w:val="center"/>
              <w:rPr>
                <w:color w:val="000000"/>
                <w:sz w:val="24"/>
              </w:rPr>
            </w:pPr>
            <w:r w:rsidRPr="007F52FA">
              <w:rPr>
                <w:color w:val="000000"/>
                <w:sz w:val="24"/>
              </w:rPr>
              <w:t>(2016</w:t>
            </w:r>
            <w:r w:rsidRPr="007F52FA">
              <w:rPr>
                <w:color w:val="000000"/>
                <w:sz w:val="24"/>
              </w:rPr>
              <w:t>年</w:t>
            </w:r>
            <w:r w:rsidRPr="007F52FA">
              <w:rPr>
                <w:color w:val="000000"/>
                <w:sz w:val="24"/>
              </w:rPr>
              <w:t>4</w:t>
            </w:r>
            <w:r w:rsidRPr="007F52FA">
              <w:rPr>
                <w:color w:val="000000"/>
                <w:sz w:val="24"/>
              </w:rPr>
              <w:t>月</w:t>
            </w:r>
            <w:r w:rsidRPr="007F52FA">
              <w:rPr>
                <w:color w:val="000000"/>
                <w:sz w:val="24"/>
              </w:rPr>
              <w:t>1</w:t>
            </w:r>
            <w:r w:rsidRPr="007F52FA">
              <w:rPr>
                <w:color w:val="000000"/>
                <w:sz w:val="24"/>
              </w:rPr>
              <w:t>日</w:t>
            </w:r>
            <w:r w:rsidRPr="007F52FA">
              <w:rPr>
                <w:color w:val="000000"/>
                <w:sz w:val="24"/>
              </w:rPr>
              <w:t>-2016</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w:t>
            </w:r>
            <w:r w:rsidRPr="007F52FA">
              <w:rPr>
                <w:color w:val="000000"/>
                <w:sz w:val="24"/>
              </w:rPr>
              <w:t>)</w:t>
            </w:r>
          </w:p>
        </w:tc>
      </w:tr>
      <w:tr w:rsidR="009E549D" w:rsidRPr="007F52FA" w:rsidTr="007A5233">
        <w:trPr>
          <w:jc w:val="center"/>
        </w:trPr>
        <w:tc>
          <w:tcPr>
            <w:tcW w:w="3402" w:type="dxa"/>
            <w:vMerge/>
            <w:vAlign w:val="center"/>
          </w:tcPr>
          <w:p w:rsidR="009E549D" w:rsidRPr="007F52FA" w:rsidRDefault="009E549D" w:rsidP="007C14DF">
            <w:pPr>
              <w:adjustRightInd w:val="0"/>
              <w:spacing w:before="29" w:line="288" w:lineRule="auto"/>
              <w:ind w:left="17"/>
              <w:jc w:val="center"/>
              <w:rPr>
                <w:kern w:val="0"/>
                <w:sz w:val="24"/>
              </w:rPr>
            </w:pPr>
          </w:p>
        </w:tc>
        <w:tc>
          <w:tcPr>
            <w:tcW w:w="2481" w:type="dxa"/>
            <w:vAlign w:val="center"/>
          </w:tcPr>
          <w:p w:rsidR="009E549D" w:rsidRPr="007F52FA" w:rsidRDefault="009E549D" w:rsidP="007C14DF">
            <w:pPr>
              <w:adjustRightInd w:val="0"/>
              <w:spacing w:before="29" w:line="288" w:lineRule="auto"/>
              <w:ind w:left="17"/>
              <w:jc w:val="center"/>
              <w:rPr>
                <w:color w:val="000000"/>
                <w:sz w:val="24"/>
              </w:rPr>
            </w:pPr>
            <w:r w:rsidRPr="007F52FA">
              <w:rPr>
                <w:sz w:val="24"/>
              </w:rPr>
              <w:t>交银双轮动债券</w:t>
            </w:r>
            <w:r w:rsidRPr="007F52FA">
              <w:rPr>
                <w:sz w:val="24"/>
              </w:rPr>
              <w:t>A/B</w:t>
            </w:r>
          </w:p>
        </w:tc>
        <w:tc>
          <w:tcPr>
            <w:tcW w:w="2481" w:type="dxa"/>
            <w:vAlign w:val="center"/>
          </w:tcPr>
          <w:p w:rsidR="009E549D" w:rsidRPr="007F52FA" w:rsidRDefault="00FE7FBD" w:rsidP="007C14DF">
            <w:pPr>
              <w:adjustRightInd w:val="0"/>
              <w:spacing w:before="29" w:line="288" w:lineRule="auto"/>
              <w:ind w:left="17"/>
              <w:jc w:val="center"/>
              <w:rPr>
                <w:color w:val="000000"/>
                <w:sz w:val="24"/>
              </w:rPr>
            </w:pPr>
            <w:r w:rsidRPr="007F52FA">
              <w:rPr>
                <w:sz w:val="24"/>
              </w:rPr>
              <w:t>交银双轮动债券</w:t>
            </w:r>
            <w:r w:rsidRPr="007F52FA">
              <w:rPr>
                <w:sz w:val="24"/>
              </w:rPr>
              <w:t>C</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1.</w:t>
            </w:r>
            <w:r w:rsidRPr="007F52FA">
              <w:rPr>
                <w:kern w:val="0"/>
                <w:sz w:val="24"/>
              </w:rPr>
              <w:t>本期已实现收益</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27,522,303.89</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302,112.08</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2.</w:t>
            </w:r>
            <w:r w:rsidRPr="007F52FA">
              <w:rPr>
                <w:kern w:val="0"/>
                <w:sz w:val="24"/>
              </w:rPr>
              <w:t>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11,752,906.20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-300,957.55</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3.</w:t>
            </w:r>
            <w:r w:rsidRPr="007F52FA">
              <w:rPr>
                <w:kern w:val="0"/>
                <w:sz w:val="24"/>
              </w:rPr>
              <w:t>加权平均基金份额本期利润</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0.0040</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-0.0074</w:t>
            </w:r>
          </w:p>
        </w:tc>
      </w:tr>
      <w:tr w:rsidR="005F293E" w:rsidRPr="007F52FA" w:rsidTr="007A5233">
        <w:trPr>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4.</w:t>
            </w:r>
            <w:r w:rsidRPr="007F52FA">
              <w:rPr>
                <w:kern w:val="0"/>
                <w:sz w:val="24"/>
              </w:rPr>
              <w:t>期末基金资产净值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3,128,525,136.67</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15,573,253.53</w:t>
            </w:r>
          </w:p>
        </w:tc>
      </w:tr>
      <w:tr w:rsidR="005F293E" w:rsidRPr="007F52FA" w:rsidTr="007A5233">
        <w:trPr>
          <w:trHeight w:val="158"/>
          <w:jc w:val="center"/>
        </w:trPr>
        <w:tc>
          <w:tcPr>
            <w:tcW w:w="3402" w:type="dxa"/>
            <w:vAlign w:val="center"/>
          </w:tcPr>
          <w:p w:rsidR="005F293E" w:rsidRPr="007F52FA" w:rsidRDefault="005F293E" w:rsidP="007C14DF">
            <w:pPr>
              <w:adjustRightInd w:val="0"/>
              <w:spacing w:before="29" w:line="288" w:lineRule="auto"/>
              <w:ind w:left="17"/>
              <w:rPr>
                <w:kern w:val="0"/>
                <w:sz w:val="24"/>
              </w:rPr>
            </w:pPr>
            <w:r w:rsidRPr="007F52FA">
              <w:rPr>
                <w:kern w:val="0"/>
                <w:sz w:val="24"/>
              </w:rPr>
              <w:t>5.</w:t>
            </w:r>
            <w:r w:rsidRPr="007F52FA">
              <w:rPr>
                <w:kern w:val="0"/>
                <w:sz w:val="24"/>
              </w:rPr>
              <w:t>期末基金份额净值</w:t>
            </w:r>
          </w:p>
        </w:tc>
        <w:tc>
          <w:tcPr>
            <w:tcW w:w="2481" w:type="dxa"/>
            <w:vAlign w:val="center"/>
          </w:tcPr>
          <w:p w:rsidR="005F293E" w:rsidRPr="007F52FA" w:rsidRDefault="005F293E" w:rsidP="007C14DF">
            <w:pPr>
              <w:adjustRightInd w:val="0"/>
              <w:spacing w:before="29" w:line="288" w:lineRule="auto"/>
              <w:ind w:left="17"/>
              <w:jc w:val="right"/>
              <w:rPr>
                <w:color w:val="000000"/>
                <w:sz w:val="24"/>
              </w:rPr>
            </w:pPr>
            <w:r w:rsidRPr="007F52FA">
              <w:rPr>
                <w:color w:val="000000"/>
                <w:sz w:val="24"/>
              </w:rPr>
              <w:t>1.056</w:t>
            </w:r>
          </w:p>
        </w:tc>
        <w:tc>
          <w:tcPr>
            <w:tcW w:w="2481" w:type="dxa"/>
            <w:vAlign w:val="center"/>
          </w:tcPr>
          <w:p w:rsidR="005F293E" w:rsidRPr="007F52FA" w:rsidRDefault="00FE7FBD" w:rsidP="007C14DF">
            <w:pPr>
              <w:adjustRightInd w:val="0"/>
              <w:spacing w:before="29" w:line="288" w:lineRule="auto"/>
              <w:ind w:left="17"/>
              <w:jc w:val="right"/>
              <w:rPr>
                <w:color w:val="000000"/>
                <w:sz w:val="24"/>
              </w:rPr>
            </w:pPr>
            <w:r w:rsidRPr="007F52FA">
              <w:rPr>
                <w:color w:val="000000"/>
                <w:sz w:val="24"/>
              </w:rPr>
              <w:t>1.050</w:t>
            </w:r>
          </w:p>
        </w:tc>
      </w:tr>
    </w:tbl>
    <w:p w:rsidR="00FB78BD" w:rsidRDefault="00310317">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、本基金</w:t>
      </w:r>
      <w:r>
        <w:rPr>
          <w:rFonts w:eastAsiaTheme="minorEastAsia"/>
          <w:color w:val="000000"/>
          <w:sz w:val="24"/>
        </w:rPr>
        <w:t>A/B</w:t>
      </w:r>
      <w:r>
        <w:rPr>
          <w:rFonts w:eastAsiaTheme="minorEastAsia"/>
          <w:color w:val="000000"/>
          <w:sz w:val="24"/>
        </w:rPr>
        <w:t>类业绩指标不包括持有人认购或交易基金的各项费用，计入费用后的实际收益水平要低于所列数字。</w:t>
      </w:r>
      <w:r>
        <w:rPr>
          <w:rFonts w:eastAsiaTheme="minorEastAsia"/>
          <w:color w:val="000000"/>
          <w:sz w:val="24"/>
        </w:rPr>
        <w:t xml:space="preserve"> </w:t>
      </w:r>
      <w:r>
        <w:rPr>
          <w:rFonts w:eastAsiaTheme="minorEastAsia"/>
          <w:color w:val="000000"/>
          <w:sz w:val="24"/>
        </w:rPr>
        <w:t xml:space="preserve">　　</w:t>
      </w:r>
    </w:p>
    <w:p w:rsidR="005E01A3" w:rsidRPr="007F52FA" w:rsidRDefault="005E01A3"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、本期已实现收益指基金本期利息收入、投资收益、其他收入（不含公允价值变动收益）扣除相关费用后的余额，本期利润为本期已实现收益加上本期公允价值变动收益。</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3.2 </w:t>
      </w:r>
      <w:r w:rsidRPr="007F52FA">
        <w:rPr>
          <w:b/>
          <w:color w:val="000000"/>
          <w:kern w:val="0"/>
          <w:sz w:val="24"/>
        </w:rPr>
        <w:t>基金净值表现</w:t>
      </w:r>
    </w:p>
    <w:p w:rsidR="009238DB" w:rsidRPr="007F52FA" w:rsidRDefault="009238DB" w:rsidP="007C14DF">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7F52FA">
          <w:rPr>
            <w:b/>
            <w:color w:val="000000"/>
            <w:kern w:val="0"/>
            <w:sz w:val="24"/>
          </w:rPr>
          <w:t>3.2.1</w:t>
        </w:r>
        <w:r w:rsidR="000728AC" w:rsidRPr="007F52FA">
          <w:rPr>
            <w:b/>
            <w:color w:val="000000"/>
            <w:kern w:val="0"/>
            <w:sz w:val="24"/>
          </w:rPr>
          <w:t xml:space="preserve"> </w:t>
        </w:r>
      </w:smartTag>
      <w:r w:rsidRPr="007F52FA">
        <w:rPr>
          <w:b/>
          <w:color w:val="000000"/>
          <w:kern w:val="0"/>
          <w:sz w:val="24"/>
        </w:rPr>
        <w:t>本报告期基金份额净值增长率及其与同期业绩比较基准收益率的比较</w:t>
      </w:r>
    </w:p>
    <w:p w:rsidR="009238DB" w:rsidRPr="007F52FA" w:rsidRDefault="009238DB" w:rsidP="007C14DF">
      <w:pPr>
        <w:spacing w:before="29" w:line="288" w:lineRule="auto"/>
        <w:rPr>
          <w:b/>
          <w:sz w:val="24"/>
        </w:rPr>
      </w:pPr>
      <w:r w:rsidRPr="007F52FA">
        <w:rPr>
          <w:b/>
          <w:sz w:val="24"/>
        </w:rPr>
        <w:lastRenderedPageBreak/>
        <w:t>1</w:t>
      </w:r>
      <w:r w:rsidRPr="007F52FA">
        <w:rPr>
          <w:b/>
          <w:sz w:val="24"/>
        </w:rPr>
        <w:t>、</w:t>
      </w:r>
      <w:r w:rsidR="00A5643A" w:rsidRPr="007F52FA">
        <w:rPr>
          <w:b/>
          <w:color w:val="000000"/>
          <w:kern w:val="0"/>
          <w:sz w:val="24"/>
        </w:rPr>
        <w:t>交银双轮动债券</w:t>
      </w:r>
      <w:r w:rsidR="00A5643A" w:rsidRPr="007F52FA">
        <w:rPr>
          <w:b/>
          <w:color w:val="000000"/>
          <w:kern w:val="0"/>
          <w:sz w:val="24"/>
        </w:rPr>
        <w:t>A/B</w:t>
      </w:r>
      <w:r w:rsidRPr="007F52FA">
        <w:rPr>
          <w:b/>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864D96">
        <w:trPr>
          <w:jc w:val="center"/>
        </w:trPr>
        <w:tc>
          <w:tcPr>
            <w:tcW w:w="1266"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64D96">
        <w:trPr>
          <w:jc w:val="center"/>
        </w:trPr>
        <w:tc>
          <w:tcPr>
            <w:tcW w:w="1266" w:type="dxa"/>
            <w:vAlign w:val="center"/>
          </w:tcPr>
          <w:p w:rsidR="00864D96" w:rsidRDefault="00864D96" w:rsidP="00864D96">
            <w:pPr>
              <w:jc w:val="left"/>
            </w:pPr>
            <w:r>
              <w:rPr>
                <w:color w:val="000000"/>
                <w:sz w:val="24"/>
              </w:rPr>
              <w:t>过去三个月</w:t>
            </w:r>
          </w:p>
        </w:tc>
        <w:tc>
          <w:tcPr>
            <w:tcW w:w="1267" w:type="dxa"/>
            <w:vAlign w:val="center"/>
          </w:tcPr>
          <w:p w:rsidR="00864D96" w:rsidRPr="00864D96" w:rsidRDefault="00864D96" w:rsidP="00864D96">
            <w:pPr>
              <w:jc w:val="center"/>
            </w:pPr>
            <w:bookmarkStart w:id="0" w:name="_GoBack"/>
            <w:r w:rsidRPr="007245CB">
              <w:rPr>
                <w:color w:val="000000"/>
                <w:sz w:val="24"/>
              </w:rPr>
              <w:t>0.38%</w:t>
            </w:r>
            <w:bookmarkEnd w:id="0"/>
          </w:p>
        </w:tc>
        <w:tc>
          <w:tcPr>
            <w:tcW w:w="1267" w:type="dxa"/>
            <w:vAlign w:val="center"/>
          </w:tcPr>
          <w:p w:rsidR="00864D96" w:rsidRPr="00864D96" w:rsidRDefault="00864D96" w:rsidP="00864D96">
            <w:pPr>
              <w:jc w:val="center"/>
            </w:pPr>
            <w:r w:rsidRPr="007245CB">
              <w:rPr>
                <w:color w:val="000000"/>
                <w:sz w:val="24"/>
              </w:rPr>
              <w:t>0.07%</w:t>
            </w:r>
          </w:p>
        </w:tc>
        <w:tc>
          <w:tcPr>
            <w:tcW w:w="1267" w:type="dxa"/>
            <w:vAlign w:val="center"/>
          </w:tcPr>
          <w:p w:rsidR="00864D96" w:rsidRPr="00864D96" w:rsidRDefault="00864D96" w:rsidP="00864D96">
            <w:pPr>
              <w:jc w:val="center"/>
            </w:pPr>
            <w:r w:rsidRPr="007245CB">
              <w:rPr>
                <w:color w:val="000000"/>
                <w:sz w:val="24"/>
              </w:rPr>
              <w:t>-0.52%</w:t>
            </w:r>
          </w:p>
        </w:tc>
        <w:tc>
          <w:tcPr>
            <w:tcW w:w="1267" w:type="dxa"/>
            <w:vAlign w:val="center"/>
          </w:tcPr>
          <w:p w:rsidR="00864D96" w:rsidRPr="00864D96" w:rsidRDefault="00864D96" w:rsidP="00864D96">
            <w:pPr>
              <w:jc w:val="center"/>
            </w:pPr>
            <w:r w:rsidRPr="007245CB">
              <w:rPr>
                <w:color w:val="000000"/>
                <w:sz w:val="24"/>
              </w:rPr>
              <w:t>0.07%</w:t>
            </w:r>
          </w:p>
        </w:tc>
        <w:tc>
          <w:tcPr>
            <w:tcW w:w="1267" w:type="dxa"/>
            <w:vAlign w:val="center"/>
          </w:tcPr>
          <w:p w:rsidR="00864D96" w:rsidRPr="00864D96" w:rsidRDefault="00864D96" w:rsidP="00864D96">
            <w:pPr>
              <w:jc w:val="center"/>
            </w:pPr>
            <w:r w:rsidRPr="007245CB">
              <w:rPr>
                <w:color w:val="000000"/>
                <w:sz w:val="24"/>
              </w:rPr>
              <w:t>0.90%</w:t>
            </w:r>
          </w:p>
        </w:tc>
        <w:tc>
          <w:tcPr>
            <w:tcW w:w="1267" w:type="dxa"/>
            <w:vAlign w:val="center"/>
          </w:tcPr>
          <w:p w:rsidR="00864D96" w:rsidRPr="00864D96" w:rsidRDefault="00864D96" w:rsidP="00864D96">
            <w:pPr>
              <w:jc w:val="center"/>
            </w:pPr>
            <w:r w:rsidRPr="007245CB">
              <w:rPr>
                <w:color w:val="000000"/>
                <w:sz w:val="24"/>
              </w:rPr>
              <w:t>0.00%</w:t>
            </w:r>
          </w:p>
        </w:tc>
      </w:tr>
    </w:tbl>
    <w:p w:rsidR="004425E8" w:rsidRPr="007F52FA" w:rsidRDefault="004425E8" w:rsidP="007C14DF">
      <w:pPr>
        <w:pStyle w:val="20"/>
        <w:spacing w:before="29" w:line="288" w:lineRule="auto"/>
        <w:ind w:firstLineChars="0" w:firstLine="0"/>
        <w:rPr>
          <w:rFonts w:ascii="Times New Roman" w:eastAsiaTheme="minorEastAsia" w:hAnsi="Times New Roman"/>
          <w:color w:val="000000"/>
        </w:rPr>
      </w:pPr>
    </w:p>
    <w:p w:rsidR="009238DB" w:rsidRPr="007F52FA" w:rsidRDefault="009238DB" w:rsidP="007C14DF">
      <w:pPr>
        <w:adjustRightInd w:val="0"/>
        <w:spacing w:before="29" w:line="288" w:lineRule="auto"/>
        <w:rPr>
          <w:rFonts w:eastAsiaTheme="minorEastAsia"/>
          <w:b/>
          <w:color w:val="000000"/>
          <w:kern w:val="0"/>
          <w:sz w:val="24"/>
        </w:rPr>
      </w:pPr>
      <w:r w:rsidRPr="007F52FA">
        <w:rPr>
          <w:rFonts w:eastAsiaTheme="minorEastAsia"/>
          <w:b/>
          <w:sz w:val="24"/>
        </w:rPr>
        <w:t>2</w:t>
      </w:r>
      <w:r w:rsidRPr="007F52FA">
        <w:rPr>
          <w:rFonts w:eastAsiaTheme="minorEastAsia"/>
          <w:b/>
          <w:sz w:val="24"/>
        </w:rPr>
        <w:t>、</w:t>
      </w:r>
      <w:r w:rsidR="00FE7FBD" w:rsidRPr="007F52FA">
        <w:rPr>
          <w:b/>
          <w:color w:val="000000"/>
          <w:kern w:val="0"/>
          <w:sz w:val="24"/>
        </w:rPr>
        <w:t>交银双轮动债券</w:t>
      </w:r>
      <w:r w:rsidR="00FE7FBD" w:rsidRPr="007F52FA">
        <w:rPr>
          <w:b/>
          <w:color w:val="000000"/>
          <w:kern w:val="0"/>
          <w:sz w:val="24"/>
        </w:rPr>
        <w:t>C</w:t>
      </w:r>
      <w:r w:rsidRPr="007F52FA">
        <w:rPr>
          <w:b/>
          <w:color w:val="000000"/>
          <w:kern w:val="0"/>
          <w:sz w:val="24"/>
        </w:rPr>
        <w:t>：</w:t>
      </w:r>
    </w:p>
    <w:tbl>
      <w:tblPr>
        <w:tblStyle w:val="af2"/>
        <w:tblW w:w="8868" w:type="dxa"/>
        <w:jc w:val="center"/>
        <w:tblLayout w:type="fixed"/>
        <w:tblCellMar>
          <w:top w:w="57" w:type="dxa"/>
          <w:bottom w:w="57" w:type="dxa"/>
        </w:tblCellMar>
        <w:tblLook w:val="04A0" w:firstRow="1" w:lastRow="0" w:firstColumn="1" w:lastColumn="0" w:noHBand="0" w:noVBand="1"/>
      </w:tblPr>
      <w:tblGrid>
        <w:gridCol w:w="1266"/>
        <w:gridCol w:w="1267"/>
        <w:gridCol w:w="1267"/>
        <w:gridCol w:w="1267"/>
        <w:gridCol w:w="1267"/>
        <w:gridCol w:w="1267"/>
        <w:gridCol w:w="1267"/>
      </w:tblGrid>
      <w:tr w:rsidR="00685FFC" w:rsidRPr="007F52FA" w:rsidTr="00864D96">
        <w:trPr>
          <w:jc w:val="center"/>
        </w:trPr>
        <w:tc>
          <w:tcPr>
            <w:tcW w:w="1266"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阶段</w:t>
            </w:r>
          </w:p>
        </w:tc>
        <w:tc>
          <w:tcPr>
            <w:tcW w:w="1267"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w:t>
            </w:r>
            <w:r w:rsidRPr="007F52FA">
              <w:rPr>
                <w:rFonts w:ascii="宋体" w:hAnsi="宋体"/>
                <w:color w:val="000000"/>
                <w:sz w:val="24"/>
              </w:rPr>
              <w:t>①</w:t>
            </w:r>
          </w:p>
        </w:tc>
        <w:tc>
          <w:tcPr>
            <w:tcW w:w="1267" w:type="dxa"/>
            <w:vAlign w:val="center"/>
          </w:tcPr>
          <w:p w:rsidR="00685FFC" w:rsidRPr="007F52FA" w:rsidRDefault="00685FFC" w:rsidP="007C14DF">
            <w:pPr>
              <w:snapToGrid w:val="0"/>
              <w:spacing w:before="29" w:line="288" w:lineRule="auto"/>
              <w:jc w:val="center"/>
              <w:rPr>
                <w:color w:val="000000"/>
                <w:sz w:val="24"/>
                <w:highlight w:val="green"/>
              </w:rPr>
            </w:pPr>
            <w:r w:rsidRPr="007F52FA">
              <w:rPr>
                <w:color w:val="000000"/>
                <w:sz w:val="24"/>
              </w:rPr>
              <w:t>净值增长率标准差</w:t>
            </w:r>
            <w:r w:rsidRPr="007F52FA">
              <w:rPr>
                <w:rFonts w:ascii="宋体" w:hAnsi="宋体"/>
                <w:color w:val="000000"/>
                <w:sz w:val="24"/>
              </w:rPr>
              <w:t>②</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color w:val="000000"/>
                <w:sz w:val="24"/>
              </w:rPr>
              <w:t>业绩比较基准收益率标准差</w:t>
            </w:r>
            <w:r w:rsidRPr="007F52FA">
              <w:rPr>
                <w:rFonts w:ascii="宋体" w:hAnsi="宋体"/>
                <w:color w:val="000000"/>
                <w:sz w:val="24"/>
              </w:rPr>
              <w:t>④</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①</w:t>
            </w:r>
            <w:r w:rsidRPr="007F52FA">
              <w:rPr>
                <w:color w:val="000000"/>
                <w:sz w:val="24"/>
              </w:rPr>
              <w:t>－</w:t>
            </w:r>
            <w:r w:rsidRPr="007F52FA">
              <w:rPr>
                <w:rFonts w:ascii="宋体" w:hAnsi="宋体"/>
                <w:color w:val="000000"/>
                <w:sz w:val="24"/>
              </w:rPr>
              <w:t>③</w:t>
            </w:r>
          </w:p>
        </w:tc>
        <w:tc>
          <w:tcPr>
            <w:tcW w:w="1267" w:type="dxa"/>
            <w:vAlign w:val="center"/>
          </w:tcPr>
          <w:p w:rsidR="00685FFC" w:rsidRPr="007F52FA" w:rsidRDefault="00685FFC" w:rsidP="007C14DF">
            <w:pPr>
              <w:snapToGrid w:val="0"/>
              <w:spacing w:before="29" w:line="288" w:lineRule="auto"/>
              <w:jc w:val="center"/>
              <w:rPr>
                <w:color w:val="000000"/>
                <w:sz w:val="24"/>
              </w:rPr>
            </w:pPr>
            <w:r w:rsidRPr="007F52FA">
              <w:rPr>
                <w:rFonts w:ascii="宋体" w:hAnsi="宋体"/>
                <w:color w:val="000000"/>
                <w:sz w:val="24"/>
              </w:rPr>
              <w:t>②</w:t>
            </w:r>
            <w:r w:rsidRPr="007F52FA">
              <w:rPr>
                <w:color w:val="000000"/>
                <w:sz w:val="24"/>
              </w:rPr>
              <w:t>－</w:t>
            </w:r>
            <w:r w:rsidRPr="007F52FA">
              <w:rPr>
                <w:rFonts w:ascii="宋体" w:hAnsi="宋体"/>
                <w:color w:val="000000"/>
                <w:sz w:val="24"/>
              </w:rPr>
              <w:t>④</w:t>
            </w:r>
          </w:p>
        </w:tc>
      </w:tr>
      <w:tr w:rsidR="00864D96">
        <w:trPr>
          <w:jc w:val="center"/>
        </w:trPr>
        <w:tc>
          <w:tcPr>
            <w:tcW w:w="1266" w:type="dxa"/>
            <w:vAlign w:val="center"/>
          </w:tcPr>
          <w:p w:rsidR="00864D96" w:rsidRPr="00C52C4E" w:rsidRDefault="00864D96" w:rsidP="00864D96">
            <w:pPr>
              <w:jc w:val="left"/>
            </w:pPr>
            <w:r w:rsidRPr="00C52C4E">
              <w:rPr>
                <w:rFonts w:hint="eastAsia"/>
                <w:color w:val="000000"/>
                <w:sz w:val="24"/>
              </w:rPr>
              <w:t>过去三个月</w:t>
            </w:r>
          </w:p>
        </w:tc>
        <w:tc>
          <w:tcPr>
            <w:tcW w:w="1267" w:type="dxa"/>
            <w:vAlign w:val="center"/>
          </w:tcPr>
          <w:p w:rsidR="00864D96" w:rsidRPr="00C52C4E" w:rsidRDefault="00864D96" w:rsidP="00864D96">
            <w:pPr>
              <w:jc w:val="center"/>
            </w:pPr>
            <w:r w:rsidRPr="007245CB">
              <w:rPr>
                <w:color w:val="000000"/>
                <w:sz w:val="24"/>
              </w:rPr>
              <w:t>0.19%</w:t>
            </w:r>
          </w:p>
        </w:tc>
        <w:tc>
          <w:tcPr>
            <w:tcW w:w="1267" w:type="dxa"/>
            <w:vAlign w:val="center"/>
          </w:tcPr>
          <w:p w:rsidR="00864D96" w:rsidRPr="00C52C4E" w:rsidRDefault="00864D96" w:rsidP="00864D96">
            <w:pPr>
              <w:jc w:val="center"/>
            </w:pPr>
            <w:r w:rsidRPr="007245CB">
              <w:rPr>
                <w:color w:val="000000"/>
                <w:sz w:val="24"/>
              </w:rPr>
              <w:t>0.09%</w:t>
            </w:r>
          </w:p>
        </w:tc>
        <w:tc>
          <w:tcPr>
            <w:tcW w:w="1267" w:type="dxa"/>
            <w:vAlign w:val="center"/>
          </w:tcPr>
          <w:p w:rsidR="00864D96" w:rsidRPr="00C52C4E" w:rsidRDefault="00864D96" w:rsidP="00864D96">
            <w:pPr>
              <w:jc w:val="center"/>
            </w:pPr>
            <w:r w:rsidRPr="007245CB">
              <w:rPr>
                <w:color w:val="000000"/>
                <w:sz w:val="24"/>
              </w:rPr>
              <w:t>-0.52%</w:t>
            </w:r>
          </w:p>
        </w:tc>
        <w:tc>
          <w:tcPr>
            <w:tcW w:w="1267" w:type="dxa"/>
            <w:vAlign w:val="center"/>
          </w:tcPr>
          <w:p w:rsidR="00864D96" w:rsidRPr="00C52C4E" w:rsidRDefault="00864D96" w:rsidP="00864D96">
            <w:pPr>
              <w:jc w:val="center"/>
            </w:pPr>
            <w:r w:rsidRPr="007245CB">
              <w:rPr>
                <w:color w:val="000000"/>
                <w:sz w:val="24"/>
              </w:rPr>
              <w:t>0.07%</w:t>
            </w:r>
          </w:p>
        </w:tc>
        <w:tc>
          <w:tcPr>
            <w:tcW w:w="1267" w:type="dxa"/>
            <w:vAlign w:val="center"/>
          </w:tcPr>
          <w:p w:rsidR="00864D96" w:rsidRPr="00C52C4E" w:rsidRDefault="00864D96" w:rsidP="00864D96">
            <w:pPr>
              <w:jc w:val="center"/>
            </w:pPr>
            <w:r w:rsidRPr="007245CB">
              <w:rPr>
                <w:color w:val="000000"/>
                <w:sz w:val="24"/>
              </w:rPr>
              <w:t>0.71%</w:t>
            </w:r>
          </w:p>
        </w:tc>
        <w:tc>
          <w:tcPr>
            <w:tcW w:w="1267" w:type="dxa"/>
            <w:vAlign w:val="center"/>
          </w:tcPr>
          <w:p w:rsidR="00864D96" w:rsidRDefault="00864D96" w:rsidP="00864D96">
            <w:pPr>
              <w:jc w:val="center"/>
            </w:pPr>
            <w:r w:rsidRPr="007245CB">
              <w:rPr>
                <w:color w:val="000000"/>
                <w:sz w:val="24"/>
              </w:rPr>
              <w:t>0.02%</w:t>
            </w:r>
          </w:p>
        </w:tc>
      </w:tr>
    </w:tbl>
    <w:p w:rsidR="009238DB" w:rsidRPr="007F52FA" w:rsidRDefault="009238DB" w:rsidP="007C14DF">
      <w:pPr>
        <w:autoSpaceDE w:val="0"/>
        <w:autoSpaceDN w:val="0"/>
        <w:adjustRightInd w:val="0"/>
        <w:spacing w:before="29" w:line="288" w:lineRule="auto"/>
        <w:ind w:left="15"/>
        <w:jc w:val="left"/>
        <w:rPr>
          <w:rFonts w:eastAsiaTheme="minorEastAsia"/>
          <w:b/>
          <w:color w:val="000000"/>
          <w:kern w:val="0"/>
          <w:sz w:val="24"/>
        </w:rPr>
      </w:pPr>
    </w:p>
    <w:p w:rsidR="009238DB" w:rsidRPr="007F52FA" w:rsidRDefault="009238DB" w:rsidP="007C14DF">
      <w:pPr>
        <w:spacing w:before="29" w:line="288" w:lineRule="auto"/>
        <w:rPr>
          <w:b/>
          <w:color w:val="000000"/>
          <w:kern w:val="0"/>
          <w:sz w:val="24"/>
        </w:rPr>
      </w:pPr>
      <w:r w:rsidRPr="007F52FA">
        <w:rPr>
          <w:b/>
          <w:color w:val="000000"/>
          <w:kern w:val="0"/>
          <w:sz w:val="24"/>
        </w:rPr>
        <w:t>3.2.2</w:t>
      </w:r>
      <w:r w:rsidRPr="007F52FA">
        <w:rPr>
          <w:b/>
          <w:color w:val="000000"/>
          <w:kern w:val="0"/>
          <w:sz w:val="24"/>
        </w:rPr>
        <w:t xml:space="preserve">　</w:t>
      </w:r>
      <w:r w:rsidR="00C02900" w:rsidRPr="000B2C04">
        <w:rPr>
          <w:rFonts w:hint="eastAsia"/>
          <w:b/>
          <w:color w:val="000000"/>
          <w:kern w:val="0"/>
          <w:sz w:val="24"/>
        </w:rPr>
        <w:t>自基金合同生效以来</w:t>
      </w:r>
      <w:r w:rsidR="00BF57BE" w:rsidRPr="007F52FA">
        <w:rPr>
          <w:b/>
          <w:color w:val="000000"/>
          <w:sz w:val="24"/>
        </w:rPr>
        <w:t>基金</w:t>
      </w:r>
      <w:r w:rsidR="0001164A" w:rsidRPr="007F52FA">
        <w:rPr>
          <w:b/>
          <w:color w:val="000000"/>
          <w:sz w:val="24"/>
        </w:rPr>
        <w:t>份额</w:t>
      </w:r>
      <w:r w:rsidR="00BF57BE" w:rsidRPr="007F52FA">
        <w:rPr>
          <w:b/>
          <w:color w:val="000000"/>
          <w:sz w:val="24"/>
        </w:rPr>
        <w:t>累计净值增长率变动及其与同期业绩比较基准收益率变动的比较</w:t>
      </w:r>
    </w:p>
    <w:p w:rsidR="009A045B" w:rsidRPr="007F52FA" w:rsidRDefault="009A045B" w:rsidP="007C14DF">
      <w:pPr>
        <w:spacing w:before="29" w:line="288" w:lineRule="auto"/>
        <w:jc w:val="center"/>
        <w:rPr>
          <w:color w:val="000000"/>
          <w:sz w:val="24"/>
        </w:rPr>
      </w:pPr>
      <w:r w:rsidRPr="007F52FA">
        <w:rPr>
          <w:color w:val="000000"/>
          <w:sz w:val="24"/>
        </w:rPr>
        <w:t>交银施罗德双轮动债券型证券投资基金</w:t>
      </w:r>
    </w:p>
    <w:p w:rsidR="00022396" w:rsidRPr="007F52FA" w:rsidRDefault="0001164A" w:rsidP="007C14DF">
      <w:pPr>
        <w:pStyle w:val="a5"/>
        <w:snapToGrid w:val="0"/>
        <w:spacing w:before="29" w:line="288" w:lineRule="auto"/>
        <w:jc w:val="center"/>
        <w:rPr>
          <w:rFonts w:ascii="Times New Roman" w:hAnsi="Times New Roman"/>
          <w:color w:val="000000"/>
          <w:sz w:val="24"/>
          <w:szCs w:val="24"/>
        </w:rPr>
      </w:pPr>
      <w:r w:rsidRPr="007F52FA">
        <w:rPr>
          <w:rFonts w:ascii="Times New Roman" w:hAnsi="Times New Roman"/>
          <w:color w:val="000000"/>
          <w:sz w:val="24"/>
          <w:szCs w:val="24"/>
        </w:rPr>
        <w:t>份额</w:t>
      </w:r>
      <w:r w:rsidR="00022396" w:rsidRPr="007F52FA">
        <w:rPr>
          <w:rFonts w:ascii="Times New Roman" w:hAnsi="Times New Roman"/>
          <w:color w:val="000000"/>
          <w:sz w:val="24"/>
          <w:szCs w:val="24"/>
        </w:rPr>
        <w:t>累计净值增长率与业绩比较基准收益率的历史走势对比图</w:t>
      </w:r>
    </w:p>
    <w:p w:rsidR="009A045B" w:rsidRPr="007F52FA" w:rsidRDefault="00CC1636" w:rsidP="007C14DF">
      <w:pPr>
        <w:pStyle w:val="a5"/>
        <w:snapToGrid w:val="0"/>
        <w:spacing w:before="29" w:line="288" w:lineRule="auto"/>
        <w:ind w:firstLine="480"/>
        <w:jc w:val="center"/>
        <w:rPr>
          <w:rFonts w:ascii="Times New Roman" w:hAnsi="Times New Roman"/>
          <w:sz w:val="24"/>
          <w:szCs w:val="24"/>
        </w:rPr>
      </w:pPr>
      <w:r w:rsidRPr="007F52FA">
        <w:rPr>
          <w:rFonts w:ascii="Times New Roman" w:hAnsi="Times New Roman"/>
          <w:sz w:val="24"/>
          <w:szCs w:val="24"/>
        </w:rPr>
        <w:t>（</w:t>
      </w:r>
      <w:r w:rsidR="00D04410" w:rsidRPr="007F52FA">
        <w:rPr>
          <w:rFonts w:ascii="Times New Roman" w:hAnsi="Times New Roman"/>
          <w:sz w:val="24"/>
          <w:szCs w:val="24"/>
        </w:rPr>
        <w:t>2013</w:t>
      </w:r>
      <w:r w:rsidR="00D04410" w:rsidRPr="007F52FA">
        <w:rPr>
          <w:rFonts w:ascii="Times New Roman" w:hAnsi="Times New Roman"/>
          <w:sz w:val="24"/>
          <w:szCs w:val="24"/>
        </w:rPr>
        <w:t>年</w:t>
      </w:r>
      <w:r w:rsidR="00D04410" w:rsidRPr="007F52FA">
        <w:rPr>
          <w:rFonts w:ascii="Times New Roman" w:hAnsi="Times New Roman"/>
          <w:sz w:val="24"/>
          <w:szCs w:val="24"/>
        </w:rPr>
        <w:t>4</w:t>
      </w:r>
      <w:r w:rsidR="00D04410" w:rsidRPr="007F52FA">
        <w:rPr>
          <w:rFonts w:ascii="Times New Roman" w:hAnsi="Times New Roman"/>
          <w:sz w:val="24"/>
          <w:szCs w:val="24"/>
        </w:rPr>
        <w:t>月</w:t>
      </w:r>
      <w:r w:rsidR="00D04410" w:rsidRPr="007F52FA">
        <w:rPr>
          <w:rFonts w:ascii="Times New Roman" w:hAnsi="Times New Roman"/>
          <w:sz w:val="24"/>
          <w:szCs w:val="24"/>
        </w:rPr>
        <w:t>18</w:t>
      </w:r>
      <w:r w:rsidR="00D04410" w:rsidRPr="007F52FA">
        <w:rPr>
          <w:rFonts w:ascii="Times New Roman" w:hAnsi="Times New Roman"/>
          <w:sz w:val="24"/>
          <w:szCs w:val="24"/>
        </w:rPr>
        <w:t>日</w:t>
      </w:r>
      <w:r w:rsidR="009A045B" w:rsidRPr="007F52FA">
        <w:rPr>
          <w:rFonts w:ascii="Times New Roman" w:hAnsi="Times New Roman"/>
          <w:sz w:val="24"/>
          <w:szCs w:val="24"/>
        </w:rPr>
        <w:t>至</w:t>
      </w:r>
      <w:r w:rsidRPr="007F52FA">
        <w:rPr>
          <w:rFonts w:ascii="Times New Roman" w:hAnsi="Times New Roman"/>
          <w:sz w:val="24"/>
          <w:szCs w:val="24"/>
        </w:rPr>
        <w:t>2016</w:t>
      </w:r>
      <w:r w:rsidRPr="007F52FA">
        <w:rPr>
          <w:rFonts w:ascii="Times New Roman" w:hAnsi="Times New Roman"/>
          <w:sz w:val="24"/>
          <w:szCs w:val="24"/>
        </w:rPr>
        <w:t>年</w:t>
      </w:r>
      <w:r w:rsidRPr="007F52FA">
        <w:rPr>
          <w:rFonts w:ascii="Times New Roman" w:hAnsi="Times New Roman"/>
          <w:sz w:val="24"/>
          <w:szCs w:val="24"/>
        </w:rPr>
        <w:t>6</w:t>
      </w:r>
      <w:r w:rsidRPr="007F52FA">
        <w:rPr>
          <w:rFonts w:ascii="Times New Roman" w:hAnsi="Times New Roman"/>
          <w:sz w:val="24"/>
          <w:szCs w:val="24"/>
        </w:rPr>
        <w:t>月</w:t>
      </w:r>
      <w:r w:rsidRPr="007F52FA">
        <w:rPr>
          <w:rFonts w:ascii="Times New Roman" w:hAnsi="Times New Roman"/>
          <w:sz w:val="24"/>
          <w:szCs w:val="24"/>
        </w:rPr>
        <w:t>30</w:t>
      </w:r>
      <w:r w:rsidRPr="007F52FA">
        <w:rPr>
          <w:rFonts w:ascii="Times New Roman" w:hAnsi="Times New Roman"/>
          <w:sz w:val="24"/>
          <w:szCs w:val="24"/>
        </w:rPr>
        <w:t>日）</w:t>
      </w:r>
    </w:p>
    <w:p w:rsidR="009238DB" w:rsidRPr="007F52FA" w:rsidRDefault="009238DB" w:rsidP="007C14DF">
      <w:pPr>
        <w:snapToGrid w:val="0"/>
        <w:spacing w:before="29" w:line="288" w:lineRule="auto"/>
        <w:rPr>
          <w:color w:val="000000"/>
          <w:sz w:val="24"/>
        </w:rPr>
      </w:pPr>
      <w:r w:rsidRPr="007F52FA">
        <w:rPr>
          <w:color w:val="000000"/>
          <w:sz w:val="24"/>
        </w:rPr>
        <w:t>1</w:t>
      </w:r>
      <w:r w:rsidRPr="007F52FA">
        <w:rPr>
          <w:color w:val="000000"/>
          <w:sz w:val="24"/>
        </w:rPr>
        <w:t>．</w:t>
      </w:r>
      <w:r w:rsidR="0042785F" w:rsidRPr="007F52FA">
        <w:rPr>
          <w:color w:val="000000"/>
          <w:sz w:val="24"/>
        </w:rPr>
        <w:t>交银双轮动债券</w:t>
      </w:r>
      <w:r w:rsidR="0042785F" w:rsidRPr="007F52FA">
        <w:rPr>
          <w:color w:val="000000"/>
          <w:sz w:val="24"/>
        </w:rPr>
        <w:t>A/B</w:t>
      </w:r>
    </w:p>
    <w:p w:rsidR="00807B81"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4" name="图片 3"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0" cstate="print"/>
                    <a:stretch>
                      <a:fillRect/>
                    </a:stretch>
                  </pic:blipFill>
                  <pic:spPr>
                    <a:xfrm>
                      <a:off x="0" y="0"/>
                      <a:ext cx="5731510" cy="3356610"/>
                    </a:xfrm>
                    <a:prstGeom prst="rect">
                      <a:avLst/>
                    </a:prstGeom>
                  </pic:spPr>
                </pic:pic>
              </a:graphicData>
            </a:graphic>
          </wp:inline>
        </w:drawing>
      </w:r>
    </w:p>
    <w:p w:rsidR="009238DB" w:rsidRPr="007F52FA" w:rsidRDefault="0042785F"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42785F" w:rsidRPr="007F52FA" w:rsidRDefault="0042785F" w:rsidP="007C14DF">
      <w:pPr>
        <w:pStyle w:val="20"/>
        <w:spacing w:before="29" w:line="288" w:lineRule="auto"/>
        <w:ind w:firstLineChars="0" w:firstLine="0"/>
        <w:rPr>
          <w:rFonts w:ascii="Times New Roman" w:hAnsi="Times New Roman"/>
          <w:color w:val="000000"/>
        </w:rPr>
      </w:pPr>
    </w:p>
    <w:p w:rsidR="009238DB" w:rsidRPr="007F52FA" w:rsidRDefault="009238DB" w:rsidP="007C14DF">
      <w:pPr>
        <w:snapToGrid w:val="0"/>
        <w:spacing w:before="29" w:line="288" w:lineRule="auto"/>
        <w:rPr>
          <w:color w:val="000000"/>
          <w:sz w:val="24"/>
        </w:rPr>
      </w:pPr>
      <w:r w:rsidRPr="007F52FA">
        <w:rPr>
          <w:color w:val="000000"/>
          <w:sz w:val="24"/>
        </w:rPr>
        <w:t>2</w:t>
      </w:r>
      <w:r w:rsidRPr="007F52FA">
        <w:rPr>
          <w:color w:val="000000"/>
          <w:sz w:val="24"/>
        </w:rPr>
        <w:t>．</w:t>
      </w:r>
      <w:r w:rsidR="00FE7FBD" w:rsidRPr="007F52FA">
        <w:rPr>
          <w:color w:val="000000"/>
          <w:sz w:val="24"/>
        </w:rPr>
        <w:t>交银双轮动债券</w:t>
      </w:r>
      <w:r w:rsidR="00FE7FBD" w:rsidRPr="007F52FA">
        <w:rPr>
          <w:color w:val="000000"/>
          <w:sz w:val="24"/>
        </w:rPr>
        <w:t>C</w:t>
      </w:r>
    </w:p>
    <w:p w:rsidR="00D12D04" w:rsidRPr="007F52FA" w:rsidRDefault="00562709" w:rsidP="007C14DF">
      <w:pPr>
        <w:pStyle w:val="20"/>
        <w:spacing w:before="29" w:line="288" w:lineRule="auto"/>
        <w:ind w:firstLineChars="0" w:firstLine="0"/>
        <w:jc w:val="center"/>
        <w:rPr>
          <w:rFonts w:ascii="Times New Roman" w:eastAsiaTheme="minorEastAsia" w:hAnsi="Times New Roman"/>
          <w:color w:val="000000"/>
        </w:rPr>
      </w:pPr>
      <w:r w:rsidRPr="007F52FA">
        <w:rPr>
          <w:rFonts w:ascii="Times New Roman" w:eastAsiaTheme="minorEastAsia" w:hAnsi="Times New Roman"/>
          <w:noProof/>
          <w:color w:val="000000"/>
        </w:rPr>
        <w:drawing>
          <wp:inline distT="0" distB="0" distL="0" distR="0">
            <wp:extent cx="5731510" cy="3356610"/>
            <wp:effectExtent l="19050" t="0" r="2540" b="0"/>
            <wp:docPr id="5" name="图片 4" descr="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2.jpg"/>
                    <pic:cNvPicPr/>
                  </pic:nvPicPr>
                  <pic:blipFill>
                    <a:blip r:embed="rId11" cstate="print"/>
                    <a:stretch>
                      <a:fillRect/>
                    </a:stretch>
                  </pic:blipFill>
                  <pic:spPr>
                    <a:xfrm>
                      <a:off x="0" y="0"/>
                      <a:ext cx="5731510" cy="3356610"/>
                    </a:xfrm>
                    <a:prstGeom prst="rect">
                      <a:avLst/>
                    </a:prstGeom>
                  </pic:spPr>
                </pic:pic>
              </a:graphicData>
            </a:graphic>
          </wp:inline>
        </w:drawing>
      </w:r>
    </w:p>
    <w:p w:rsidR="0042785F" w:rsidRPr="007F52FA" w:rsidRDefault="00FE7FBD" w:rsidP="007C14DF">
      <w:pPr>
        <w:spacing w:before="29" w:line="288" w:lineRule="auto"/>
        <w:ind w:firstLineChars="200" w:firstLine="480"/>
        <w:rPr>
          <w:color w:val="000000"/>
          <w:sz w:val="24"/>
        </w:rPr>
      </w:pPr>
      <w:r w:rsidRPr="007F52FA">
        <w:rPr>
          <w:color w:val="000000"/>
          <w:sz w:val="24"/>
        </w:rPr>
        <w:t>注：本基金建仓期为自基金合同生效日起的</w:t>
      </w:r>
      <w:r w:rsidRPr="007F52FA">
        <w:rPr>
          <w:color w:val="000000"/>
          <w:sz w:val="24"/>
        </w:rPr>
        <w:t>6</w:t>
      </w:r>
      <w:r w:rsidRPr="007F52FA">
        <w:rPr>
          <w:color w:val="000000"/>
          <w:sz w:val="24"/>
        </w:rPr>
        <w:t>个月。截至建仓期结束，本基金各项资产配置比例符合基金合同及招募说明书有关投资比例的约定。</w:t>
      </w:r>
    </w:p>
    <w:p w:rsidR="00757FD7" w:rsidRPr="007F52FA" w:rsidRDefault="00757FD7" w:rsidP="007C14DF">
      <w:pPr>
        <w:spacing w:before="29" w:line="288" w:lineRule="auto"/>
        <w:ind w:firstLineChars="200" w:firstLine="480"/>
        <w:rPr>
          <w:color w:val="000000"/>
          <w:sz w:val="24"/>
        </w:rPr>
      </w:pPr>
    </w:p>
    <w:p w:rsidR="00973B57" w:rsidRPr="007F52FA" w:rsidRDefault="00973B57" w:rsidP="007C14DF">
      <w:pPr>
        <w:pStyle w:val="20"/>
        <w:spacing w:before="29" w:line="288" w:lineRule="auto"/>
        <w:ind w:firstLineChars="0" w:firstLine="0"/>
        <w:jc w:val="left"/>
        <w:rPr>
          <w:rFonts w:ascii="Times New Roman" w:eastAsiaTheme="minorEastAsia" w:hAnsi="Times New Roman"/>
          <w:color w:val="000000"/>
        </w:rPr>
      </w:pPr>
    </w:p>
    <w:p w:rsidR="006C5BC9" w:rsidRPr="007F52FA" w:rsidRDefault="006C5BC9" w:rsidP="007C14DF">
      <w:pPr>
        <w:tabs>
          <w:tab w:val="left" w:pos="1800"/>
        </w:tabs>
        <w:spacing w:before="29" w:line="288" w:lineRule="auto"/>
        <w:rPr>
          <w:rFonts w:eastAsiaTheme="minorEastAsia"/>
          <w:color w:val="000000"/>
          <w:sz w:val="24"/>
        </w:rPr>
      </w:pPr>
    </w:p>
    <w:p w:rsidR="009238DB" w:rsidRPr="007F52FA" w:rsidRDefault="009238DB" w:rsidP="00310317">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§4  </w:t>
      </w:r>
      <w:r w:rsidRPr="007F52FA">
        <w:rPr>
          <w:rFonts w:eastAsiaTheme="minorEastAsia"/>
          <w:color w:val="000000"/>
          <w:kern w:val="0"/>
          <w:sz w:val="24"/>
          <w:szCs w:val="24"/>
        </w:rPr>
        <w:t>管理人报告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4.1 </w:t>
      </w:r>
      <w:r w:rsidRPr="007F52FA">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46"/>
        <w:gridCol w:w="924"/>
        <w:gridCol w:w="1202"/>
        <w:gridCol w:w="1300"/>
        <w:gridCol w:w="1245"/>
        <w:gridCol w:w="3251"/>
      </w:tblGrid>
      <w:tr w:rsidR="00C41617" w:rsidRPr="007F52FA" w:rsidTr="00370FE2">
        <w:trPr>
          <w:jc w:val="center"/>
        </w:trPr>
        <w:tc>
          <w:tcPr>
            <w:tcW w:w="952"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姓名</w:t>
            </w:r>
          </w:p>
        </w:tc>
        <w:tc>
          <w:tcPr>
            <w:tcW w:w="930"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职务</w:t>
            </w:r>
          </w:p>
        </w:tc>
        <w:tc>
          <w:tcPr>
            <w:tcW w:w="2519" w:type="dxa"/>
            <w:gridSpan w:val="2"/>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任本基金的基金经理期限</w:t>
            </w:r>
          </w:p>
        </w:tc>
        <w:tc>
          <w:tcPr>
            <w:tcW w:w="1254"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证券从业年限</w:t>
            </w:r>
          </w:p>
        </w:tc>
        <w:tc>
          <w:tcPr>
            <w:tcW w:w="3276" w:type="dxa"/>
            <w:vMerge w:val="restart"/>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说明</w:t>
            </w:r>
          </w:p>
        </w:tc>
      </w:tr>
      <w:tr w:rsidR="00C41617" w:rsidRPr="007F52FA" w:rsidTr="00370FE2">
        <w:trPr>
          <w:jc w:val="center"/>
        </w:trPr>
        <w:tc>
          <w:tcPr>
            <w:tcW w:w="952"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930"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1210"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任职日期</w:t>
            </w:r>
          </w:p>
        </w:tc>
        <w:tc>
          <w:tcPr>
            <w:tcW w:w="1309" w:type="dxa"/>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离任日期</w:t>
            </w:r>
          </w:p>
        </w:tc>
        <w:tc>
          <w:tcPr>
            <w:tcW w:w="1254"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c>
          <w:tcPr>
            <w:tcW w:w="3276" w:type="dxa"/>
            <w:vMerge/>
            <w:vAlign w:val="center"/>
          </w:tcPr>
          <w:p w:rsidR="00C41617" w:rsidRPr="007F52FA" w:rsidRDefault="00C41617" w:rsidP="007C14DF">
            <w:pPr>
              <w:autoSpaceDE w:val="0"/>
              <w:autoSpaceDN w:val="0"/>
              <w:adjustRightInd w:val="0"/>
              <w:spacing w:before="29" w:line="288" w:lineRule="auto"/>
              <w:ind w:left="15"/>
              <w:jc w:val="center"/>
              <w:rPr>
                <w:color w:val="000000"/>
                <w:kern w:val="0"/>
                <w:sz w:val="24"/>
              </w:rPr>
            </w:pPr>
          </w:p>
        </w:tc>
      </w:tr>
      <w:tr w:rsidR="00FB78BD">
        <w:trPr>
          <w:jc w:val="center"/>
        </w:trPr>
        <w:tc>
          <w:tcPr>
            <w:tcW w:w="946" w:type="dxa"/>
            <w:vAlign w:val="center"/>
          </w:tcPr>
          <w:p w:rsidR="00FB78BD" w:rsidRDefault="00310317">
            <w:pPr>
              <w:jc w:val="center"/>
            </w:pPr>
            <w:r>
              <w:rPr>
                <w:color w:val="000000"/>
                <w:sz w:val="24"/>
              </w:rPr>
              <w:t>唐赟</w:t>
            </w:r>
          </w:p>
        </w:tc>
        <w:tc>
          <w:tcPr>
            <w:tcW w:w="924" w:type="dxa"/>
            <w:vAlign w:val="center"/>
          </w:tcPr>
          <w:p w:rsidR="00FB78BD" w:rsidRDefault="00310317">
            <w:pPr>
              <w:jc w:val="center"/>
            </w:pPr>
            <w:r>
              <w:rPr>
                <w:color w:val="000000"/>
                <w:sz w:val="24"/>
              </w:rPr>
              <w:t>交银信用添利债券</w:t>
            </w:r>
            <w:r>
              <w:rPr>
                <w:color w:val="000000"/>
                <w:sz w:val="24"/>
              </w:rPr>
              <w:t>(LOF)</w:t>
            </w:r>
            <w:r>
              <w:rPr>
                <w:color w:val="000000"/>
                <w:sz w:val="24"/>
              </w:rPr>
              <w:t>、交银双利债券、交银双轮动债券、交银荣和保本混合的基金经理</w:t>
            </w:r>
          </w:p>
        </w:tc>
        <w:tc>
          <w:tcPr>
            <w:tcW w:w="1202" w:type="dxa"/>
            <w:vAlign w:val="center"/>
          </w:tcPr>
          <w:p w:rsidR="00FB78BD" w:rsidRDefault="00310317">
            <w:pPr>
              <w:jc w:val="center"/>
            </w:pPr>
            <w:r>
              <w:rPr>
                <w:color w:val="000000"/>
                <w:sz w:val="24"/>
              </w:rPr>
              <w:t>2015-08-04</w:t>
            </w:r>
          </w:p>
        </w:tc>
        <w:tc>
          <w:tcPr>
            <w:tcW w:w="1300" w:type="dxa"/>
            <w:vAlign w:val="center"/>
          </w:tcPr>
          <w:p w:rsidR="00FB78BD" w:rsidRDefault="00310317">
            <w:pPr>
              <w:jc w:val="center"/>
            </w:pPr>
            <w:r>
              <w:rPr>
                <w:color w:val="000000"/>
                <w:sz w:val="24"/>
              </w:rPr>
              <w:t>-</w:t>
            </w:r>
          </w:p>
        </w:tc>
        <w:tc>
          <w:tcPr>
            <w:tcW w:w="1245" w:type="dxa"/>
            <w:vAlign w:val="center"/>
          </w:tcPr>
          <w:p w:rsidR="00FB78BD" w:rsidRDefault="00310317">
            <w:pPr>
              <w:jc w:val="center"/>
            </w:pPr>
            <w:r>
              <w:rPr>
                <w:color w:val="000000"/>
                <w:sz w:val="24"/>
              </w:rPr>
              <w:t>4</w:t>
            </w:r>
            <w:r>
              <w:rPr>
                <w:color w:val="000000"/>
                <w:sz w:val="24"/>
              </w:rPr>
              <w:t>年</w:t>
            </w:r>
          </w:p>
        </w:tc>
        <w:tc>
          <w:tcPr>
            <w:tcW w:w="3251" w:type="dxa"/>
            <w:vAlign w:val="center"/>
          </w:tcPr>
          <w:p w:rsidR="00FB78BD" w:rsidRDefault="00310317">
            <w:r>
              <w:rPr>
                <w:color w:val="000000"/>
                <w:sz w:val="24"/>
              </w:rPr>
              <w:t>唐赟先生，香港城市大学电子工程硕士。历任渣打银行环球企业部助理客户经理、平安资产管理公司信用分析员。</w:t>
            </w:r>
            <w:r>
              <w:rPr>
                <w:color w:val="000000"/>
                <w:sz w:val="24"/>
              </w:rPr>
              <w:t>2012</w:t>
            </w:r>
            <w:r>
              <w:rPr>
                <w:color w:val="000000"/>
                <w:sz w:val="24"/>
              </w:rPr>
              <w:t>年加入交银施罗德基金管理有限公司，历任固定收益研究员、基金经理助理。</w:t>
            </w:r>
          </w:p>
        </w:tc>
      </w:tr>
    </w:tbl>
    <w:p w:rsidR="009238DB" w:rsidRPr="007F52FA" w:rsidRDefault="00062E1F" w:rsidP="007C14DF">
      <w:pPr>
        <w:autoSpaceDE w:val="0"/>
        <w:autoSpaceDN w:val="0"/>
        <w:adjustRightInd w:val="0"/>
        <w:spacing w:before="29" w:line="288" w:lineRule="auto"/>
        <w:jc w:val="left"/>
        <w:rPr>
          <w:color w:val="000000"/>
          <w:sz w:val="24"/>
        </w:rPr>
      </w:pPr>
      <w:r w:rsidRPr="007F52FA">
        <w:rPr>
          <w:color w:val="000000"/>
          <w:sz w:val="24"/>
        </w:rPr>
        <w:t>注：基金经理（或基金经理小组）期后变动（如有）敬请关注基金管理人发布的相关公告。</w:t>
      </w:r>
    </w:p>
    <w:p w:rsidR="005C7D00" w:rsidRPr="007F52FA" w:rsidRDefault="005C7D00" w:rsidP="007C14DF">
      <w:pPr>
        <w:pStyle w:val="20"/>
        <w:spacing w:before="29" w:line="288" w:lineRule="auto"/>
        <w:ind w:firstLineChars="0" w:firstLine="0"/>
        <w:rPr>
          <w:rFonts w:ascii="Times New Roman" w:eastAsiaTheme="minorEastAsia" w:hAnsi="Times New Roman"/>
          <w:color w:val="auto"/>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4.2</w:t>
      </w:r>
      <w:r w:rsidR="00D55054" w:rsidRPr="007F52FA">
        <w:rPr>
          <w:b/>
          <w:color w:val="000000"/>
          <w:kern w:val="0"/>
          <w:sz w:val="24"/>
        </w:rPr>
        <w:t xml:space="preserve"> </w:t>
      </w:r>
      <w:r w:rsidR="00FA7737" w:rsidRPr="007F52FA">
        <w:rPr>
          <w:b/>
          <w:color w:val="000000"/>
          <w:kern w:val="0"/>
          <w:sz w:val="24"/>
        </w:rPr>
        <w:t>管理人对报告期内本基金运作遵规守信情况的说明</w:t>
      </w:r>
    </w:p>
    <w:p w:rsidR="00FB78BD" w:rsidRDefault="00310317">
      <w:pPr>
        <w:spacing w:before="29" w:line="288" w:lineRule="auto"/>
        <w:ind w:firstLineChars="200" w:firstLine="480"/>
        <w:rPr>
          <w:color w:val="000000"/>
          <w:sz w:val="24"/>
        </w:rPr>
      </w:pPr>
      <w:r>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9238DB" w:rsidRPr="007F52FA" w:rsidRDefault="00323F25" w:rsidP="007C14DF">
      <w:pPr>
        <w:spacing w:before="29" w:line="288" w:lineRule="auto"/>
        <w:ind w:firstLineChars="200" w:firstLine="480"/>
        <w:rPr>
          <w:color w:val="000000"/>
          <w:sz w:val="24"/>
        </w:rPr>
      </w:pPr>
      <w:r w:rsidRPr="007F52FA">
        <w:rPr>
          <w:color w:val="000000"/>
          <w:sz w:val="24"/>
        </w:rPr>
        <w:t>中国证监会于</w:t>
      </w:r>
      <w:r w:rsidRPr="007F52FA">
        <w:rPr>
          <w:color w:val="000000"/>
          <w:sz w:val="24"/>
        </w:rPr>
        <w:t>2015</w:t>
      </w:r>
      <w:r w:rsidRPr="007F52FA">
        <w:rPr>
          <w:color w:val="000000"/>
          <w:sz w:val="24"/>
        </w:rPr>
        <w:t>年对公司进行了</w:t>
      </w:r>
      <w:r w:rsidRPr="007F52FA">
        <w:rPr>
          <w:color w:val="000000"/>
          <w:sz w:val="24"/>
        </w:rPr>
        <w:t>“</w:t>
      </w:r>
      <w:r w:rsidRPr="007F52FA">
        <w:rPr>
          <w:color w:val="000000"/>
          <w:sz w:val="24"/>
        </w:rPr>
        <w:t>两加强两遏制</w:t>
      </w:r>
      <w:r w:rsidRPr="007F52FA">
        <w:rPr>
          <w:color w:val="000000"/>
          <w:sz w:val="24"/>
        </w:rPr>
        <w:t>”</w:t>
      </w:r>
      <w:r w:rsidRPr="007F52FA">
        <w:rPr>
          <w:color w:val="000000"/>
          <w:sz w:val="24"/>
        </w:rPr>
        <w:t>检查，后续并就公司内部控制提出了相应改进意见及采取责令改正的行政监管措施。公司已经完成了相关问题的整改，并已向监管部门上报了专项报告。</w:t>
      </w:r>
    </w:p>
    <w:p w:rsidR="009238DB" w:rsidRPr="007F52FA" w:rsidRDefault="009238DB" w:rsidP="007C14DF">
      <w:pPr>
        <w:autoSpaceDE w:val="0"/>
        <w:autoSpaceDN w:val="0"/>
        <w:adjustRightInd w:val="0"/>
        <w:spacing w:before="29" w:line="288" w:lineRule="auto"/>
        <w:jc w:val="left"/>
        <w:rPr>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4.3 </w:t>
      </w:r>
      <w:r w:rsidRPr="007F52FA">
        <w:rPr>
          <w:b/>
          <w:color w:val="000000"/>
          <w:kern w:val="0"/>
          <w:sz w:val="24"/>
        </w:rPr>
        <w:t>公平交易专项说明</w:t>
      </w:r>
    </w:p>
    <w:p w:rsidR="00D15733" w:rsidRPr="007F52FA" w:rsidRDefault="00D15733" w:rsidP="007C14DF">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7F52FA">
          <w:rPr>
            <w:sz w:val="24"/>
          </w:rPr>
          <w:t>4.3.1</w:t>
        </w:r>
      </w:smartTag>
      <w:r w:rsidRPr="007F52FA">
        <w:rPr>
          <w:sz w:val="24"/>
        </w:rPr>
        <w:t>公平交易制度的执行情况</w:t>
      </w:r>
    </w:p>
    <w:p w:rsidR="00FB78BD" w:rsidRDefault="00310317">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B78BD" w:rsidRDefault="00310317">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B78BD" w:rsidRDefault="00310317">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D15733" w:rsidRPr="007F52FA" w:rsidRDefault="00323F25" w:rsidP="007C14DF">
      <w:pPr>
        <w:spacing w:before="29" w:line="288" w:lineRule="auto"/>
        <w:ind w:firstLineChars="200" w:firstLine="480"/>
        <w:rPr>
          <w:color w:val="000000"/>
          <w:sz w:val="24"/>
        </w:rPr>
      </w:pPr>
      <w:r w:rsidRPr="007F52FA">
        <w:rPr>
          <w:color w:val="000000"/>
          <w:sz w:val="24"/>
        </w:rPr>
        <w:t>报告期内本公司严格执行公平交易制度，公平对待旗下各投资组合，未发现任何违反公平交易的行为。</w:t>
      </w:r>
    </w:p>
    <w:p w:rsidR="00310317" w:rsidRDefault="00310317" w:rsidP="007C14DF">
      <w:pPr>
        <w:spacing w:before="29" w:line="288" w:lineRule="auto"/>
        <w:rPr>
          <w:sz w:val="24"/>
        </w:rPr>
      </w:pPr>
    </w:p>
    <w:p w:rsidR="00D15733" w:rsidRPr="007F52FA" w:rsidRDefault="00D15733" w:rsidP="007C14DF">
      <w:pPr>
        <w:spacing w:before="29" w:line="288" w:lineRule="auto"/>
        <w:rPr>
          <w:sz w:val="24"/>
        </w:rPr>
      </w:pPr>
      <w:r w:rsidRPr="007F52FA">
        <w:rPr>
          <w:sz w:val="24"/>
        </w:rPr>
        <w:t>4.3.</w:t>
      </w:r>
      <w:r w:rsidR="005B6047" w:rsidRPr="007F52FA">
        <w:rPr>
          <w:sz w:val="24"/>
        </w:rPr>
        <w:t>2</w:t>
      </w:r>
      <w:r w:rsidRPr="007F52FA">
        <w:rPr>
          <w:sz w:val="24"/>
        </w:rPr>
        <w:t>异常交易行为的专项说明</w:t>
      </w:r>
    </w:p>
    <w:p w:rsidR="00D15733" w:rsidRPr="007F52FA" w:rsidRDefault="00323F25" w:rsidP="007C14DF">
      <w:pPr>
        <w:spacing w:before="29" w:line="288" w:lineRule="auto"/>
        <w:ind w:firstLineChars="200" w:firstLine="480"/>
        <w:rPr>
          <w:color w:val="000000"/>
          <w:sz w:val="24"/>
        </w:rPr>
      </w:pPr>
      <w:r w:rsidRPr="007F52FA">
        <w:rPr>
          <w:color w:val="000000"/>
          <w:sz w:val="24"/>
        </w:rPr>
        <w:t>本基金于本报告期内未发现异常交易行为。本报告期内，本公司管理的所有投资组合参与的交易所公开竞价同日反向交易成交较少的单边交易量超过该证券当日总成交量</w:t>
      </w:r>
      <w:r w:rsidRPr="007F52FA">
        <w:rPr>
          <w:color w:val="000000"/>
          <w:sz w:val="24"/>
        </w:rPr>
        <w:t>5%</w:t>
      </w:r>
      <w:r w:rsidRPr="007F52FA">
        <w:rPr>
          <w:color w:val="000000"/>
          <w:sz w:val="24"/>
        </w:rPr>
        <w:t>的情况有</w:t>
      </w:r>
      <w:r w:rsidRPr="007F52FA">
        <w:rPr>
          <w:color w:val="000000"/>
          <w:sz w:val="24"/>
        </w:rPr>
        <w:t>1</w:t>
      </w:r>
      <w:r w:rsidRPr="007F52FA">
        <w:rPr>
          <w:color w:val="000000"/>
          <w:sz w:val="24"/>
        </w:rPr>
        <w:t>次，是由于投资组合被动超标的合规调整需要而发生同日反向交易，未发现不公平交易和利益输送的情况。本基金与本公司管理的其他投资组合在不同时间窗下（如日内、</w:t>
      </w:r>
      <w:r w:rsidRPr="007F52FA">
        <w:rPr>
          <w:color w:val="000000"/>
          <w:sz w:val="24"/>
        </w:rPr>
        <w:t>3</w:t>
      </w:r>
      <w:r w:rsidRPr="007F52FA">
        <w:rPr>
          <w:color w:val="000000"/>
          <w:sz w:val="24"/>
        </w:rPr>
        <w:t>日内、</w:t>
      </w:r>
      <w:r w:rsidRPr="007F52FA">
        <w:rPr>
          <w:color w:val="000000"/>
          <w:sz w:val="24"/>
        </w:rPr>
        <w:t>5</w:t>
      </w:r>
      <w:r w:rsidRPr="007F52FA">
        <w:rPr>
          <w:color w:val="000000"/>
          <w:sz w:val="24"/>
        </w:rPr>
        <w:t>日内）同向交易的交易价差未发现异常。</w:t>
      </w:r>
    </w:p>
    <w:p w:rsidR="009238DB" w:rsidRPr="007F52FA" w:rsidRDefault="009238DB" w:rsidP="007C14DF">
      <w:pPr>
        <w:autoSpaceDE w:val="0"/>
        <w:autoSpaceDN w:val="0"/>
        <w:adjustRightInd w:val="0"/>
        <w:spacing w:before="29" w:line="288" w:lineRule="auto"/>
        <w:jc w:val="left"/>
        <w:rPr>
          <w:color w:val="000000"/>
          <w:kern w:val="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4.4</w:t>
      </w:r>
      <w:r w:rsidR="00713C57" w:rsidRPr="007F52FA">
        <w:rPr>
          <w:b/>
          <w:color w:val="000000"/>
          <w:kern w:val="0"/>
          <w:sz w:val="24"/>
        </w:rPr>
        <w:t xml:space="preserve"> </w:t>
      </w:r>
      <w:r w:rsidRPr="007F52FA">
        <w:rPr>
          <w:rFonts w:hAnsi="宋体"/>
          <w:b/>
          <w:bCs/>
          <w:color w:val="000000"/>
          <w:sz w:val="24"/>
        </w:rPr>
        <w:t>报告期内基金的投资策略和运作分析</w:t>
      </w:r>
    </w:p>
    <w:p w:rsidR="00FB78BD" w:rsidRDefault="00310317">
      <w:pPr>
        <w:spacing w:before="29" w:line="288" w:lineRule="auto"/>
        <w:ind w:firstLineChars="200" w:firstLine="480"/>
        <w:rPr>
          <w:color w:val="000000"/>
          <w:sz w:val="24"/>
        </w:rPr>
      </w:pPr>
      <w:r>
        <w:rPr>
          <w:color w:val="000000"/>
          <w:sz w:val="24"/>
        </w:rPr>
        <w:t>本报告期内，债券市场并未延续</w:t>
      </w:r>
      <w:r>
        <w:rPr>
          <w:color w:val="000000"/>
          <w:sz w:val="24"/>
        </w:rPr>
        <w:t>2014</w:t>
      </w:r>
      <w:r>
        <w:rPr>
          <w:color w:val="000000"/>
          <w:sz w:val="24"/>
        </w:rPr>
        <w:t>年以来的牛市行情，而是转为横向震荡。债券市场在</w:t>
      </w:r>
      <w:r>
        <w:rPr>
          <w:color w:val="000000"/>
          <w:sz w:val="24"/>
        </w:rPr>
        <w:t>2016</w:t>
      </w:r>
      <w:r>
        <w:rPr>
          <w:color w:val="000000"/>
          <w:sz w:val="24"/>
        </w:rPr>
        <w:t>年</w:t>
      </w:r>
      <w:r>
        <w:rPr>
          <w:color w:val="000000"/>
          <w:sz w:val="24"/>
        </w:rPr>
        <w:t>4</w:t>
      </w:r>
      <w:r>
        <w:rPr>
          <w:color w:val="000000"/>
          <w:sz w:val="24"/>
        </w:rPr>
        <w:t>月份出现了一波快速下跌，随后在</w:t>
      </w:r>
      <w:r>
        <w:rPr>
          <w:color w:val="000000"/>
          <w:sz w:val="24"/>
        </w:rPr>
        <w:t>5</w:t>
      </w:r>
      <w:r>
        <w:rPr>
          <w:color w:val="000000"/>
          <w:sz w:val="24"/>
        </w:rPr>
        <w:t>月份、</w:t>
      </w:r>
      <w:r>
        <w:rPr>
          <w:color w:val="000000"/>
          <w:sz w:val="24"/>
        </w:rPr>
        <w:t>6</w:t>
      </w:r>
      <w:r>
        <w:rPr>
          <w:color w:val="000000"/>
          <w:sz w:val="24"/>
        </w:rPr>
        <w:t>月份逐步稳定并小幅回升。</w:t>
      </w:r>
    </w:p>
    <w:p w:rsidR="00FB78BD" w:rsidRDefault="00310317">
      <w:pPr>
        <w:spacing w:before="29" w:line="288" w:lineRule="auto"/>
        <w:ind w:firstLineChars="200" w:firstLine="480"/>
        <w:rPr>
          <w:color w:val="000000"/>
          <w:sz w:val="24"/>
        </w:rPr>
      </w:pPr>
      <w:r>
        <w:rPr>
          <w:color w:val="000000"/>
          <w:sz w:val="24"/>
        </w:rPr>
        <w:t>本报告期内，本基金操作偏向防御，组合整体在</w:t>
      </w:r>
      <w:r>
        <w:rPr>
          <w:color w:val="000000"/>
          <w:sz w:val="24"/>
        </w:rPr>
        <w:t>2016</w:t>
      </w:r>
      <w:r>
        <w:rPr>
          <w:color w:val="000000"/>
          <w:sz w:val="24"/>
        </w:rPr>
        <w:t>年</w:t>
      </w:r>
      <w:r>
        <w:rPr>
          <w:color w:val="000000"/>
          <w:sz w:val="24"/>
        </w:rPr>
        <w:t>6</w:t>
      </w:r>
      <w:r>
        <w:rPr>
          <w:color w:val="000000"/>
          <w:sz w:val="24"/>
        </w:rPr>
        <w:t>月份之前都维持低杠杆、中短久期的策略，有效控制了债券市场回调带来的净值回撤。</w:t>
      </w:r>
    </w:p>
    <w:p w:rsidR="00952A72" w:rsidRPr="007F52FA" w:rsidRDefault="00323F25" w:rsidP="007C14DF">
      <w:pPr>
        <w:spacing w:before="29" w:line="288" w:lineRule="auto"/>
        <w:ind w:firstLineChars="200" w:firstLine="480"/>
        <w:rPr>
          <w:color w:val="000000"/>
          <w:sz w:val="24"/>
        </w:rPr>
      </w:pPr>
      <w:r w:rsidRPr="007F52FA">
        <w:rPr>
          <w:color w:val="000000"/>
          <w:sz w:val="24"/>
        </w:rPr>
        <w:t>展望</w:t>
      </w:r>
      <w:r w:rsidRPr="007F52FA">
        <w:rPr>
          <w:color w:val="000000"/>
          <w:sz w:val="24"/>
        </w:rPr>
        <w:t>2016</w:t>
      </w:r>
      <w:r w:rsidRPr="007F52FA">
        <w:rPr>
          <w:color w:val="000000"/>
          <w:sz w:val="24"/>
        </w:rPr>
        <w:t>年下半年，经济及通胀在一季度的企稳回升开始出现难以为继的迹象，基本面及通胀给债市带来的利空压力正在逐步消退。同时海外各类风险事件及未来的不确定性因素使得全球资本市场风险偏好下降，海外利率水平创下新低。我们倾向于认为经济、通胀、资金面等因素在</w:t>
      </w:r>
      <w:r w:rsidRPr="007F52FA">
        <w:rPr>
          <w:color w:val="000000"/>
          <w:sz w:val="24"/>
        </w:rPr>
        <w:t>2016</w:t>
      </w:r>
      <w:r w:rsidRPr="007F52FA">
        <w:rPr>
          <w:color w:val="000000"/>
          <w:sz w:val="24"/>
        </w:rPr>
        <w:t>年下半年将向着有利于债券市场的方向发展。但考虑到目前相对较为平坦的利率曲线，债券趋势性的上涨行情仍然需要货币政策进一步放松、短端资金价格下行空间打开的配合。整体而言我们认为</w:t>
      </w:r>
      <w:r w:rsidRPr="007F52FA">
        <w:rPr>
          <w:color w:val="000000"/>
          <w:sz w:val="24"/>
        </w:rPr>
        <w:t>2016</w:t>
      </w:r>
      <w:r w:rsidRPr="007F52FA">
        <w:rPr>
          <w:color w:val="000000"/>
          <w:sz w:val="24"/>
        </w:rPr>
        <w:t>年下半年债券市场的机会大于上半年。另外，随着</w:t>
      </w:r>
      <w:r w:rsidRPr="007F52FA">
        <w:rPr>
          <w:color w:val="000000"/>
          <w:sz w:val="24"/>
        </w:rPr>
        <w:t>“</w:t>
      </w:r>
      <w:r w:rsidRPr="007F52FA">
        <w:rPr>
          <w:color w:val="000000"/>
          <w:sz w:val="24"/>
        </w:rPr>
        <w:t>刚兑</w:t>
      </w:r>
      <w:r w:rsidRPr="007F52FA">
        <w:rPr>
          <w:color w:val="000000"/>
          <w:sz w:val="24"/>
        </w:rPr>
        <w:t>”</w:t>
      </w:r>
      <w:r w:rsidRPr="007F52FA">
        <w:rPr>
          <w:color w:val="000000"/>
          <w:sz w:val="24"/>
        </w:rPr>
        <w:t>的不断打破，债券市场的信用风险不断加大，能否有效规避潜在的信用风险，将对债券组合的收益产生较为重大的影响。本基金将适度增加组合久期，择机增配长端利率债，并提高组合整体信用等级以降低组合的信用风险敞口。</w:t>
      </w:r>
    </w:p>
    <w:p w:rsidR="00EC41BC" w:rsidRPr="007F52FA" w:rsidRDefault="00EC41BC" w:rsidP="007C14DF">
      <w:pPr>
        <w:spacing w:before="29" w:line="288" w:lineRule="auto"/>
        <w:ind w:firstLineChars="200" w:firstLine="480"/>
        <w:rPr>
          <w:color w:val="000000"/>
          <w:sz w:val="24"/>
        </w:rPr>
      </w:pPr>
    </w:p>
    <w:p w:rsidR="00130395" w:rsidRPr="007F52FA" w:rsidRDefault="00130395" w:rsidP="007C14DF">
      <w:pPr>
        <w:spacing w:before="29" w:line="288" w:lineRule="auto"/>
        <w:rPr>
          <w:b/>
          <w:color w:val="000000"/>
          <w:kern w:val="0"/>
          <w:sz w:val="24"/>
        </w:rPr>
      </w:pPr>
      <w:r w:rsidRPr="007F52FA">
        <w:rPr>
          <w:b/>
          <w:color w:val="000000"/>
          <w:kern w:val="0"/>
          <w:sz w:val="24"/>
        </w:rPr>
        <w:t>4.5</w:t>
      </w:r>
      <w:r w:rsidR="00713C57" w:rsidRPr="007F52FA">
        <w:rPr>
          <w:b/>
          <w:color w:val="000000"/>
          <w:kern w:val="0"/>
          <w:sz w:val="24"/>
        </w:rPr>
        <w:t xml:space="preserve"> </w:t>
      </w:r>
      <w:r w:rsidRPr="007F52FA">
        <w:rPr>
          <w:b/>
          <w:color w:val="000000"/>
          <w:kern w:val="0"/>
          <w:sz w:val="24"/>
        </w:rPr>
        <w:t>报告期内基金的业绩表现</w:t>
      </w:r>
    </w:p>
    <w:p w:rsidR="00952A72" w:rsidRPr="007F52FA" w:rsidRDefault="00323F25" w:rsidP="007C14DF">
      <w:pPr>
        <w:spacing w:before="29" w:line="288" w:lineRule="auto"/>
        <w:ind w:firstLineChars="200" w:firstLine="480"/>
        <w:rPr>
          <w:color w:val="000000"/>
          <w:sz w:val="24"/>
        </w:rPr>
      </w:pPr>
      <w:r w:rsidRPr="007F52FA">
        <w:rPr>
          <w:color w:val="000000"/>
          <w:sz w:val="24"/>
        </w:rPr>
        <w:t>截至</w:t>
      </w:r>
      <w:r w:rsidRPr="007F52FA">
        <w:rPr>
          <w:color w:val="000000"/>
          <w:sz w:val="24"/>
        </w:rPr>
        <w:t>2016</w:t>
      </w:r>
      <w:r w:rsidRPr="007F52FA">
        <w:rPr>
          <w:color w:val="000000"/>
          <w:sz w:val="24"/>
        </w:rPr>
        <w:t>年</w:t>
      </w:r>
      <w:r w:rsidRPr="007F52FA">
        <w:rPr>
          <w:color w:val="000000"/>
          <w:sz w:val="24"/>
        </w:rPr>
        <w:t>6</w:t>
      </w:r>
      <w:r w:rsidRPr="007F52FA">
        <w:rPr>
          <w:color w:val="000000"/>
          <w:sz w:val="24"/>
        </w:rPr>
        <w:t>月</w:t>
      </w:r>
      <w:r w:rsidRPr="007F52FA">
        <w:rPr>
          <w:color w:val="000000"/>
          <w:sz w:val="24"/>
        </w:rPr>
        <w:t>30</w:t>
      </w:r>
      <w:r w:rsidRPr="007F52FA">
        <w:rPr>
          <w:color w:val="000000"/>
          <w:sz w:val="24"/>
        </w:rPr>
        <w:t>日，交银双轮动债券</w:t>
      </w:r>
      <w:r w:rsidRPr="007F52FA">
        <w:rPr>
          <w:color w:val="000000"/>
          <w:sz w:val="24"/>
        </w:rPr>
        <w:t>A/B</w:t>
      </w:r>
      <w:r w:rsidRPr="007F52FA">
        <w:rPr>
          <w:color w:val="000000"/>
          <w:sz w:val="24"/>
        </w:rPr>
        <w:t>份额净值为</w:t>
      </w:r>
      <w:r w:rsidRPr="007F52FA">
        <w:rPr>
          <w:color w:val="000000"/>
          <w:sz w:val="24"/>
        </w:rPr>
        <w:t>1.056</w:t>
      </w:r>
      <w:r w:rsidRPr="007F52FA">
        <w:rPr>
          <w:color w:val="000000"/>
          <w:sz w:val="24"/>
        </w:rPr>
        <w:t>元，本报告期份额净值增长率</w:t>
      </w:r>
      <w:r w:rsidRPr="00FD44CE">
        <w:rPr>
          <w:rFonts w:hint="eastAsia"/>
          <w:color w:val="000000"/>
          <w:sz w:val="24"/>
        </w:rPr>
        <w:t>为</w:t>
      </w:r>
      <w:r w:rsidR="00FD44CE" w:rsidRPr="007245CB">
        <w:rPr>
          <w:color w:val="000000"/>
          <w:sz w:val="24"/>
        </w:rPr>
        <w:t>0.38%</w:t>
      </w:r>
      <w:r w:rsidRPr="00FD44CE">
        <w:rPr>
          <w:rFonts w:hint="eastAsia"/>
          <w:color w:val="000000"/>
          <w:sz w:val="24"/>
        </w:rPr>
        <w:t>，同期业绩比较基准增长率为</w:t>
      </w:r>
      <w:r w:rsidR="00FD44CE" w:rsidRPr="007245CB">
        <w:rPr>
          <w:color w:val="000000"/>
          <w:sz w:val="24"/>
        </w:rPr>
        <w:t>-0.52%</w:t>
      </w:r>
      <w:r w:rsidRPr="00FD44CE">
        <w:rPr>
          <w:rFonts w:hint="eastAsia"/>
          <w:color w:val="000000"/>
          <w:sz w:val="24"/>
        </w:rPr>
        <w:t>；交银双轮动债券</w:t>
      </w:r>
      <w:r w:rsidRPr="00FD44CE">
        <w:rPr>
          <w:color w:val="000000"/>
          <w:sz w:val="24"/>
        </w:rPr>
        <w:t>C</w:t>
      </w:r>
      <w:r w:rsidRPr="00FD44CE">
        <w:rPr>
          <w:rFonts w:hint="eastAsia"/>
          <w:color w:val="000000"/>
          <w:sz w:val="24"/>
        </w:rPr>
        <w:t>份额净值为</w:t>
      </w:r>
      <w:r w:rsidRPr="00FD44CE">
        <w:rPr>
          <w:color w:val="000000"/>
          <w:sz w:val="24"/>
        </w:rPr>
        <w:t>1.050</w:t>
      </w:r>
      <w:r w:rsidRPr="00FD44CE">
        <w:rPr>
          <w:rFonts w:hint="eastAsia"/>
          <w:color w:val="000000"/>
          <w:sz w:val="24"/>
        </w:rPr>
        <w:t>元，本报告期份额净值增长率为</w:t>
      </w:r>
      <w:r w:rsidR="00FD44CE" w:rsidRPr="007245CB">
        <w:rPr>
          <w:color w:val="000000"/>
          <w:sz w:val="24"/>
        </w:rPr>
        <w:t>0.19%</w:t>
      </w:r>
      <w:r w:rsidRPr="00FD44CE">
        <w:rPr>
          <w:rFonts w:hint="eastAsia"/>
          <w:color w:val="000000"/>
          <w:sz w:val="24"/>
        </w:rPr>
        <w:t>，同期业绩比较基准增长率为</w:t>
      </w:r>
      <w:r w:rsidR="00FD44CE" w:rsidRPr="007245CB">
        <w:rPr>
          <w:color w:val="000000"/>
          <w:sz w:val="24"/>
        </w:rPr>
        <w:t>-0.52%</w:t>
      </w:r>
      <w:r w:rsidRPr="00FD44CE">
        <w:rPr>
          <w:rFonts w:hint="eastAsia"/>
          <w:color w:val="000000"/>
          <w:sz w:val="24"/>
        </w:rPr>
        <w:t>。</w:t>
      </w:r>
    </w:p>
    <w:p w:rsidR="00400FA6" w:rsidRPr="007F52FA" w:rsidRDefault="00400FA6" w:rsidP="007C14DF">
      <w:pPr>
        <w:spacing w:before="29" w:line="288" w:lineRule="auto"/>
        <w:ind w:firstLineChars="200" w:firstLine="480"/>
        <w:rPr>
          <w:color w:val="000000"/>
          <w:sz w:val="24"/>
        </w:rPr>
      </w:pPr>
    </w:p>
    <w:p w:rsidR="00274444" w:rsidRPr="002070B4" w:rsidRDefault="00274444" w:rsidP="00274444">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274444" w:rsidRDefault="00274444" w:rsidP="00274444">
      <w:pPr>
        <w:spacing w:before="29" w:line="288" w:lineRule="auto"/>
        <w:ind w:firstLineChars="200" w:firstLine="480"/>
        <w:rPr>
          <w:color w:val="000000"/>
          <w:sz w:val="24"/>
        </w:rPr>
      </w:pPr>
      <w:r w:rsidRPr="002070B4">
        <w:rPr>
          <w:color w:val="000000"/>
          <w:sz w:val="24"/>
        </w:rPr>
        <w:t>本基金本报告期内无需预警说明。</w:t>
      </w:r>
    </w:p>
    <w:p w:rsidR="00400FA6" w:rsidRPr="007F52FA" w:rsidRDefault="00400FA6" w:rsidP="007C14DF">
      <w:pPr>
        <w:spacing w:before="29" w:line="288" w:lineRule="auto"/>
        <w:ind w:firstLineChars="200" w:firstLine="480"/>
        <w:rPr>
          <w:color w:val="000000"/>
          <w:sz w:val="24"/>
        </w:rPr>
      </w:pPr>
    </w:p>
    <w:p w:rsidR="009238DB" w:rsidRPr="007F52FA" w:rsidRDefault="00FF5FC7" w:rsidP="00310317">
      <w:pPr>
        <w:pStyle w:val="1"/>
        <w:tabs>
          <w:tab w:val="center" w:pos="4410"/>
        </w:tabs>
        <w:spacing w:beforeLines="100" w:before="312" w:afterLines="100" w:after="312" w:line="288" w:lineRule="auto"/>
        <w:rPr>
          <w:color w:val="000000"/>
          <w:kern w:val="0"/>
          <w:sz w:val="24"/>
          <w:szCs w:val="24"/>
        </w:rPr>
      </w:pPr>
      <w:r w:rsidRPr="007F52FA">
        <w:rPr>
          <w:color w:val="000000"/>
          <w:kern w:val="0"/>
          <w:sz w:val="24"/>
          <w:szCs w:val="24"/>
        </w:rPr>
        <w:tab/>
      </w:r>
      <w:r w:rsidR="009238DB" w:rsidRPr="007F52FA">
        <w:rPr>
          <w:color w:val="000000"/>
          <w:kern w:val="0"/>
          <w:sz w:val="24"/>
          <w:szCs w:val="24"/>
        </w:rPr>
        <w:t xml:space="preserve">§5  </w:t>
      </w:r>
      <w:r w:rsidR="009238DB" w:rsidRPr="007F52FA">
        <w:rPr>
          <w:color w:val="000000"/>
          <w:kern w:val="0"/>
          <w:sz w:val="24"/>
          <w:szCs w:val="24"/>
        </w:rPr>
        <w:t>投资组合报告</w:t>
      </w: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5.1 </w:t>
      </w:r>
      <w:r w:rsidRPr="007F52FA">
        <w:rPr>
          <w:b/>
          <w:color w:val="000000"/>
          <w:kern w:val="0"/>
          <w:sz w:val="24"/>
        </w:rPr>
        <w:t>报告期末基金资产组合情况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3491"/>
        <w:gridCol w:w="2801"/>
        <w:gridCol w:w="1827"/>
      </w:tblGrid>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序号</w:t>
            </w:r>
          </w:p>
        </w:tc>
        <w:tc>
          <w:tcPr>
            <w:tcW w:w="33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项目</w:t>
            </w:r>
          </w:p>
        </w:tc>
        <w:tc>
          <w:tcPr>
            <w:tcW w:w="2694"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金额</w:t>
            </w:r>
            <w:r w:rsidR="00556718" w:rsidRPr="007F52FA">
              <w:rPr>
                <w:color w:val="000000"/>
                <w:kern w:val="0"/>
                <w:sz w:val="24"/>
              </w:rPr>
              <w:t>（</w:t>
            </w:r>
            <w:r w:rsidRPr="007F52FA">
              <w:rPr>
                <w:color w:val="000000"/>
                <w:sz w:val="24"/>
              </w:rPr>
              <w:t>元</w:t>
            </w:r>
            <w:r w:rsidR="00556718" w:rsidRPr="007F52FA">
              <w:rPr>
                <w:color w:val="000000"/>
                <w:kern w:val="0"/>
                <w:sz w:val="24"/>
              </w:rPr>
              <w:t>）</w:t>
            </w:r>
          </w:p>
        </w:tc>
        <w:tc>
          <w:tcPr>
            <w:tcW w:w="1757"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占基金总资产的比例</w:t>
            </w:r>
            <w:r w:rsidR="007D741B" w:rsidRPr="007F52FA">
              <w:rPr>
                <w:color w:val="000000"/>
                <w:kern w:val="0"/>
                <w:sz w:val="24"/>
              </w:rPr>
              <w:t>（</w:t>
            </w:r>
            <w:r w:rsidR="007D741B" w:rsidRPr="007F52FA">
              <w:rPr>
                <w:color w:val="000000"/>
                <w:kern w:val="0"/>
                <w:sz w:val="24"/>
              </w:rPr>
              <w:t>%</w:t>
            </w:r>
            <w:r w:rsidR="007D741B" w:rsidRPr="007F52FA">
              <w:rPr>
                <w:color w:val="000000"/>
                <w:kern w:val="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1</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权益投资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其中：股票</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2</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固定收益投资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3,083,850,518.00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97.79</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其中：债券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2,766,341,518.00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87.73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F01861" w:rsidP="007C14DF">
            <w:pPr>
              <w:autoSpaceDE w:val="0"/>
              <w:autoSpaceDN w:val="0"/>
              <w:adjustRightInd w:val="0"/>
              <w:spacing w:before="29" w:line="288" w:lineRule="auto"/>
              <w:ind w:leftChars="8" w:left="17" w:firstLineChars="250" w:firstLine="600"/>
              <w:jc w:val="left"/>
              <w:rPr>
                <w:color w:val="000000"/>
                <w:sz w:val="24"/>
              </w:rPr>
            </w:pPr>
            <w:r>
              <w:rPr>
                <w:rFonts w:hint="eastAsia"/>
                <w:color w:val="000000"/>
                <w:sz w:val="24"/>
              </w:rPr>
              <w:t xml:space="preserve"> </w:t>
            </w:r>
            <w:r w:rsidR="00323F25" w:rsidRPr="007F52FA">
              <w:rPr>
                <w:color w:val="000000"/>
                <w:sz w:val="24"/>
              </w:rPr>
              <w:t>资产支持证券</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317,509,000.00</w:t>
            </w:r>
          </w:p>
        </w:tc>
        <w:tc>
          <w:tcPr>
            <w:tcW w:w="1757" w:type="dxa"/>
            <w:vAlign w:val="center"/>
          </w:tcPr>
          <w:p w:rsidR="00323F25" w:rsidRPr="007F52FA" w:rsidRDefault="009A6B97" w:rsidP="00310317">
            <w:pPr>
              <w:spacing w:before="29" w:line="288" w:lineRule="auto"/>
              <w:ind w:left="17"/>
              <w:jc w:val="right"/>
              <w:rPr>
                <w:color w:val="000000"/>
                <w:sz w:val="24"/>
              </w:rPr>
            </w:pPr>
            <w:r w:rsidRPr="007245CB">
              <w:rPr>
                <w:color w:val="000000"/>
                <w:sz w:val="24"/>
              </w:rPr>
              <w:t>10.07</w:t>
            </w:r>
          </w:p>
        </w:tc>
      </w:tr>
      <w:tr w:rsidR="004170FA" w:rsidRPr="007F52FA" w:rsidTr="005A677E">
        <w:trPr>
          <w:jc w:val="center"/>
        </w:trPr>
        <w:tc>
          <w:tcPr>
            <w:tcW w:w="720" w:type="dxa"/>
            <w:vAlign w:val="center"/>
          </w:tcPr>
          <w:p w:rsidR="004170FA" w:rsidRPr="007F52FA" w:rsidRDefault="004170FA" w:rsidP="007C14DF">
            <w:pPr>
              <w:spacing w:before="29" w:line="288" w:lineRule="auto"/>
              <w:ind w:left="17"/>
              <w:jc w:val="center"/>
              <w:rPr>
                <w:color w:val="000000"/>
                <w:sz w:val="24"/>
              </w:rPr>
            </w:pPr>
            <w:r w:rsidRPr="007F52FA">
              <w:rPr>
                <w:color w:val="000000"/>
                <w:sz w:val="24"/>
              </w:rPr>
              <w:t>3</w:t>
            </w:r>
          </w:p>
        </w:tc>
        <w:tc>
          <w:tcPr>
            <w:tcW w:w="3357" w:type="dxa"/>
            <w:vAlign w:val="center"/>
          </w:tcPr>
          <w:p w:rsidR="004170FA" w:rsidRPr="007F52FA" w:rsidRDefault="004170FA" w:rsidP="007C14DF">
            <w:pPr>
              <w:spacing w:before="29" w:line="288" w:lineRule="auto"/>
              <w:ind w:left="17"/>
              <w:jc w:val="left"/>
              <w:rPr>
                <w:color w:val="000000"/>
                <w:sz w:val="24"/>
              </w:rPr>
            </w:pPr>
            <w:r w:rsidRPr="007F52FA">
              <w:rPr>
                <w:rFonts w:hAnsi="宋体"/>
                <w:color w:val="000000"/>
                <w:sz w:val="24"/>
              </w:rPr>
              <w:t>贵金属投资</w:t>
            </w:r>
          </w:p>
        </w:tc>
        <w:tc>
          <w:tcPr>
            <w:tcW w:w="2694"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c>
          <w:tcPr>
            <w:tcW w:w="1757" w:type="dxa"/>
            <w:vAlign w:val="center"/>
          </w:tcPr>
          <w:p w:rsidR="004170FA" w:rsidRPr="007F52FA" w:rsidRDefault="004170FA" w:rsidP="007C14DF">
            <w:pPr>
              <w:spacing w:before="29" w:line="288" w:lineRule="auto"/>
              <w:ind w:left="17"/>
              <w:jc w:val="right"/>
              <w:rPr>
                <w:color w:val="000000"/>
                <w:sz w:val="24"/>
              </w:rPr>
            </w:pPr>
            <w:r w:rsidRPr="007F52FA">
              <w:rPr>
                <w:rFonts w:eastAsiaTheme="minorEastAsia"/>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4</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金融衍生品投资</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5</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11,970,137.96</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0.38</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其中：买断式回购的买入返售金融资产</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w:t>
            </w:r>
          </w:p>
        </w:tc>
      </w:tr>
      <w:tr w:rsidR="00323F25" w:rsidRPr="007F52FA" w:rsidTr="005A677E">
        <w:trPr>
          <w:jc w:val="center"/>
        </w:trPr>
        <w:tc>
          <w:tcPr>
            <w:tcW w:w="720" w:type="dxa"/>
            <w:vAlign w:val="center"/>
          </w:tcPr>
          <w:p w:rsidR="00323F25" w:rsidRPr="007F52FA" w:rsidRDefault="004170FA" w:rsidP="007C14DF">
            <w:pPr>
              <w:spacing w:before="29" w:line="288" w:lineRule="auto"/>
              <w:ind w:left="17"/>
              <w:jc w:val="center"/>
              <w:rPr>
                <w:color w:val="000000"/>
                <w:sz w:val="24"/>
              </w:rPr>
            </w:pPr>
            <w:r w:rsidRPr="007F52FA">
              <w:rPr>
                <w:color w:val="000000"/>
                <w:sz w:val="24"/>
              </w:rPr>
              <w:t>6</w:t>
            </w:r>
          </w:p>
        </w:tc>
        <w:tc>
          <w:tcPr>
            <w:tcW w:w="3357" w:type="dxa"/>
            <w:vAlign w:val="center"/>
          </w:tcPr>
          <w:p w:rsidR="00323F25" w:rsidRPr="007F52FA" w:rsidRDefault="00323F25" w:rsidP="007C14DF">
            <w:pPr>
              <w:spacing w:before="29" w:line="288" w:lineRule="auto"/>
              <w:ind w:left="17"/>
              <w:jc w:val="left"/>
              <w:rPr>
                <w:sz w:val="24"/>
              </w:rPr>
            </w:pPr>
            <w:r w:rsidRPr="007F52FA">
              <w:rPr>
                <w:color w:val="000000"/>
                <w:sz w:val="24"/>
              </w:rPr>
              <w:t>银行存款和结算备付金合计</w:t>
            </w:r>
          </w:p>
        </w:tc>
        <w:tc>
          <w:tcPr>
            <w:tcW w:w="2694"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10,418,365.70</w:t>
            </w:r>
          </w:p>
        </w:tc>
        <w:tc>
          <w:tcPr>
            <w:tcW w:w="1757" w:type="dxa"/>
            <w:vAlign w:val="center"/>
          </w:tcPr>
          <w:p w:rsidR="00323F25" w:rsidRPr="007F52FA" w:rsidRDefault="00323F25" w:rsidP="007C14DF">
            <w:pPr>
              <w:spacing w:before="29" w:line="288" w:lineRule="auto"/>
              <w:ind w:left="17"/>
              <w:jc w:val="right"/>
              <w:rPr>
                <w:color w:val="000000"/>
                <w:sz w:val="24"/>
              </w:rPr>
            </w:pPr>
            <w:r w:rsidRPr="007F52FA">
              <w:rPr>
                <w:color w:val="000000"/>
                <w:sz w:val="24"/>
              </w:rPr>
              <w:t>0.33</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7</w:t>
            </w:r>
          </w:p>
        </w:tc>
        <w:tc>
          <w:tcPr>
            <w:tcW w:w="3357" w:type="dxa"/>
            <w:vAlign w:val="center"/>
          </w:tcPr>
          <w:p w:rsidR="00323F25" w:rsidRPr="007F52FA" w:rsidRDefault="00DD2C55" w:rsidP="007C14DF">
            <w:pPr>
              <w:spacing w:before="29" w:line="288" w:lineRule="auto"/>
              <w:jc w:val="left"/>
              <w:rPr>
                <w:sz w:val="24"/>
              </w:rPr>
            </w:pPr>
            <w:r w:rsidRPr="007F52FA">
              <w:rPr>
                <w:color w:val="000000"/>
                <w:sz w:val="24"/>
              </w:rPr>
              <w:t>其他</w:t>
            </w:r>
            <w:r w:rsidR="00323F25" w:rsidRPr="007F52FA">
              <w:rPr>
                <w:color w:val="000000"/>
                <w:sz w:val="24"/>
              </w:rPr>
              <w:t>资产</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47,180,774.97</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1.50</w:t>
            </w:r>
          </w:p>
        </w:tc>
      </w:tr>
      <w:tr w:rsidR="00323F25" w:rsidRPr="007F52FA" w:rsidTr="005A677E">
        <w:trPr>
          <w:jc w:val="center"/>
        </w:trPr>
        <w:tc>
          <w:tcPr>
            <w:tcW w:w="720" w:type="dxa"/>
            <w:vAlign w:val="center"/>
          </w:tcPr>
          <w:p w:rsidR="00323F25" w:rsidRPr="007F52FA" w:rsidRDefault="00323F25" w:rsidP="007C14DF">
            <w:pPr>
              <w:spacing w:before="29" w:line="288" w:lineRule="auto"/>
              <w:ind w:left="17"/>
              <w:jc w:val="center"/>
              <w:rPr>
                <w:color w:val="000000"/>
                <w:sz w:val="24"/>
              </w:rPr>
            </w:pPr>
            <w:r w:rsidRPr="007F52FA">
              <w:rPr>
                <w:color w:val="000000"/>
                <w:sz w:val="24"/>
              </w:rPr>
              <w:t>8</w:t>
            </w:r>
          </w:p>
        </w:tc>
        <w:tc>
          <w:tcPr>
            <w:tcW w:w="3357" w:type="dxa"/>
            <w:vAlign w:val="center"/>
          </w:tcPr>
          <w:p w:rsidR="00323F25" w:rsidRPr="007F52FA" w:rsidRDefault="00323F25" w:rsidP="007C14DF">
            <w:pPr>
              <w:spacing w:before="29" w:line="288" w:lineRule="auto"/>
              <w:jc w:val="left"/>
              <w:rPr>
                <w:sz w:val="24"/>
              </w:rPr>
            </w:pPr>
            <w:r w:rsidRPr="007F52FA">
              <w:rPr>
                <w:color w:val="000000"/>
                <w:sz w:val="24"/>
              </w:rPr>
              <w:t>合计</w:t>
            </w:r>
          </w:p>
        </w:tc>
        <w:tc>
          <w:tcPr>
            <w:tcW w:w="2694" w:type="dxa"/>
            <w:vAlign w:val="center"/>
          </w:tcPr>
          <w:p w:rsidR="00323F25" w:rsidRPr="007F52FA" w:rsidRDefault="00323F25" w:rsidP="007C14DF">
            <w:pPr>
              <w:spacing w:before="29" w:line="288" w:lineRule="auto"/>
              <w:jc w:val="right"/>
              <w:rPr>
                <w:color w:val="000000"/>
                <w:sz w:val="24"/>
              </w:rPr>
            </w:pPr>
            <w:r w:rsidRPr="007F52FA">
              <w:rPr>
                <w:color w:val="000000"/>
                <w:sz w:val="24"/>
              </w:rPr>
              <w:t>3,153,419,796.63</w:t>
            </w:r>
          </w:p>
        </w:tc>
        <w:tc>
          <w:tcPr>
            <w:tcW w:w="1757" w:type="dxa"/>
            <w:vAlign w:val="center"/>
          </w:tcPr>
          <w:p w:rsidR="00323F25" w:rsidRPr="007F52FA" w:rsidRDefault="00323F25" w:rsidP="007C14DF">
            <w:pPr>
              <w:spacing w:before="29" w:line="288" w:lineRule="auto"/>
              <w:jc w:val="right"/>
              <w:rPr>
                <w:color w:val="000000"/>
                <w:sz w:val="24"/>
              </w:rPr>
            </w:pPr>
            <w:r w:rsidRPr="007F52FA">
              <w:rPr>
                <w:color w:val="000000"/>
                <w:sz w:val="24"/>
              </w:rPr>
              <w:t>100.00</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Default="009238DB" w:rsidP="007C14DF">
      <w:pPr>
        <w:autoSpaceDE w:val="0"/>
        <w:autoSpaceDN w:val="0"/>
        <w:adjustRightInd w:val="0"/>
        <w:spacing w:before="29" w:line="288" w:lineRule="auto"/>
        <w:jc w:val="left"/>
        <w:rPr>
          <w:rFonts w:eastAsiaTheme="minorEastAsia"/>
          <w:b/>
          <w:color w:val="000000"/>
          <w:kern w:val="0"/>
          <w:sz w:val="24"/>
        </w:rPr>
      </w:pPr>
      <w:r w:rsidRPr="007F52FA">
        <w:rPr>
          <w:rFonts w:eastAsiaTheme="minorEastAsia"/>
          <w:b/>
          <w:color w:val="000000"/>
          <w:kern w:val="0"/>
          <w:sz w:val="24"/>
        </w:rPr>
        <w:t xml:space="preserve">5.2 </w:t>
      </w:r>
      <w:r w:rsidRPr="007F52FA">
        <w:rPr>
          <w:rFonts w:eastAsiaTheme="minorEastAsia"/>
          <w:b/>
          <w:color w:val="000000"/>
          <w:kern w:val="0"/>
          <w:sz w:val="24"/>
        </w:rPr>
        <w:t>报告期末按行业分类的股票投资组合</w:t>
      </w:r>
    </w:p>
    <w:p w:rsidR="001A5D39" w:rsidRPr="001A5D39" w:rsidRDefault="001A5D39" w:rsidP="001A5D39">
      <w:pPr>
        <w:rPr>
          <w:b/>
          <w:sz w:val="24"/>
        </w:rPr>
      </w:pPr>
      <w:r w:rsidRPr="004A3846">
        <w:rPr>
          <w:rFonts w:eastAsiaTheme="minorEastAsia" w:hint="eastAsia"/>
          <w:b/>
          <w:color w:val="000000" w:themeColor="text1"/>
          <w:kern w:val="0"/>
          <w:sz w:val="24"/>
        </w:rPr>
        <w:t>5.2.1</w:t>
      </w:r>
      <w:r w:rsidRPr="004A3846">
        <w:rPr>
          <w:rFonts w:eastAsiaTheme="minorEastAsia" w:hint="eastAsia"/>
          <w:b/>
          <w:color w:val="000000" w:themeColor="text1"/>
          <w:kern w:val="0"/>
          <w:sz w:val="24"/>
        </w:rPr>
        <w:t>报告期末按行业分类的境内股票投资组合</w:t>
      </w:r>
    </w:p>
    <w:p w:rsidR="009238DB"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154F6C" w:rsidRPr="00154F6C" w:rsidRDefault="00154F6C" w:rsidP="007C14DF">
      <w:pPr>
        <w:autoSpaceDE w:val="0"/>
        <w:autoSpaceDN w:val="0"/>
        <w:adjustRightInd w:val="0"/>
        <w:spacing w:before="29" w:line="288" w:lineRule="auto"/>
        <w:jc w:val="left"/>
        <w:rPr>
          <w:color w:val="000000"/>
          <w:sz w:val="24"/>
        </w:rPr>
      </w:pPr>
    </w:p>
    <w:p w:rsidR="001A5D39" w:rsidRPr="008A409E" w:rsidRDefault="001A5D39" w:rsidP="001A5D39">
      <w:pPr>
        <w:jc w:val="left"/>
        <w:rPr>
          <w:rFonts w:asciiTheme="minorEastAsia" w:eastAsiaTheme="minorEastAsia" w:hAnsiTheme="minorEastAsia"/>
          <w:b/>
          <w:bCs/>
          <w:color w:val="000000" w:themeColor="text1"/>
          <w:kern w:val="0"/>
          <w:sz w:val="24"/>
        </w:rPr>
      </w:pPr>
      <w:r w:rsidRPr="008A409E">
        <w:rPr>
          <w:rFonts w:asciiTheme="minorEastAsia" w:eastAsiaTheme="minorEastAsia" w:hAnsiTheme="minorEastAsia" w:hint="eastAsia"/>
          <w:b/>
          <w:bCs/>
          <w:color w:val="000000" w:themeColor="text1"/>
          <w:kern w:val="0"/>
          <w:sz w:val="24"/>
        </w:rPr>
        <w:t>5.2.2报告期末按行业分类的沪港通投资股票投资组合</w:t>
      </w:r>
    </w:p>
    <w:p w:rsidR="001A5D39" w:rsidRDefault="001A5D39" w:rsidP="001A5D39">
      <w:pPr>
        <w:spacing w:before="29" w:line="360" w:lineRule="auto"/>
        <w:ind w:left="17"/>
        <w:rPr>
          <w:color w:val="000000"/>
          <w:sz w:val="24"/>
        </w:rPr>
      </w:pPr>
      <w:r w:rsidRPr="00FF0BBF">
        <w:rPr>
          <w:color w:val="000000"/>
          <w:sz w:val="24"/>
        </w:rPr>
        <w:t>本基金本报告期末未持有通过沪港通投资的股票。</w:t>
      </w:r>
    </w:p>
    <w:p w:rsidR="009238DB" w:rsidRPr="001A5D39"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5.3 </w:t>
      </w:r>
      <w:r w:rsidRPr="007F52FA">
        <w:rPr>
          <w:b/>
          <w:color w:val="000000"/>
          <w:kern w:val="0"/>
          <w:sz w:val="24"/>
        </w:rPr>
        <w:t>报告期末按公允价值占基金资产净值比例大小排序的前十名股票投资明细</w:t>
      </w:r>
    </w:p>
    <w:p w:rsidR="009238DB" w:rsidRPr="007F52FA" w:rsidRDefault="000871DB" w:rsidP="007C14DF">
      <w:pPr>
        <w:autoSpaceDE w:val="0"/>
        <w:autoSpaceDN w:val="0"/>
        <w:adjustRightInd w:val="0"/>
        <w:spacing w:before="29" w:line="288" w:lineRule="auto"/>
        <w:jc w:val="left"/>
        <w:rPr>
          <w:color w:val="000000"/>
          <w:sz w:val="24"/>
        </w:rPr>
      </w:pPr>
      <w:r w:rsidRPr="007F52FA">
        <w:rPr>
          <w:color w:val="000000"/>
          <w:sz w:val="24"/>
        </w:rPr>
        <w:t>本基金本报告期末未持有股票。</w:t>
      </w:r>
    </w:p>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5.4 </w:t>
      </w:r>
      <w:r w:rsidRPr="007F52FA">
        <w:rPr>
          <w:b/>
          <w:color w:val="000000"/>
          <w:kern w:val="0"/>
          <w:sz w:val="24"/>
        </w:rPr>
        <w:t>报告期末按债券品种分类的债券投资组合</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390"/>
        <w:gridCol w:w="2948"/>
        <w:gridCol w:w="1680"/>
      </w:tblGrid>
      <w:tr w:rsidR="00296E4A" w:rsidRPr="007F52FA" w:rsidTr="00116175">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序号</w:t>
            </w:r>
          </w:p>
        </w:tc>
        <w:tc>
          <w:tcPr>
            <w:tcW w:w="339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债券品种</w:t>
            </w:r>
          </w:p>
        </w:tc>
        <w:tc>
          <w:tcPr>
            <w:tcW w:w="2948"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公允价值</w:t>
            </w:r>
            <w:r w:rsidR="00B44260" w:rsidRPr="007F52FA">
              <w:rPr>
                <w:sz w:val="24"/>
              </w:rPr>
              <w:t>（元）</w:t>
            </w:r>
          </w:p>
        </w:tc>
        <w:tc>
          <w:tcPr>
            <w:tcW w:w="168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占基金资产净值比例</w:t>
            </w:r>
            <w:r w:rsidR="00B44260" w:rsidRPr="007F52FA">
              <w:rPr>
                <w:sz w:val="24"/>
              </w:rPr>
              <w:t>（</w:t>
            </w:r>
            <w:r w:rsidRPr="007F52FA">
              <w:rPr>
                <w:color w:val="000000"/>
                <w:sz w:val="24"/>
              </w:rPr>
              <w:t>％</w:t>
            </w:r>
            <w:r w:rsidR="00B44260" w:rsidRPr="007F52FA">
              <w:rPr>
                <w:sz w:val="24"/>
              </w:rPr>
              <w:t>）</w:t>
            </w:r>
          </w:p>
        </w:tc>
      </w:tr>
      <w:tr w:rsidR="00296E4A" w:rsidRPr="007F52FA" w:rsidTr="00116175">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1</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国家债券</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100,004,000.00</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3.18</w:t>
            </w:r>
          </w:p>
        </w:tc>
      </w:tr>
      <w:tr w:rsidR="00296E4A" w:rsidRPr="007F52FA" w:rsidTr="00116175">
        <w:trPr>
          <w:jc w:val="center"/>
        </w:trPr>
        <w:tc>
          <w:tcPr>
            <w:tcW w:w="850" w:type="dxa"/>
            <w:vAlign w:val="center"/>
          </w:tcPr>
          <w:p w:rsidR="00296E4A" w:rsidRPr="007F52FA" w:rsidRDefault="00296E4A" w:rsidP="007C14DF">
            <w:pPr>
              <w:spacing w:before="29" w:line="288" w:lineRule="auto"/>
              <w:ind w:left="17"/>
              <w:jc w:val="center"/>
              <w:rPr>
                <w:color w:val="000000"/>
                <w:sz w:val="24"/>
              </w:rPr>
            </w:pPr>
            <w:r w:rsidRPr="007F52FA">
              <w:rPr>
                <w:color w:val="000000"/>
                <w:sz w:val="24"/>
              </w:rPr>
              <w:t>2</w:t>
            </w:r>
          </w:p>
        </w:tc>
        <w:tc>
          <w:tcPr>
            <w:tcW w:w="3390" w:type="dxa"/>
            <w:vAlign w:val="center"/>
          </w:tcPr>
          <w:p w:rsidR="00296E4A" w:rsidRPr="007F52FA" w:rsidRDefault="00296E4A" w:rsidP="007C14DF">
            <w:pPr>
              <w:spacing w:before="29" w:line="288" w:lineRule="auto"/>
              <w:ind w:left="17"/>
              <w:jc w:val="left"/>
              <w:rPr>
                <w:color w:val="000000"/>
                <w:sz w:val="24"/>
              </w:rPr>
            </w:pPr>
            <w:r w:rsidRPr="007F52FA">
              <w:rPr>
                <w:color w:val="000000"/>
                <w:sz w:val="24"/>
              </w:rPr>
              <w:t>央行票据</w:t>
            </w:r>
          </w:p>
        </w:tc>
        <w:tc>
          <w:tcPr>
            <w:tcW w:w="2948"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c>
          <w:tcPr>
            <w:tcW w:w="1680" w:type="dxa"/>
            <w:vAlign w:val="center"/>
          </w:tcPr>
          <w:p w:rsidR="00296E4A" w:rsidRPr="007F52FA" w:rsidRDefault="00296E4A" w:rsidP="007C14DF">
            <w:pPr>
              <w:spacing w:before="29" w:line="288" w:lineRule="auto"/>
              <w:ind w:left="17"/>
              <w:jc w:val="right"/>
              <w:rPr>
                <w:color w:val="000000"/>
                <w:sz w:val="24"/>
              </w:rPr>
            </w:pPr>
            <w:r w:rsidRPr="007F52FA">
              <w:rPr>
                <w:color w:val="000000"/>
                <w:sz w:val="24"/>
              </w:rPr>
              <w:t>-</w:t>
            </w:r>
          </w:p>
        </w:tc>
      </w:tr>
      <w:tr w:rsidR="00116175" w:rsidRPr="007F52FA" w:rsidTr="00116175">
        <w:trPr>
          <w:jc w:val="center"/>
        </w:trPr>
        <w:tc>
          <w:tcPr>
            <w:tcW w:w="850" w:type="dxa"/>
            <w:vAlign w:val="center"/>
          </w:tcPr>
          <w:p w:rsidR="00116175" w:rsidRPr="007F52FA" w:rsidRDefault="00116175" w:rsidP="00116175">
            <w:pPr>
              <w:spacing w:before="29" w:line="288" w:lineRule="auto"/>
              <w:ind w:left="17"/>
              <w:jc w:val="center"/>
              <w:rPr>
                <w:color w:val="000000"/>
                <w:sz w:val="24"/>
              </w:rPr>
            </w:pPr>
            <w:r w:rsidRPr="007F52FA">
              <w:rPr>
                <w:color w:val="000000"/>
                <w:sz w:val="24"/>
              </w:rPr>
              <w:t>3</w:t>
            </w:r>
          </w:p>
        </w:tc>
        <w:tc>
          <w:tcPr>
            <w:tcW w:w="3390" w:type="dxa"/>
            <w:vAlign w:val="center"/>
          </w:tcPr>
          <w:p w:rsidR="00116175" w:rsidRPr="007F52FA" w:rsidRDefault="00116175" w:rsidP="00116175">
            <w:pPr>
              <w:spacing w:before="29" w:line="288" w:lineRule="auto"/>
              <w:ind w:left="17"/>
              <w:jc w:val="left"/>
              <w:rPr>
                <w:color w:val="000000"/>
                <w:sz w:val="24"/>
              </w:rPr>
            </w:pPr>
            <w:r w:rsidRPr="007F52FA">
              <w:rPr>
                <w:color w:val="000000"/>
                <w:sz w:val="24"/>
              </w:rPr>
              <w:t>金融债券</w:t>
            </w:r>
          </w:p>
        </w:tc>
        <w:tc>
          <w:tcPr>
            <w:tcW w:w="2948" w:type="dxa"/>
            <w:vAlign w:val="center"/>
          </w:tcPr>
          <w:p w:rsidR="00116175" w:rsidRPr="00116175" w:rsidRDefault="00116175" w:rsidP="00116175">
            <w:pPr>
              <w:spacing w:before="29" w:line="288" w:lineRule="auto"/>
              <w:ind w:left="17"/>
              <w:jc w:val="right"/>
              <w:rPr>
                <w:color w:val="000000"/>
                <w:sz w:val="24"/>
              </w:rPr>
            </w:pPr>
            <w:r w:rsidRPr="007245CB">
              <w:rPr>
                <w:color w:val="000000"/>
                <w:sz w:val="24"/>
              </w:rPr>
              <w:t>363,950,168.00</w:t>
            </w:r>
          </w:p>
        </w:tc>
        <w:tc>
          <w:tcPr>
            <w:tcW w:w="1680" w:type="dxa"/>
            <w:vAlign w:val="center"/>
          </w:tcPr>
          <w:p w:rsidR="00116175" w:rsidRPr="007F52FA" w:rsidRDefault="00116175" w:rsidP="00116175">
            <w:pPr>
              <w:spacing w:before="29" w:line="288" w:lineRule="auto"/>
              <w:ind w:left="17"/>
              <w:jc w:val="right"/>
              <w:rPr>
                <w:color w:val="000000"/>
                <w:sz w:val="24"/>
              </w:rPr>
            </w:pPr>
            <w:r w:rsidRPr="007245CB">
              <w:rPr>
                <w:color w:val="000000"/>
                <w:sz w:val="24"/>
              </w:rPr>
              <w:t>11.58</w:t>
            </w:r>
          </w:p>
        </w:tc>
      </w:tr>
      <w:tr w:rsidR="00116175" w:rsidRPr="007F52FA" w:rsidTr="00116175">
        <w:trPr>
          <w:jc w:val="center"/>
        </w:trPr>
        <w:tc>
          <w:tcPr>
            <w:tcW w:w="850" w:type="dxa"/>
            <w:vAlign w:val="center"/>
          </w:tcPr>
          <w:p w:rsidR="00116175" w:rsidRPr="007F52FA" w:rsidRDefault="00116175" w:rsidP="00116175">
            <w:pPr>
              <w:spacing w:before="29" w:line="288" w:lineRule="auto"/>
              <w:ind w:left="17"/>
              <w:jc w:val="center"/>
              <w:rPr>
                <w:color w:val="000000"/>
                <w:sz w:val="24"/>
              </w:rPr>
            </w:pPr>
          </w:p>
        </w:tc>
        <w:tc>
          <w:tcPr>
            <w:tcW w:w="3390" w:type="dxa"/>
            <w:vAlign w:val="center"/>
          </w:tcPr>
          <w:p w:rsidR="00116175" w:rsidRPr="007F52FA" w:rsidRDefault="00116175" w:rsidP="00116175">
            <w:pPr>
              <w:spacing w:before="29" w:line="288" w:lineRule="auto"/>
              <w:ind w:left="17"/>
              <w:jc w:val="left"/>
              <w:rPr>
                <w:color w:val="000000"/>
                <w:sz w:val="24"/>
              </w:rPr>
            </w:pPr>
            <w:r w:rsidRPr="007F52FA">
              <w:rPr>
                <w:color w:val="000000"/>
                <w:sz w:val="24"/>
              </w:rPr>
              <w:t>其中：政策性金融债</w:t>
            </w:r>
          </w:p>
        </w:tc>
        <w:tc>
          <w:tcPr>
            <w:tcW w:w="2948" w:type="dxa"/>
            <w:vAlign w:val="center"/>
          </w:tcPr>
          <w:p w:rsidR="00116175" w:rsidRPr="007F52FA" w:rsidRDefault="00116175" w:rsidP="00116175">
            <w:pPr>
              <w:spacing w:before="29" w:line="288" w:lineRule="auto"/>
              <w:ind w:left="17"/>
              <w:jc w:val="right"/>
              <w:rPr>
                <w:color w:val="000000"/>
                <w:sz w:val="24"/>
              </w:rPr>
            </w:pPr>
            <w:r w:rsidRPr="007F52FA">
              <w:rPr>
                <w:color w:val="000000"/>
                <w:sz w:val="24"/>
              </w:rPr>
              <w:t>262,470,168.00</w:t>
            </w:r>
          </w:p>
        </w:tc>
        <w:tc>
          <w:tcPr>
            <w:tcW w:w="1680" w:type="dxa"/>
            <w:vAlign w:val="center"/>
          </w:tcPr>
          <w:p w:rsidR="00116175" w:rsidRPr="007F52FA" w:rsidRDefault="00116175" w:rsidP="00116175">
            <w:pPr>
              <w:spacing w:before="29" w:line="288" w:lineRule="auto"/>
              <w:ind w:left="17"/>
              <w:jc w:val="right"/>
              <w:rPr>
                <w:color w:val="000000"/>
                <w:sz w:val="24"/>
              </w:rPr>
            </w:pPr>
            <w:r w:rsidRPr="007F52FA">
              <w:rPr>
                <w:color w:val="000000"/>
                <w:sz w:val="24"/>
              </w:rPr>
              <w:t>8.35</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4</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企业债券</w:t>
            </w:r>
          </w:p>
        </w:tc>
        <w:tc>
          <w:tcPr>
            <w:tcW w:w="2948" w:type="dxa"/>
            <w:vAlign w:val="center"/>
          </w:tcPr>
          <w:p w:rsidR="00AE039D" w:rsidRPr="00AE039D" w:rsidRDefault="00AE039D">
            <w:pPr>
              <w:spacing w:before="29" w:line="288" w:lineRule="auto"/>
              <w:ind w:left="17"/>
              <w:jc w:val="right"/>
              <w:rPr>
                <w:color w:val="000000"/>
                <w:sz w:val="24"/>
              </w:rPr>
            </w:pPr>
            <w:r w:rsidRPr="007245CB">
              <w:rPr>
                <w:color w:val="000000"/>
                <w:sz w:val="24"/>
              </w:rPr>
              <w:t>1,498,015,350.00</w:t>
            </w:r>
          </w:p>
        </w:tc>
        <w:tc>
          <w:tcPr>
            <w:tcW w:w="1680" w:type="dxa"/>
            <w:vAlign w:val="center"/>
          </w:tcPr>
          <w:p w:rsidR="00AE039D" w:rsidRPr="00AE039D" w:rsidRDefault="00AE039D">
            <w:pPr>
              <w:spacing w:before="29" w:line="288" w:lineRule="auto"/>
              <w:ind w:left="17"/>
              <w:jc w:val="right"/>
              <w:rPr>
                <w:color w:val="000000"/>
                <w:sz w:val="24"/>
              </w:rPr>
            </w:pPr>
            <w:r w:rsidRPr="007245CB">
              <w:rPr>
                <w:color w:val="000000"/>
                <w:sz w:val="24"/>
              </w:rPr>
              <w:t>47.65</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5</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企业短期融资券</w:t>
            </w:r>
          </w:p>
        </w:tc>
        <w:tc>
          <w:tcPr>
            <w:tcW w:w="2948"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371,488,000.00</w:t>
            </w:r>
          </w:p>
        </w:tc>
        <w:tc>
          <w:tcPr>
            <w:tcW w:w="1680"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11.82</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6</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中期票据</w:t>
            </w:r>
          </w:p>
        </w:tc>
        <w:tc>
          <w:tcPr>
            <w:tcW w:w="2948"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432,884,000.00</w:t>
            </w:r>
          </w:p>
        </w:tc>
        <w:tc>
          <w:tcPr>
            <w:tcW w:w="1680"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13.77</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7</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可转债</w:t>
            </w:r>
            <w:r w:rsidRPr="007F52FA">
              <w:rPr>
                <w:sz w:val="24"/>
              </w:rPr>
              <w:t>（</w:t>
            </w:r>
            <w:r>
              <w:rPr>
                <w:rFonts w:hint="eastAsia"/>
                <w:sz w:val="24"/>
              </w:rPr>
              <w:t>可交换债</w:t>
            </w:r>
            <w:r w:rsidRPr="007F52FA">
              <w:rPr>
                <w:sz w:val="24"/>
              </w:rPr>
              <w:t>）</w:t>
            </w:r>
          </w:p>
        </w:tc>
        <w:tc>
          <w:tcPr>
            <w:tcW w:w="2948"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w:t>
            </w:r>
          </w:p>
        </w:tc>
        <w:tc>
          <w:tcPr>
            <w:tcW w:w="1680"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Pr>
                <w:rFonts w:hint="eastAsia"/>
                <w:color w:val="000000"/>
                <w:sz w:val="24"/>
              </w:rPr>
              <w:t>8</w:t>
            </w:r>
          </w:p>
        </w:tc>
        <w:tc>
          <w:tcPr>
            <w:tcW w:w="3390" w:type="dxa"/>
            <w:vAlign w:val="center"/>
          </w:tcPr>
          <w:p w:rsidR="00AE039D" w:rsidRPr="007F52FA" w:rsidRDefault="00AE039D" w:rsidP="00AE039D">
            <w:pPr>
              <w:spacing w:before="29" w:line="288" w:lineRule="auto"/>
              <w:ind w:left="17"/>
              <w:jc w:val="left"/>
              <w:rPr>
                <w:color w:val="000000"/>
                <w:sz w:val="24"/>
              </w:rPr>
            </w:pPr>
            <w:r w:rsidRPr="00AF0CAB">
              <w:rPr>
                <w:rFonts w:hint="eastAsia"/>
                <w:color w:val="000000"/>
                <w:sz w:val="24"/>
              </w:rPr>
              <w:t>同业存单</w:t>
            </w:r>
          </w:p>
        </w:tc>
        <w:tc>
          <w:tcPr>
            <w:tcW w:w="2948" w:type="dxa"/>
            <w:vAlign w:val="center"/>
          </w:tcPr>
          <w:p w:rsidR="00AE039D" w:rsidRPr="007F52FA" w:rsidRDefault="00AE039D" w:rsidP="00AE039D">
            <w:pPr>
              <w:spacing w:before="29" w:line="288" w:lineRule="auto"/>
              <w:ind w:left="17"/>
              <w:jc w:val="right"/>
              <w:rPr>
                <w:color w:val="000000"/>
                <w:sz w:val="24"/>
              </w:rPr>
            </w:pPr>
            <w:r w:rsidRPr="00AF0CAB">
              <w:rPr>
                <w:rFonts w:hint="eastAsia"/>
                <w:color w:val="000000"/>
                <w:sz w:val="24"/>
              </w:rPr>
              <w:t>-</w:t>
            </w:r>
          </w:p>
        </w:tc>
        <w:tc>
          <w:tcPr>
            <w:tcW w:w="1680" w:type="dxa"/>
            <w:vAlign w:val="center"/>
          </w:tcPr>
          <w:p w:rsidR="00AE039D" w:rsidRPr="007F52FA" w:rsidRDefault="00AE039D" w:rsidP="00AE039D">
            <w:pPr>
              <w:spacing w:before="29" w:line="288" w:lineRule="auto"/>
              <w:ind w:left="17"/>
              <w:jc w:val="right"/>
              <w:rPr>
                <w:color w:val="000000"/>
                <w:sz w:val="24"/>
              </w:rPr>
            </w:pPr>
            <w:r w:rsidRPr="00AF0CAB">
              <w:rPr>
                <w:rFonts w:hint="eastAsia"/>
                <w:color w:val="000000"/>
                <w:sz w:val="24"/>
              </w:rPr>
              <w:t>-</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9</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其他</w:t>
            </w:r>
          </w:p>
        </w:tc>
        <w:tc>
          <w:tcPr>
            <w:tcW w:w="2948"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w:t>
            </w:r>
          </w:p>
        </w:tc>
        <w:tc>
          <w:tcPr>
            <w:tcW w:w="1680"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w:t>
            </w:r>
          </w:p>
        </w:tc>
      </w:tr>
      <w:tr w:rsidR="00AE039D" w:rsidRPr="007F52FA" w:rsidTr="00116175">
        <w:trPr>
          <w:jc w:val="center"/>
        </w:trPr>
        <w:tc>
          <w:tcPr>
            <w:tcW w:w="850" w:type="dxa"/>
            <w:vAlign w:val="center"/>
          </w:tcPr>
          <w:p w:rsidR="00AE039D" w:rsidRPr="007F52FA" w:rsidRDefault="00AE039D" w:rsidP="00AE039D">
            <w:pPr>
              <w:spacing w:before="29" w:line="288" w:lineRule="auto"/>
              <w:ind w:left="17"/>
              <w:jc w:val="center"/>
              <w:rPr>
                <w:color w:val="000000"/>
                <w:sz w:val="24"/>
              </w:rPr>
            </w:pPr>
            <w:r w:rsidRPr="007F52FA">
              <w:rPr>
                <w:color w:val="000000"/>
                <w:sz w:val="24"/>
              </w:rPr>
              <w:t>10</w:t>
            </w:r>
          </w:p>
        </w:tc>
        <w:tc>
          <w:tcPr>
            <w:tcW w:w="3390" w:type="dxa"/>
            <w:vAlign w:val="center"/>
          </w:tcPr>
          <w:p w:rsidR="00AE039D" w:rsidRPr="007F52FA" w:rsidRDefault="00AE039D" w:rsidP="00AE039D">
            <w:pPr>
              <w:spacing w:before="29" w:line="288" w:lineRule="auto"/>
              <w:ind w:left="17"/>
              <w:jc w:val="left"/>
              <w:rPr>
                <w:color w:val="000000"/>
                <w:sz w:val="24"/>
              </w:rPr>
            </w:pPr>
            <w:r w:rsidRPr="007F52FA">
              <w:rPr>
                <w:color w:val="000000"/>
                <w:sz w:val="24"/>
              </w:rPr>
              <w:t>合计</w:t>
            </w:r>
          </w:p>
        </w:tc>
        <w:tc>
          <w:tcPr>
            <w:tcW w:w="2948"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2,766,341,518.00</w:t>
            </w:r>
          </w:p>
        </w:tc>
        <w:tc>
          <w:tcPr>
            <w:tcW w:w="1680" w:type="dxa"/>
            <w:vAlign w:val="center"/>
          </w:tcPr>
          <w:p w:rsidR="00AE039D" w:rsidRPr="007F52FA" w:rsidRDefault="00AE039D" w:rsidP="00AE039D">
            <w:pPr>
              <w:spacing w:before="29" w:line="288" w:lineRule="auto"/>
              <w:ind w:left="17"/>
              <w:jc w:val="right"/>
              <w:rPr>
                <w:color w:val="000000"/>
                <w:sz w:val="24"/>
              </w:rPr>
            </w:pPr>
            <w:r w:rsidRPr="007F52FA">
              <w:rPr>
                <w:color w:val="000000"/>
                <w:sz w:val="24"/>
              </w:rPr>
              <w:t>87.99</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 xml:space="preserve">5.5 </w:t>
      </w:r>
      <w:r w:rsidR="005C47D0" w:rsidRPr="007F52FA">
        <w:rPr>
          <w:b/>
          <w:color w:val="000000"/>
          <w:kern w:val="0"/>
          <w:sz w:val="24"/>
        </w:rPr>
        <w:t>报告期末按公允价值占基金资产净值比例大小排序</w:t>
      </w:r>
      <w:r w:rsidRPr="007F52FA">
        <w:rPr>
          <w:b/>
          <w:color w:val="000000"/>
          <w:kern w:val="0"/>
          <w:sz w:val="24"/>
        </w:rPr>
        <w:t>的前五名债券投资明细</w:t>
      </w:r>
    </w:p>
    <w:tbl>
      <w:tblPr>
        <w:tblStyle w:val="af2"/>
        <w:tblW w:w="8868" w:type="dxa"/>
        <w:jc w:val="center"/>
        <w:tblLayout w:type="fixed"/>
        <w:tblCellMar>
          <w:top w:w="57" w:type="dxa"/>
          <w:bottom w:w="57" w:type="dxa"/>
        </w:tblCellMar>
        <w:tblLook w:val="04A0" w:firstRow="1" w:lastRow="0" w:firstColumn="1" w:lastColumn="0" w:noHBand="0" w:noVBand="1"/>
      </w:tblPr>
      <w:tblGrid>
        <w:gridCol w:w="1075"/>
        <w:gridCol w:w="1533"/>
        <w:gridCol w:w="1533"/>
        <w:gridCol w:w="1394"/>
        <w:gridCol w:w="1944"/>
        <w:gridCol w:w="1389"/>
      </w:tblGrid>
      <w:tr w:rsidR="00685FFC" w:rsidRPr="007F52FA" w:rsidTr="00B236A5">
        <w:trPr>
          <w:jc w:val="center"/>
        </w:trPr>
        <w:tc>
          <w:tcPr>
            <w:tcW w:w="109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债券代码</w:t>
            </w:r>
          </w:p>
        </w:tc>
        <w:tc>
          <w:tcPr>
            <w:tcW w:w="156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债券名称</w:t>
            </w:r>
          </w:p>
        </w:tc>
        <w:tc>
          <w:tcPr>
            <w:tcW w:w="1420"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D0316E" w:rsidRPr="007F52FA">
              <w:rPr>
                <w:sz w:val="24"/>
              </w:rPr>
              <w:t>（</w:t>
            </w:r>
            <w:r w:rsidRPr="007F52FA">
              <w:rPr>
                <w:color w:val="000000"/>
                <w:kern w:val="0"/>
                <w:sz w:val="24"/>
              </w:rPr>
              <w:t>张</w:t>
            </w:r>
            <w:r w:rsidR="006314E0" w:rsidRPr="007F52FA">
              <w:rPr>
                <w:color w:val="000000"/>
                <w:kern w:val="0"/>
                <w:sz w:val="24"/>
              </w:rPr>
              <w:t>）</w:t>
            </w:r>
          </w:p>
        </w:tc>
        <w:tc>
          <w:tcPr>
            <w:tcW w:w="1982"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8E0266" w:rsidRPr="007F52FA">
              <w:rPr>
                <w:color w:val="000000"/>
                <w:kern w:val="0"/>
                <w:sz w:val="24"/>
              </w:rPr>
              <w:t>(</w:t>
            </w:r>
            <w:r w:rsidR="008E0266" w:rsidRPr="007F52FA">
              <w:rPr>
                <w:color w:val="000000"/>
                <w:kern w:val="0"/>
                <w:sz w:val="24"/>
              </w:rPr>
              <w:t>元</w:t>
            </w:r>
            <w:r w:rsidR="008E0266" w:rsidRPr="007F52FA">
              <w:rPr>
                <w:color w:val="000000"/>
                <w:kern w:val="0"/>
                <w:sz w:val="24"/>
              </w:rPr>
              <w:t>)</w:t>
            </w:r>
          </w:p>
        </w:tc>
        <w:tc>
          <w:tcPr>
            <w:tcW w:w="1415" w:type="dxa"/>
            <w:vAlign w:val="center"/>
          </w:tcPr>
          <w:p w:rsidR="00685FFC" w:rsidRPr="007F52FA" w:rsidRDefault="00685FFC"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占基金资产净值比</w:t>
            </w:r>
            <w:r w:rsidR="00334656" w:rsidRPr="007F52FA">
              <w:rPr>
                <w:color w:val="000000"/>
                <w:kern w:val="0"/>
                <w:sz w:val="24"/>
              </w:rPr>
              <w:t>例</w:t>
            </w:r>
            <w:r w:rsidRPr="007F52FA">
              <w:rPr>
                <w:color w:val="000000"/>
                <w:kern w:val="0"/>
                <w:sz w:val="24"/>
              </w:rPr>
              <w:t>（％）</w:t>
            </w:r>
          </w:p>
        </w:tc>
      </w:tr>
      <w:tr w:rsidR="00FB78BD">
        <w:trPr>
          <w:jc w:val="center"/>
        </w:trPr>
        <w:tc>
          <w:tcPr>
            <w:tcW w:w="1075" w:type="dxa"/>
            <w:vAlign w:val="center"/>
          </w:tcPr>
          <w:p w:rsidR="00FB78BD" w:rsidRDefault="00310317">
            <w:pPr>
              <w:jc w:val="center"/>
            </w:pPr>
            <w:r>
              <w:rPr>
                <w:color w:val="000000"/>
                <w:sz w:val="24"/>
              </w:rPr>
              <w:t>1</w:t>
            </w:r>
          </w:p>
        </w:tc>
        <w:tc>
          <w:tcPr>
            <w:tcW w:w="1533" w:type="dxa"/>
            <w:vAlign w:val="center"/>
          </w:tcPr>
          <w:p w:rsidR="00FB78BD" w:rsidRDefault="00310317">
            <w:pPr>
              <w:jc w:val="center"/>
            </w:pPr>
            <w:r>
              <w:rPr>
                <w:color w:val="000000"/>
                <w:sz w:val="24"/>
              </w:rPr>
              <w:t>1480138</w:t>
            </w:r>
          </w:p>
        </w:tc>
        <w:tc>
          <w:tcPr>
            <w:tcW w:w="1533" w:type="dxa"/>
            <w:vAlign w:val="center"/>
          </w:tcPr>
          <w:p w:rsidR="00FB78BD" w:rsidRDefault="00310317">
            <w:pPr>
              <w:jc w:val="center"/>
            </w:pPr>
            <w:r>
              <w:rPr>
                <w:color w:val="000000"/>
                <w:sz w:val="24"/>
              </w:rPr>
              <w:t>14</w:t>
            </w:r>
            <w:r>
              <w:rPr>
                <w:color w:val="000000"/>
                <w:sz w:val="24"/>
              </w:rPr>
              <w:t>津环城债</w:t>
            </w:r>
          </w:p>
        </w:tc>
        <w:tc>
          <w:tcPr>
            <w:tcW w:w="1394" w:type="dxa"/>
            <w:vAlign w:val="center"/>
          </w:tcPr>
          <w:p w:rsidR="00FB78BD" w:rsidRDefault="00310317">
            <w:pPr>
              <w:jc w:val="right"/>
            </w:pPr>
            <w:r>
              <w:rPr>
                <w:color w:val="000000"/>
                <w:sz w:val="24"/>
              </w:rPr>
              <w:t>1,300,000</w:t>
            </w:r>
          </w:p>
        </w:tc>
        <w:tc>
          <w:tcPr>
            <w:tcW w:w="1944" w:type="dxa"/>
            <w:vAlign w:val="center"/>
          </w:tcPr>
          <w:p w:rsidR="00FB78BD" w:rsidRDefault="00310317">
            <w:pPr>
              <w:jc w:val="right"/>
            </w:pPr>
            <w:r>
              <w:rPr>
                <w:color w:val="000000"/>
                <w:sz w:val="24"/>
              </w:rPr>
              <w:t>141,843,000.00</w:t>
            </w:r>
          </w:p>
        </w:tc>
        <w:tc>
          <w:tcPr>
            <w:tcW w:w="1389" w:type="dxa"/>
            <w:vAlign w:val="center"/>
          </w:tcPr>
          <w:p w:rsidR="00FB78BD" w:rsidRDefault="00310317">
            <w:pPr>
              <w:jc w:val="right"/>
            </w:pPr>
            <w:r>
              <w:rPr>
                <w:color w:val="000000"/>
                <w:sz w:val="24"/>
              </w:rPr>
              <w:t>4.51</w:t>
            </w:r>
          </w:p>
        </w:tc>
      </w:tr>
      <w:tr w:rsidR="00FB78BD">
        <w:trPr>
          <w:jc w:val="center"/>
        </w:trPr>
        <w:tc>
          <w:tcPr>
            <w:tcW w:w="1075" w:type="dxa"/>
            <w:vAlign w:val="center"/>
          </w:tcPr>
          <w:p w:rsidR="00FB78BD" w:rsidRDefault="00310317">
            <w:pPr>
              <w:jc w:val="center"/>
            </w:pPr>
            <w:r>
              <w:rPr>
                <w:color w:val="000000"/>
                <w:sz w:val="24"/>
              </w:rPr>
              <w:t>2</w:t>
            </w:r>
          </w:p>
        </w:tc>
        <w:tc>
          <w:tcPr>
            <w:tcW w:w="1533" w:type="dxa"/>
            <w:vAlign w:val="center"/>
          </w:tcPr>
          <w:p w:rsidR="00FB78BD" w:rsidRDefault="00310317">
            <w:pPr>
              <w:jc w:val="center"/>
            </w:pPr>
            <w:r>
              <w:rPr>
                <w:color w:val="000000"/>
                <w:sz w:val="24"/>
              </w:rPr>
              <w:t>101673002</w:t>
            </w:r>
          </w:p>
        </w:tc>
        <w:tc>
          <w:tcPr>
            <w:tcW w:w="1533" w:type="dxa"/>
            <w:vAlign w:val="center"/>
          </w:tcPr>
          <w:p w:rsidR="00FB78BD" w:rsidRDefault="00310317">
            <w:pPr>
              <w:jc w:val="center"/>
            </w:pPr>
            <w:r>
              <w:rPr>
                <w:color w:val="000000"/>
                <w:sz w:val="24"/>
              </w:rPr>
              <w:t>16</w:t>
            </w:r>
            <w:r>
              <w:rPr>
                <w:color w:val="000000"/>
                <w:sz w:val="24"/>
              </w:rPr>
              <w:t>中信国安</w:t>
            </w:r>
            <w:r>
              <w:rPr>
                <w:color w:val="000000"/>
                <w:sz w:val="24"/>
              </w:rPr>
              <w:t>MTN001</w:t>
            </w:r>
          </w:p>
        </w:tc>
        <w:tc>
          <w:tcPr>
            <w:tcW w:w="1394" w:type="dxa"/>
            <w:vAlign w:val="center"/>
          </w:tcPr>
          <w:p w:rsidR="00FB78BD" w:rsidRDefault="00310317">
            <w:pPr>
              <w:jc w:val="right"/>
            </w:pPr>
            <w:r>
              <w:rPr>
                <w:color w:val="000000"/>
                <w:sz w:val="24"/>
              </w:rPr>
              <w:t>1,300,000</w:t>
            </w:r>
          </w:p>
        </w:tc>
        <w:tc>
          <w:tcPr>
            <w:tcW w:w="1944" w:type="dxa"/>
            <w:vAlign w:val="center"/>
          </w:tcPr>
          <w:p w:rsidR="00FB78BD" w:rsidRDefault="00310317">
            <w:pPr>
              <w:jc w:val="right"/>
            </w:pPr>
            <w:r>
              <w:rPr>
                <w:color w:val="000000"/>
                <w:sz w:val="24"/>
              </w:rPr>
              <w:t>131,534,000.00</w:t>
            </w:r>
          </w:p>
        </w:tc>
        <w:tc>
          <w:tcPr>
            <w:tcW w:w="1389" w:type="dxa"/>
            <w:vAlign w:val="center"/>
          </w:tcPr>
          <w:p w:rsidR="00FB78BD" w:rsidRDefault="00310317">
            <w:pPr>
              <w:jc w:val="right"/>
            </w:pPr>
            <w:r>
              <w:rPr>
                <w:color w:val="000000"/>
                <w:sz w:val="24"/>
              </w:rPr>
              <w:t>4.18</w:t>
            </w:r>
          </w:p>
        </w:tc>
      </w:tr>
      <w:tr w:rsidR="00FB78BD">
        <w:trPr>
          <w:jc w:val="center"/>
        </w:trPr>
        <w:tc>
          <w:tcPr>
            <w:tcW w:w="1075" w:type="dxa"/>
            <w:vAlign w:val="center"/>
          </w:tcPr>
          <w:p w:rsidR="00FB78BD" w:rsidRDefault="00310317">
            <w:pPr>
              <w:jc w:val="center"/>
            </w:pPr>
            <w:r>
              <w:rPr>
                <w:color w:val="000000"/>
                <w:sz w:val="24"/>
              </w:rPr>
              <w:t>3</w:t>
            </w:r>
          </w:p>
        </w:tc>
        <w:tc>
          <w:tcPr>
            <w:tcW w:w="1533" w:type="dxa"/>
            <w:vAlign w:val="center"/>
          </w:tcPr>
          <w:p w:rsidR="00FB78BD" w:rsidRDefault="00310317">
            <w:pPr>
              <w:jc w:val="center"/>
            </w:pPr>
            <w:r>
              <w:rPr>
                <w:color w:val="000000"/>
                <w:sz w:val="24"/>
              </w:rPr>
              <w:t>160210</w:t>
            </w:r>
          </w:p>
        </w:tc>
        <w:tc>
          <w:tcPr>
            <w:tcW w:w="1533" w:type="dxa"/>
            <w:vAlign w:val="center"/>
          </w:tcPr>
          <w:p w:rsidR="00FB78BD" w:rsidRDefault="00310317">
            <w:pPr>
              <w:jc w:val="center"/>
            </w:pPr>
            <w:r>
              <w:rPr>
                <w:color w:val="000000"/>
                <w:sz w:val="24"/>
              </w:rPr>
              <w:t>16</w:t>
            </w:r>
            <w:r>
              <w:rPr>
                <w:color w:val="000000"/>
                <w:sz w:val="24"/>
              </w:rPr>
              <w:t>国开</w:t>
            </w:r>
            <w:r>
              <w:rPr>
                <w:color w:val="000000"/>
                <w:sz w:val="24"/>
              </w:rPr>
              <w:t>10</w:t>
            </w:r>
          </w:p>
        </w:tc>
        <w:tc>
          <w:tcPr>
            <w:tcW w:w="1394" w:type="dxa"/>
            <w:vAlign w:val="center"/>
          </w:tcPr>
          <w:p w:rsidR="00FB78BD" w:rsidRDefault="00310317">
            <w:pPr>
              <w:jc w:val="right"/>
            </w:pPr>
            <w:r>
              <w:rPr>
                <w:color w:val="000000"/>
                <w:sz w:val="24"/>
              </w:rPr>
              <w:t>1,300,000</w:t>
            </w:r>
          </w:p>
        </w:tc>
        <w:tc>
          <w:tcPr>
            <w:tcW w:w="1944" w:type="dxa"/>
            <w:vAlign w:val="center"/>
          </w:tcPr>
          <w:p w:rsidR="00FB78BD" w:rsidRDefault="00310317">
            <w:pPr>
              <w:jc w:val="right"/>
            </w:pPr>
            <w:r>
              <w:rPr>
                <w:color w:val="000000"/>
                <w:sz w:val="24"/>
              </w:rPr>
              <w:t>129,935,000.00</w:t>
            </w:r>
          </w:p>
        </w:tc>
        <w:tc>
          <w:tcPr>
            <w:tcW w:w="1389" w:type="dxa"/>
            <w:vAlign w:val="center"/>
          </w:tcPr>
          <w:p w:rsidR="00FB78BD" w:rsidRDefault="00310317">
            <w:pPr>
              <w:jc w:val="right"/>
            </w:pPr>
            <w:r>
              <w:rPr>
                <w:color w:val="000000"/>
                <w:sz w:val="24"/>
              </w:rPr>
              <w:t>4.13</w:t>
            </w:r>
          </w:p>
        </w:tc>
      </w:tr>
      <w:tr w:rsidR="00FB78BD">
        <w:trPr>
          <w:jc w:val="center"/>
        </w:trPr>
        <w:tc>
          <w:tcPr>
            <w:tcW w:w="1075" w:type="dxa"/>
            <w:vAlign w:val="center"/>
          </w:tcPr>
          <w:p w:rsidR="00FB78BD" w:rsidRDefault="00310317">
            <w:pPr>
              <w:jc w:val="center"/>
            </w:pPr>
            <w:r>
              <w:rPr>
                <w:color w:val="000000"/>
                <w:sz w:val="24"/>
              </w:rPr>
              <w:t>4</w:t>
            </w:r>
          </w:p>
        </w:tc>
        <w:tc>
          <w:tcPr>
            <w:tcW w:w="1533" w:type="dxa"/>
            <w:vAlign w:val="center"/>
          </w:tcPr>
          <w:p w:rsidR="00FB78BD" w:rsidRDefault="00310317">
            <w:pPr>
              <w:jc w:val="center"/>
            </w:pPr>
            <w:r>
              <w:rPr>
                <w:color w:val="000000"/>
                <w:sz w:val="24"/>
              </w:rPr>
              <w:t>1380185</w:t>
            </w:r>
          </w:p>
        </w:tc>
        <w:tc>
          <w:tcPr>
            <w:tcW w:w="1533" w:type="dxa"/>
            <w:vAlign w:val="center"/>
          </w:tcPr>
          <w:p w:rsidR="00FB78BD" w:rsidRDefault="00310317">
            <w:pPr>
              <w:jc w:val="center"/>
            </w:pPr>
            <w:r>
              <w:rPr>
                <w:color w:val="000000"/>
                <w:sz w:val="24"/>
              </w:rPr>
              <w:t>13</w:t>
            </w:r>
            <w:r>
              <w:rPr>
                <w:color w:val="000000"/>
                <w:sz w:val="24"/>
              </w:rPr>
              <w:t>鞍山城投债</w:t>
            </w:r>
          </w:p>
        </w:tc>
        <w:tc>
          <w:tcPr>
            <w:tcW w:w="1394" w:type="dxa"/>
            <w:vAlign w:val="center"/>
          </w:tcPr>
          <w:p w:rsidR="00FB78BD" w:rsidRDefault="00310317">
            <w:pPr>
              <w:jc w:val="right"/>
            </w:pPr>
            <w:r>
              <w:rPr>
                <w:color w:val="000000"/>
                <w:sz w:val="24"/>
              </w:rPr>
              <w:t>1,400,000</w:t>
            </w:r>
          </w:p>
        </w:tc>
        <w:tc>
          <w:tcPr>
            <w:tcW w:w="1944" w:type="dxa"/>
            <w:vAlign w:val="center"/>
          </w:tcPr>
          <w:p w:rsidR="00FB78BD" w:rsidRDefault="00310317">
            <w:pPr>
              <w:jc w:val="right"/>
            </w:pPr>
            <w:r>
              <w:rPr>
                <w:color w:val="000000"/>
                <w:sz w:val="24"/>
              </w:rPr>
              <w:t>117,992,000.00</w:t>
            </w:r>
          </w:p>
        </w:tc>
        <w:tc>
          <w:tcPr>
            <w:tcW w:w="1389" w:type="dxa"/>
            <w:vAlign w:val="center"/>
          </w:tcPr>
          <w:p w:rsidR="00FB78BD" w:rsidRDefault="00310317">
            <w:pPr>
              <w:jc w:val="right"/>
            </w:pPr>
            <w:r>
              <w:rPr>
                <w:color w:val="000000"/>
                <w:sz w:val="24"/>
              </w:rPr>
              <w:t>3.75</w:t>
            </w:r>
          </w:p>
        </w:tc>
      </w:tr>
      <w:tr w:rsidR="00FB78BD">
        <w:trPr>
          <w:jc w:val="center"/>
        </w:trPr>
        <w:tc>
          <w:tcPr>
            <w:tcW w:w="1075" w:type="dxa"/>
            <w:vAlign w:val="center"/>
          </w:tcPr>
          <w:p w:rsidR="00FB78BD" w:rsidRDefault="00310317">
            <w:pPr>
              <w:jc w:val="center"/>
            </w:pPr>
            <w:r>
              <w:rPr>
                <w:color w:val="000000"/>
                <w:sz w:val="24"/>
              </w:rPr>
              <w:t>5</w:t>
            </w:r>
          </w:p>
        </w:tc>
        <w:tc>
          <w:tcPr>
            <w:tcW w:w="1533" w:type="dxa"/>
            <w:vAlign w:val="center"/>
          </w:tcPr>
          <w:p w:rsidR="00FB78BD" w:rsidRDefault="00310317">
            <w:pPr>
              <w:jc w:val="center"/>
            </w:pPr>
            <w:r>
              <w:rPr>
                <w:color w:val="000000"/>
                <w:sz w:val="24"/>
              </w:rPr>
              <w:t>1380137</w:t>
            </w:r>
          </w:p>
        </w:tc>
        <w:tc>
          <w:tcPr>
            <w:tcW w:w="1533" w:type="dxa"/>
            <w:vAlign w:val="center"/>
          </w:tcPr>
          <w:p w:rsidR="00FB78BD" w:rsidRDefault="00310317">
            <w:pPr>
              <w:jc w:val="center"/>
            </w:pPr>
            <w:r>
              <w:rPr>
                <w:color w:val="000000"/>
                <w:sz w:val="24"/>
              </w:rPr>
              <w:t>13</w:t>
            </w:r>
            <w:r>
              <w:rPr>
                <w:color w:val="000000"/>
                <w:sz w:val="24"/>
              </w:rPr>
              <w:t>武地产债</w:t>
            </w:r>
          </w:p>
        </w:tc>
        <w:tc>
          <w:tcPr>
            <w:tcW w:w="1394" w:type="dxa"/>
            <w:vAlign w:val="center"/>
          </w:tcPr>
          <w:p w:rsidR="00FB78BD" w:rsidRDefault="00310317">
            <w:pPr>
              <w:jc w:val="right"/>
            </w:pPr>
            <w:r>
              <w:rPr>
                <w:color w:val="000000"/>
                <w:sz w:val="24"/>
              </w:rPr>
              <w:t>1,500,000</w:t>
            </w:r>
          </w:p>
        </w:tc>
        <w:tc>
          <w:tcPr>
            <w:tcW w:w="1944" w:type="dxa"/>
            <w:vAlign w:val="center"/>
          </w:tcPr>
          <w:p w:rsidR="00FB78BD" w:rsidRDefault="00310317">
            <w:pPr>
              <w:jc w:val="right"/>
            </w:pPr>
            <w:r>
              <w:rPr>
                <w:color w:val="000000"/>
                <w:sz w:val="24"/>
              </w:rPr>
              <w:t>117,330,000.00</w:t>
            </w:r>
          </w:p>
        </w:tc>
        <w:tc>
          <w:tcPr>
            <w:tcW w:w="1389" w:type="dxa"/>
            <w:vAlign w:val="center"/>
          </w:tcPr>
          <w:p w:rsidR="00FB78BD" w:rsidRDefault="00310317">
            <w:pPr>
              <w:jc w:val="right"/>
            </w:pPr>
            <w:r>
              <w:rPr>
                <w:color w:val="000000"/>
                <w:sz w:val="24"/>
              </w:rPr>
              <w:t>3.73</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9238DB" w:rsidP="007C14DF">
      <w:pPr>
        <w:autoSpaceDE w:val="0"/>
        <w:autoSpaceDN w:val="0"/>
        <w:adjustRightInd w:val="0"/>
        <w:spacing w:before="29" w:line="288" w:lineRule="auto"/>
        <w:jc w:val="left"/>
        <w:rPr>
          <w:b/>
          <w:color w:val="000000"/>
          <w:kern w:val="0"/>
          <w:sz w:val="24"/>
        </w:rPr>
      </w:pPr>
      <w:r w:rsidRPr="007F52FA">
        <w:rPr>
          <w:b/>
          <w:color w:val="000000"/>
          <w:kern w:val="0"/>
          <w:sz w:val="24"/>
        </w:rPr>
        <w:t>5.6</w:t>
      </w:r>
      <w:r w:rsidRPr="007F52FA">
        <w:rPr>
          <w:b/>
          <w:color w:val="000000"/>
          <w:kern w:val="0"/>
          <w:sz w:val="24"/>
        </w:rPr>
        <w:t xml:space="preserve">　报告期末按公允价值占基金资产净值比例大小排</w:t>
      </w:r>
      <w:r w:rsidR="005C47D0" w:rsidRPr="007F52FA">
        <w:rPr>
          <w:b/>
          <w:color w:val="000000"/>
          <w:kern w:val="0"/>
          <w:sz w:val="24"/>
        </w:rPr>
        <w:t>序</w:t>
      </w:r>
      <w:r w:rsidRPr="007F52FA">
        <w:rPr>
          <w:b/>
          <w:color w:val="000000"/>
          <w:kern w:val="0"/>
          <w:sz w:val="24"/>
        </w:rPr>
        <w:t>的前十名资产支持证券投资明细</w:t>
      </w:r>
    </w:p>
    <w:tbl>
      <w:tblPr>
        <w:tblStyle w:val="af2"/>
        <w:tblW w:w="8868" w:type="dxa"/>
        <w:jc w:val="center"/>
        <w:tblCellMar>
          <w:top w:w="57" w:type="dxa"/>
          <w:bottom w:w="57" w:type="dxa"/>
        </w:tblCellMar>
        <w:tblLook w:val="04A0" w:firstRow="1" w:lastRow="0" w:firstColumn="1" w:lastColumn="0" w:noHBand="0" w:noVBand="1"/>
      </w:tblPr>
      <w:tblGrid>
        <w:gridCol w:w="1331"/>
        <w:gridCol w:w="1429"/>
        <w:gridCol w:w="1534"/>
        <w:gridCol w:w="1448"/>
        <w:gridCol w:w="1716"/>
        <w:gridCol w:w="1410"/>
      </w:tblGrid>
      <w:tr w:rsidR="009A0513" w:rsidRPr="007F52FA" w:rsidTr="00B236A5">
        <w:trPr>
          <w:jc w:val="center"/>
        </w:trPr>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序号</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证券代码</w:t>
            </w:r>
          </w:p>
        </w:tc>
        <w:tc>
          <w:tcPr>
            <w:tcW w:w="1504"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证券名称</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数量</w:t>
            </w:r>
            <w:r w:rsidR="00CB7A3B" w:rsidRPr="007F52FA">
              <w:rPr>
                <w:color w:val="000000"/>
                <w:kern w:val="0"/>
                <w:sz w:val="24"/>
              </w:rPr>
              <w:t>（</w:t>
            </w:r>
            <w:r w:rsidR="007627C8">
              <w:rPr>
                <w:rFonts w:hint="eastAsia"/>
                <w:color w:val="000000"/>
                <w:kern w:val="0"/>
                <w:sz w:val="24"/>
              </w:rPr>
              <w:t>份</w:t>
            </w:r>
            <w:r w:rsidR="00CB7A3B"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公允价值</w:t>
            </w:r>
            <w:r w:rsidR="001B5C86" w:rsidRPr="007F52FA">
              <w:rPr>
                <w:color w:val="000000"/>
                <w:kern w:val="0"/>
                <w:sz w:val="24"/>
              </w:rPr>
              <w:t>（</w:t>
            </w:r>
            <w:r w:rsidR="001B5C86" w:rsidRPr="007F52FA">
              <w:rPr>
                <w:sz w:val="24"/>
              </w:rPr>
              <w:t>元</w:t>
            </w:r>
            <w:r w:rsidR="001B5C86" w:rsidRPr="007F52FA">
              <w:rPr>
                <w:color w:val="000000"/>
                <w:kern w:val="0"/>
                <w:sz w:val="24"/>
              </w:rPr>
              <w:t>）</w:t>
            </w:r>
          </w:p>
        </w:tc>
        <w:tc>
          <w:tcPr>
            <w:tcW w:w="1503" w:type="dxa"/>
            <w:vAlign w:val="center"/>
          </w:tcPr>
          <w:p w:rsidR="009A0513" w:rsidRPr="007F52FA" w:rsidRDefault="009A0513" w:rsidP="007C14DF">
            <w:pPr>
              <w:autoSpaceDE w:val="0"/>
              <w:autoSpaceDN w:val="0"/>
              <w:adjustRightInd w:val="0"/>
              <w:spacing w:before="29" w:line="288" w:lineRule="auto"/>
              <w:ind w:left="15"/>
              <w:jc w:val="center"/>
              <w:rPr>
                <w:color w:val="000000"/>
                <w:kern w:val="0"/>
                <w:sz w:val="24"/>
              </w:rPr>
            </w:pPr>
            <w:r w:rsidRPr="007F52FA">
              <w:rPr>
                <w:color w:val="000000"/>
                <w:kern w:val="0"/>
                <w:sz w:val="24"/>
              </w:rPr>
              <w:t>占基金资产净值</w:t>
            </w:r>
            <w:r w:rsidR="00E412F2">
              <w:rPr>
                <w:rFonts w:hint="eastAsia"/>
                <w:color w:val="000000"/>
                <w:kern w:val="0"/>
                <w:sz w:val="24"/>
              </w:rPr>
              <w:t>比例</w:t>
            </w:r>
            <w:r w:rsidR="001B5C86" w:rsidRPr="007F52FA">
              <w:rPr>
                <w:color w:val="000000"/>
                <w:kern w:val="0"/>
                <w:sz w:val="24"/>
              </w:rPr>
              <w:t>（％）</w:t>
            </w:r>
          </w:p>
        </w:tc>
      </w:tr>
      <w:tr w:rsidR="00FB78BD">
        <w:trPr>
          <w:jc w:val="center"/>
        </w:trPr>
        <w:tc>
          <w:tcPr>
            <w:tcW w:w="0" w:type="auto"/>
            <w:vAlign w:val="center"/>
          </w:tcPr>
          <w:p w:rsidR="00FB78BD" w:rsidRDefault="00310317">
            <w:pPr>
              <w:jc w:val="center"/>
            </w:pPr>
            <w:r>
              <w:rPr>
                <w:color w:val="000000"/>
                <w:sz w:val="24"/>
              </w:rPr>
              <w:t>1</w:t>
            </w:r>
          </w:p>
        </w:tc>
        <w:tc>
          <w:tcPr>
            <w:tcW w:w="0" w:type="auto"/>
            <w:vAlign w:val="center"/>
          </w:tcPr>
          <w:p w:rsidR="00FB78BD" w:rsidRDefault="00310317">
            <w:pPr>
              <w:jc w:val="center"/>
            </w:pPr>
            <w:r>
              <w:rPr>
                <w:color w:val="000000"/>
                <w:sz w:val="24"/>
              </w:rPr>
              <w:t>1589279</w:t>
            </w:r>
          </w:p>
        </w:tc>
        <w:tc>
          <w:tcPr>
            <w:tcW w:w="0" w:type="auto"/>
            <w:vAlign w:val="center"/>
          </w:tcPr>
          <w:p w:rsidR="00FB78BD" w:rsidRDefault="00310317">
            <w:pPr>
              <w:jc w:val="center"/>
            </w:pPr>
            <w:r>
              <w:rPr>
                <w:color w:val="000000"/>
                <w:sz w:val="24"/>
              </w:rPr>
              <w:t>15</w:t>
            </w:r>
            <w:r>
              <w:rPr>
                <w:color w:val="000000"/>
                <w:sz w:val="24"/>
              </w:rPr>
              <w:t>开元</w:t>
            </w:r>
            <w:r>
              <w:rPr>
                <w:color w:val="000000"/>
                <w:sz w:val="24"/>
              </w:rPr>
              <w:t>8</w:t>
            </w:r>
            <w:r>
              <w:rPr>
                <w:color w:val="000000"/>
                <w:sz w:val="24"/>
              </w:rPr>
              <w:t>优先</w:t>
            </w:r>
          </w:p>
        </w:tc>
        <w:tc>
          <w:tcPr>
            <w:tcW w:w="0" w:type="auto"/>
            <w:vAlign w:val="center"/>
          </w:tcPr>
          <w:p w:rsidR="00FB78BD" w:rsidRDefault="00310317">
            <w:pPr>
              <w:jc w:val="right"/>
            </w:pPr>
            <w:r>
              <w:rPr>
                <w:color w:val="000000"/>
                <w:sz w:val="24"/>
              </w:rPr>
              <w:t>2,300,000</w:t>
            </w:r>
          </w:p>
        </w:tc>
        <w:tc>
          <w:tcPr>
            <w:tcW w:w="0" w:type="auto"/>
            <w:vAlign w:val="center"/>
          </w:tcPr>
          <w:p w:rsidR="00FB78BD" w:rsidRDefault="00310317">
            <w:pPr>
              <w:jc w:val="right"/>
            </w:pPr>
            <w:r>
              <w:rPr>
                <w:color w:val="000000"/>
                <w:sz w:val="24"/>
              </w:rPr>
              <w:t>232,645,000.00</w:t>
            </w:r>
          </w:p>
        </w:tc>
        <w:tc>
          <w:tcPr>
            <w:tcW w:w="0" w:type="auto"/>
            <w:vAlign w:val="center"/>
          </w:tcPr>
          <w:p w:rsidR="00FB78BD" w:rsidRDefault="00310317">
            <w:pPr>
              <w:jc w:val="right"/>
            </w:pPr>
            <w:r>
              <w:rPr>
                <w:color w:val="000000"/>
                <w:sz w:val="24"/>
              </w:rPr>
              <w:t>7.40</w:t>
            </w:r>
          </w:p>
        </w:tc>
      </w:tr>
      <w:tr w:rsidR="00FB78BD">
        <w:trPr>
          <w:jc w:val="center"/>
        </w:trPr>
        <w:tc>
          <w:tcPr>
            <w:tcW w:w="0" w:type="auto"/>
            <w:vAlign w:val="center"/>
          </w:tcPr>
          <w:p w:rsidR="00FB78BD" w:rsidRDefault="00310317">
            <w:pPr>
              <w:jc w:val="center"/>
            </w:pPr>
            <w:r>
              <w:rPr>
                <w:color w:val="000000"/>
                <w:sz w:val="24"/>
              </w:rPr>
              <w:t>2</w:t>
            </w:r>
          </w:p>
        </w:tc>
        <w:tc>
          <w:tcPr>
            <w:tcW w:w="0" w:type="auto"/>
            <w:vAlign w:val="center"/>
          </w:tcPr>
          <w:p w:rsidR="00FB78BD" w:rsidRDefault="00310317">
            <w:pPr>
              <w:jc w:val="center"/>
            </w:pPr>
            <w:r>
              <w:rPr>
                <w:color w:val="000000"/>
                <w:sz w:val="24"/>
              </w:rPr>
              <w:t>1589213</w:t>
            </w:r>
          </w:p>
        </w:tc>
        <w:tc>
          <w:tcPr>
            <w:tcW w:w="0" w:type="auto"/>
            <w:vAlign w:val="center"/>
          </w:tcPr>
          <w:p w:rsidR="00FB78BD" w:rsidRDefault="00310317">
            <w:pPr>
              <w:jc w:val="center"/>
            </w:pPr>
            <w:r>
              <w:rPr>
                <w:color w:val="000000"/>
                <w:sz w:val="24"/>
              </w:rPr>
              <w:t>15</w:t>
            </w:r>
            <w:r>
              <w:rPr>
                <w:color w:val="000000"/>
                <w:sz w:val="24"/>
              </w:rPr>
              <w:t>开元</w:t>
            </w:r>
            <w:r>
              <w:rPr>
                <w:color w:val="000000"/>
                <w:sz w:val="24"/>
              </w:rPr>
              <w:t>5A3</w:t>
            </w:r>
          </w:p>
        </w:tc>
        <w:tc>
          <w:tcPr>
            <w:tcW w:w="0" w:type="auto"/>
            <w:vAlign w:val="center"/>
          </w:tcPr>
          <w:p w:rsidR="00FB78BD" w:rsidRDefault="00310317">
            <w:pPr>
              <w:jc w:val="right"/>
            </w:pPr>
            <w:r>
              <w:rPr>
                <w:color w:val="000000"/>
                <w:sz w:val="24"/>
              </w:rPr>
              <w:t>400,000</w:t>
            </w:r>
          </w:p>
        </w:tc>
        <w:tc>
          <w:tcPr>
            <w:tcW w:w="0" w:type="auto"/>
            <w:vAlign w:val="center"/>
          </w:tcPr>
          <w:p w:rsidR="00FB78BD" w:rsidRDefault="00310317">
            <w:pPr>
              <w:jc w:val="right"/>
            </w:pPr>
            <w:r>
              <w:rPr>
                <w:color w:val="000000"/>
                <w:sz w:val="24"/>
              </w:rPr>
              <w:t>40,248,000.00</w:t>
            </w:r>
          </w:p>
        </w:tc>
        <w:tc>
          <w:tcPr>
            <w:tcW w:w="0" w:type="auto"/>
            <w:vAlign w:val="center"/>
          </w:tcPr>
          <w:p w:rsidR="00FB78BD" w:rsidRDefault="00310317">
            <w:pPr>
              <w:jc w:val="right"/>
            </w:pPr>
            <w:r>
              <w:rPr>
                <w:color w:val="000000"/>
                <w:sz w:val="24"/>
              </w:rPr>
              <w:t>1.28</w:t>
            </w:r>
          </w:p>
        </w:tc>
      </w:tr>
      <w:tr w:rsidR="00FB78BD">
        <w:trPr>
          <w:jc w:val="center"/>
        </w:trPr>
        <w:tc>
          <w:tcPr>
            <w:tcW w:w="0" w:type="auto"/>
            <w:vAlign w:val="center"/>
          </w:tcPr>
          <w:p w:rsidR="00FB78BD" w:rsidRDefault="00310317">
            <w:pPr>
              <w:jc w:val="center"/>
            </w:pPr>
            <w:r>
              <w:rPr>
                <w:color w:val="000000"/>
                <w:sz w:val="24"/>
              </w:rPr>
              <w:t>3</w:t>
            </w:r>
          </w:p>
        </w:tc>
        <w:tc>
          <w:tcPr>
            <w:tcW w:w="0" w:type="auto"/>
            <w:vAlign w:val="center"/>
          </w:tcPr>
          <w:p w:rsidR="00FB78BD" w:rsidRDefault="00310317">
            <w:pPr>
              <w:jc w:val="center"/>
            </w:pPr>
            <w:r>
              <w:rPr>
                <w:color w:val="000000"/>
                <w:sz w:val="24"/>
              </w:rPr>
              <w:t>1589212</w:t>
            </w:r>
          </w:p>
        </w:tc>
        <w:tc>
          <w:tcPr>
            <w:tcW w:w="0" w:type="auto"/>
            <w:vAlign w:val="center"/>
          </w:tcPr>
          <w:p w:rsidR="00FB78BD" w:rsidRDefault="00310317">
            <w:pPr>
              <w:jc w:val="center"/>
            </w:pPr>
            <w:r>
              <w:rPr>
                <w:color w:val="000000"/>
                <w:sz w:val="24"/>
              </w:rPr>
              <w:t>15</w:t>
            </w:r>
            <w:r>
              <w:rPr>
                <w:color w:val="000000"/>
                <w:sz w:val="24"/>
              </w:rPr>
              <w:t>开元</w:t>
            </w:r>
            <w:r>
              <w:rPr>
                <w:color w:val="000000"/>
                <w:sz w:val="24"/>
              </w:rPr>
              <w:t>5A2</w:t>
            </w:r>
          </w:p>
        </w:tc>
        <w:tc>
          <w:tcPr>
            <w:tcW w:w="0" w:type="auto"/>
            <w:vAlign w:val="center"/>
          </w:tcPr>
          <w:p w:rsidR="00FB78BD" w:rsidRDefault="00310317">
            <w:pPr>
              <w:jc w:val="right"/>
            </w:pPr>
            <w:r>
              <w:rPr>
                <w:color w:val="000000"/>
                <w:sz w:val="24"/>
              </w:rPr>
              <w:t>300,000</w:t>
            </w:r>
          </w:p>
        </w:tc>
        <w:tc>
          <w:tcPr>
            <w:tcW w:w="0" w:type="auto"/>
            <w:vAlign w:val="center"/>
          </w:tcPr>
          <w:p w:rsidR="00FB78BD" w:rsidRDefault="00310317">
            <w:pPr>
              <w:jc w:val="right"/>
            </w:pPr>
            <w:r>
              <w:rPr>
                <w:color w:val="000000"/>
                <w:sz w:val="24"/>
              </w:rPr>
              <w:t>26,616,000.00</w:t>
            </w:r>
          </w:p>
        </w:tc>
        <w:tc>
          <w:tcPr>
            <w:tcW w:w="0" w:type="auto"/>
            <w:vAlign w:val="center"/>
          </w:tcPr>
          <w:p w:rsidR="00FB78BD" w:rsidRDefault="00310317">
            <w:pPr>
              <w:jc w:val="right"/>
            </w:pPr>
            <w:r>
              <w:rPr>
                <w:color w:val="000000"/>
                <w:sz w:val="24"/>
              </w:rPr>
              <w:t>0.85</w:t>
            </w:r>
          </w:p>
        </w:tc>
      </w:tr>
      <w:tr w:rsidR="00FB78BD">
        <w:trPr>
          <w:jc w:val="center"/>
        </w:trPr>
        <w:tc>
          <w:tcPr>
            <w:tcW w:w="0" w:type="auto"/>
            <w:vAlign w:val="center"/>
          </w:tcPr>
          <w:p w:rsidR="00FB78BD" w:rsidRDefault="00310317">
            <w:pPr>
              <w:jc w:val="center"/>
            </w:pPr>
            <w:r>
              <w:rPr>
                <w:color w:val="000000"/>
                <w:sz w:val="24"/>
              </w:rPr>
              <w:t>4</w:t>
            </w:r>
          </w:p>
        </w:tc>
        <w:tc>
          <w:tcPr>
            <w:tcW w:w="0" w:type="auto"/>
            <w:vAlign w:val="center"/>
          </w:tcPr>
          <w:p w:rsidR="00FB78BD" w:rsidRDefault="00310317">
            <w:pPr>
              <w:jc w:val="center"/>
            </w:pPr>
            <w:r>
              <w:rPr>
                <w:color w:val="000000"/>
                <w:sz w:val="24"/>
              </w:rPr>
              <w:t>123928</w:t>
            </w:r>
          </w:p>
        </w:tc>
        <w:tc>
          <w:tcPr>
            <w:tcW w:w="0" w:type="auto"/>
            <w:vAlign w:val="center"/>
          </w:tcPr>
          <w:p w:rsidR="00FB78BD" w:rsidRDefault="00310317">
            <w:pPr>
              <w:jc w:val="center"/>
            </w:pPr>
            <w:r>
              <w:rPr>
                <w:color w:val="000000"/>
                <w:sz w:val="24"/>
              </w:rPr>
              <w:t>高新热</w:t>
            </w:r>
            <w:r>
              <w:rPr>
                <w:color w:val="000000"/>
                <w:sz w:val="24"/>
              </w:rPr>
              <w:t>03</w:t>
            </w:r>
          </w:p>
        </w:tc>
        <w:tc>
          <w:tcPr>
            <w:tcW w:w="0" w:type="auto"/>
            <w:vAlign w:val="center"/>
          </w:tcPr>
          <w:p w:rsidR="00FB78BD" w:rsidRDefault="00310317">
            <w:pPr>
              <w:jc w:val="right"/>
            </w:pPr>
            <w:r>
              <w:rPr>
                <w:color w:val="000000"/>
                <w:sz w:val="24"/>
              </w:rPr>
              <w:t>70,000</w:t>
            </w:r>
          </w:p>
        </w:tc>
        <w:tc>
          <w:tcPr>
            <w:tcW w:w="0" w:type="auto"/>
            <w:vAlign w:val="center"/>
          </w:tcPr>
          <w:p w:rsidR="00FB78BD" w:rsidRDefault="00310317">
            <w:pPr>
              <w:jc w:val="right"/>
            </w:pPr>
            <w:r>
              <w:rPr>
                <w:color w:val="000000"/>
                <w:sz w:val="24"/>
              </w:rPr>
              <w:t>7,000,000.00</w:t>
            </w:r>
          </w:p>
        </w:tc>
        <w:tc>
          <w:tcPr>
            <w:tcW w:w="0" w:type="auto"/>
            <w:vAlign w:val="center"/>
          </w:tcPr>
          <w:p w:rsidR="00FB78BD" w:rsidRDefault="00310317">
            <w:pPr>
              <w:jc w:val="right"/>
            </w:pPr>
            <w:r>
              <w:rPr>
                <w:color w:val="000000"/>
                <w:sz w:val="24"/>
              </w:rPr>
              <w:t>0.22</w:t>
            </w:r>
          </w:p>
        </w:tc>
      </w:tr>
      <w:tr w:rsidR="00FB78BD">
        <w:trPr>
          <w:jc w:val="center"/>
        </w:trPr>
        <w:tc>
          <w:tcPr>
            <w:tcW w:w="0" w:type="auto"/>
            <w:vAlign w:val="center"/>
          </w:tcPr>
          <w:p w:rsidR="00FB78BD" w:rsidRDefault="00310317">
            <w:pPr>
              <w:jc w:val="center"/>
            </w:pPr>
            <w:r>
              <w:rPr>
                <w:color w:val="000000"/>
                <w:sz w:val="24"/>
              </w:rPr>
              <w:t>5</w:t>
            </w:r>
          </w:p>
        </w:tc>
        <w:tc>
          <w:tcPr>
            <w:tcW w:w="0" w:type="auto"/>
            <w:vAlign w:val="center"/>
          </w:tcPr>
          <w:p w:rsidR="00FB78BD" w:rsidRDefault="00310317">
            <w:pPr>
              <w:jc w:val="center"/>
            </w:pPr>
            <w:r>
              <w:rPr>
                <w:color w:val="000000"/>
                <w:sz w:val="24"/>
              </w:rPr>
              <w:t>123927</w:t>
            </w:r>
          </w:p>
        </w:tc>
        <w:tc>
          <w:tcPr>
            <w:tcW w:w="0" w:type="auto"/>
            <w:vAlign w:val="center"/>
          </w:tcPr>
          <w:p w:rsidR="00FB78BD" w:rsidRDefault="00310317">
            <w:pPr>
              <w:jc w:val="center"/>
            </w:pPr>
            <w:r>
              <w:rPr>
                <w:color w:val="000000"/>
                <w:sz w:val="24"/>
              </w:rPr>
              <w:t>高新热</w:t>
            </w:r>
            <w:r>
              <w:rPr>
                <w:color w:val="000000"/>
                <w:sz w:val="24"/>
              </w:rPr>
              <w:t>02</w:t>
            </w:r>
          </w:p>
        </w:tc>
        <w:tc>
          <w:tcPr>
            <w:tcW w:w="0" w:type="auto"/>
            <w:vAlign w:val="center"/>
          </w:tcPr>
          <w:p w:rsidR="00FB78BD" w:rsidRDefault="00310317">
            <w:pPr>
              <w:jc w:val="right"/>
            </w:pPr>
            <w:r>
              <w:rPr>
                <w:color w:val="000000"/>
                <w:sz w:val="24"/>
              </w:rPr>
              <w:t>60,000</w:t>
            </w:r>
          </w:p>
        </w:tc>
        <w:tc>
          <w:tcPr>
            <w:tcW w:w="0" w:type="auto"/>
            <w:vAlign w:val="center"/>
          </w:tcPr>
          <w:p w:rsidR="00FB78BD" w:rsidRDefault="00310317">
            <w:pPr>
              <w:jc w:val="right"/>
            </w:pPr>
            <w:r>
              <w:rPr>
                <w:color w:val="000000"/>
                <w:sz w:val="24"/>
              </w:rPr>
              <w:t>6,000,000.00</w:t>
            </w:r>
          </w:p>
        </w:tc>
        <w:tc>
          <w:tcPr>
            <w:tcW w:w="0" w:type="auto"/>
            <w:vAlign w:val="center"/>
          </w:tcPr>
          <w:p w:rsidR="00FB78BD" w:rsidRDefault="00310317">
            <w:pPr>
              <w:jc w:val="right"/>
            </w:pPr>
            <w:r>
              <w:rPr>
                <w:color w:val="000000"/>
                <w:sz w:val="24"/>
              </w:rPr>
              <w:t>0.19</w:t>
            </w:r>
          </w:p>
        </w:tc>
      </w:tr>
      <w:tr w:rsidR="00FB78BD">
        <w:trPr>
          <w:jc w:val="center"/>
        </w:trPr>
        <w:tc>
          <w:tcPr>
            <w:tcW w:w="0" w:type="auto"/>
            <w:vAlign w:val="center"/>
          </w:tcPr>
          <w:p w:rsidR="00FB78BD" w:rsidRDefault="00310317">
            <w:pPr>
              <w:jc w:val="center"/>
            </w:pPr>
            <w:r>
              <w:rPr>
                <w:color w:val="000000"/>
                <w:sz w:val="24"/>
              </w:rPr>
              <w:t>6</w:t>
            </w:r>
          </w:p>
        </w:tc>
        <w:tc>
          <w:tcPr>
            <w:tcW w:w="0" w:type="auto"/>
            <w:vAlign w:val="center"/>
          </w:tcPr>
          <w:p w:rsidR="00FB78BD" w:rsidRDefault="00310317">
            <w:pPr>
              <w:jc w:val="center"/>
            </w:pPr>
            <w:r>
              <w:rPr>
                <w:color w:val="000000"/>
                <w:sz w:val="24"/>
              </w:rPr>
              <w:t>123929</w:t>
            </w:r>
          </w:p>
        </w:tc>
        <w:tc>
          <w:tcPr>
            <w:tcW w:w="0" w:type="auto"/>
            <w:vAlign w:val="center"/>
          </w:tcPr>
          <w:p w:rsidR="00FB78BD" w:rsidRDefault="00310317">
            <w:pPr>
              <w:jc w:val="center"/>
            </w:pPr>
            <w:r>
              <w:rPr>
                <w:color w:val="000000"/>
                <w:sz w:val="24"/>
              </w:rPr>
              <w:t>高新热</w:t>
            </w:r>
            <w:r>
              <w:rPr>
                <w:color w:val="000000"/>
                <w:sz w:val="24"/>
              </w:rPr>
              <w:t>04</w:t>
            </w:r>
          </w:p>
        </w:tc>
        <w:tc>
          <w:tcPr>
            <w:tcW w:w="0" w:type="auto"/>
            <w:vAlign w:val="center"/>
          </w:tcPr>
          <w:p w:rsidR="00FB78BD" w:rsidRDefault="00310317">
            <w:pPr>
              <w:jc w:val="right"/>
            </w:pPr>
            <w:r>
              <w:rPr>
                <w:color w:val="000000"/>
                <w:sz w:val="24"/>
              </w:rPr>
              <w:t>50,000</w:t>
            </w:r>
          </w:p>
        </w:tc>
        <w:tc>
          <w:tcPr>
            <w:tcW w:w="0" w:type="auto"/>
            <w:vAlign w:val="center"/>
          </w:tcPr>
          <w:p w:rsidR="00FB78BD" w:rsidRDefault="00310317">
            <w:pPr>
              <w:jc w:val="right"/>
            </w:pPr>
            <w:r>
              <w:rPr>
                <w:color w:val="000000"/>
                <w:sz w:val="24"/>
              </w:rPr>
              <w:t>5,000,000.00</w:t>
            </w:r>
          </w:p>
        </w:tc>
        <w:tc>
          <w:tcPr>
            <w:tcW w:w="0" w:type="auto"/>
            <w:vAlign w:val="center"/>
          </w:tcPr>
          <w:p w:rsidR="00FB78BD" w:rsidRDefault="00310317">
            <w:pPr>
              <w:jc w:val="right"/>
            </w:pPr>
            <w:r>
              <w:rPr>
                <w:color w:val="000000"/>
                <w:sz w:val="24"/>
              </w:rPr>
              <w:t>0.16</w:t>
            </w:r>
          </w:p>
        </w:tc>
      </w:tr>
    </w:tbl>
    <w:p w:rsidR="009238DB" w:rsidRPr="007F52FA" w:rsidRDefault="009238DB" w:rsidP="007C14DF">
      <w:pPr>
        <w:autoSpaceDE w:val="0"/>
        <w:autoSpaceDN w:val="0"/>
        <w:adjustRightInd w:val="0"/>
        <w:spacing w:before="29" w:line="288" w:lineRule="auto"/>
        <w:jc w:val="left"/>
        <w:rPr>
          <w:rFonts w:eastAsiaTheme="minorEastAsia"/>
          <w:color w:val="000000"/>
          <w:kern w:val="0"/>
          <w:sz w:val="24"/>
        </w:rPr>
      </w:pP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r w:rsidRPr="007F52FA">
        <w:rPr>
          <w:rFonts w:eastAsiaTheme="minorEastAsia"/>
          <w:b/>
          <w:bCs/>
          <w:color w:val="000000"/>
          <w:kern w:val="0"/>
          <w:sz w:val="24"/>
        </w:rPr>
        <w:t xml:space="preserve">5.7 </w:t>
      </w:r>
      <w:r w:rsidRPr="007F52FA">
        <w:rPr>
          <w:rFonts w:hAnsi="宋体"/>
          <w:b/>
          <w:bCs/>
          <w:color w:val="000000"/>
          <w:kern w:val="0"/>
          <w:sz w:val="24"/>
        </w:rPr>
        <w:t>报告期末按公允价值占基金资产净值比例大小排序的前五名贵金属投资明细</w:t>
      </w:r>
    </w:p>
    <w:p w:rsidR="00680BCE" w:rsidRPr="007F52FA" w:rsidRDefault="00680BCE" w:rsidP="007C14DF">
      <w:pPr>
        <w:autoSpaceDE w:val="0"/>
        <w:autoSpaceDN w:val="0"/>
        <w:adjustRightInd w:val="0"/>
        <w:spacing w:before="29" w:line="288" w:lineRule="auto"/>
        <w:ind w:firstLineChars="50" w:firstLine="120"/>
        <w:jc w:val="left"/>
        <w:rPr>
          <w:sz w:val="24"/>
        </w:rPr>
      </w:pPr>
      <w:r w:rsidRPr="007F52FA">
        <w:rPr>
          <w:sz w:val="24"/>
        </w:rPr>
        <w:t>本基金本报告期末未持有贵金属。</w:t>
      </w:r>
    </w:p>
    <w:p w:rsidR="00680BCE" w:rsidRPr="007F52FA" w:rsidRDefault="00680BCE" w:rsidP="007C14DF">
      <w:pPr>
        <w:autoSpaceDE w:val="0"/>
        <w:autoSpaceDN w:val="0"/>
        <w:adjustRightInd w:val="0"/>
        <w:spacing w:before="29" w:line="288" w:lineRule="auto"/>
        <w:jc w:val="left"/>
        <w:rPr>
          <w:rFonts w:eastAsiaTheme="minorEastAsia"/>
          <w:color w:val="000000"/>
          <w:kern w:val="0"/>
          <w:sz w:val="24"/>
        </w:rPr>
      </w:pPr>
    </w:p>
    <w:p w:rsidR="009238DB" w:rsidRPr="007F52FA" w:rsidRDefault="001D5CD0" w:rsidP="007C14DF">
      <w:pPr>
        <w:autoSpaceDE w:val="0"/>
        <w:autoSpaceDN w:val="0"/>
        <w:adjustRightInd w:val="0"/>
        <w:spacing w:before="29" w:line="288" w:lineRule="auto"/>
        <w:jc w:val="left"/>
        <w:rPr>
          <w:b/>
          <w:color w:val="000000"/>
          <w:kern w:val="0"/>
          <w:sz w:val="24"/>
        </w:rPr>
      </w:pPr>
      <w:r w:rsidRPr="007F52FA">
        <w:rPr>
          <w:b/>
          <w:color w:val="000000"/>
          <w:kern w:val="0"/>
          <w:sz w:val="24"/>
        </w:rPr>
        <w:t>5</w:t>
      </w:r>
      <w:r w:rsidR="009238DB" w:rsidRPr="007F52FA">
        <w:rPr>
          <w:b/>
          <w:color w:val="000000"/>
          <w:kern w:val="0"/>
          <w:sz w:val="24"/>
        </w:rPr>
        <w:t>.</w:t>
      </w:r>
      <w:r w:rsidRPr="007F52FA">
        <w:rPr>
          <w:b/>
          <w:color w:val="000000"/>
          <w:kern w:val="0"/>
          <w:sz w:val="24"/>
        </w:rPr>
        <w:t>8</w:t>
      </w:r>
      <w:r w:rsidR="008E13A0" w:rsidRPr="007F52FA">
        <w:rPr>
          <w:b/>
          <w:color w:val="000000"/>
          <w:kern w:val="0"/>
          <w:sz w:val="24"/>
        </w:rPr>
        <w:t xml:space="preserve"> </w:t>
      </w:r>
      <w:r w:rsidR="009238DB" w:rsidRPr="007F52FA">
        <w:rPr>
          <w:b/>
          <w:color w:val="000000"/>
          <w:kern w:val="0"/>
          <w:sz w:val="24"/>
        </w:rPr>
        <w:t>报告期末按公允价值占基金资产净值比例大小排</w:t>
      </w:r>
      <w:r w:rsidR="005C47D0" w:rsidRPr="007F52FA">
        <w:rPr>
          <w:b/>
          <w:color w:val="000000"/>
          <w:kern w:val="0"/>
          <w:sz w:val="24"/>
        </w:rPr>
        <w:t>序</w:t>
      </w:r>
      <w:r w:rsidR="009238DB" w:rsidRPr="007F52FA">
        <w:rPr>
          <w:b/>
          <w:color w:val="000000"/>
          <w:kern w:val="0"/>
          <w:sz w:val="24"/>
        </w:rPr>
        <w:t>的前五名权证投资明细</w:t>
      </w:r>
    </w:p>
    <w:p w:rsidR="00C260A2" w:rsidRPr="007F52FA" w:rsidRDefault="00C260A2" w:rsidP="007C14DF">
      <w:pPr>
        <w:autoSpaceDE w:val="0"/>
        <w:autoSpaceDN w:val="0"/>
        <w:adjustRightInd w:val="0"/>
        <w:spacing w:before="29" w:line="288" w:lineRule="auto"/>
        <w:jc w:val="left"/>
        <w:rPr>
          <w:color w:val="000000"/>
          <w:sz w:val="24"/>
        </w:rPr>
      </w:pPr>
      <w:r w:rsidRPr="007F52FA">
        <w:rPr>
          <w:color w:val="000000"/>
          <w:sz w:val="24"/>
        </w:rPr>
        <w:t>本基金本报告期末未持有权证。</w:t>
      </w:r>
    </w:p>
    <w:p w:rsidR="001D5CD0" w:rsidRPr="007F52FA" w:rsidRDefault="001D5CD0" w:rsidP="007C14DF">
      <w:pPr>
        <w:autoSpaceDE w:val="0"/>
        <w:autoSpaceDN w:val="0"/>
        <w:adjustRightInd w:val="0"/>
        <w:spacing w:before="29" w:line="288" w:lineRule="auto"/>
        <w:jc w:val="left"/>
        <w:rPr>
          <w:rFonts w:eastAsiaTheme="minorEastAsia"/>
          <w:color w:val="000000"/>
          <w:kern w:val="0"/>
          <w:sz w:val="24"/>
        </w:rPr>
      </w:pPr>
    </w:p>
    <w:p w:rsidR="001D5CD0" w:rsidRPr="007F52FA" w:rsidRDefault="001D5CD0" w:rsidP="007C14DF">
      <w:pPr>
        <w:adjustRightInd w:val="0"/>
        <w:snapToGrid w:val="0"/>
        <w:spacing w:before="29" w:line="288" w:lineRule="auto"/>
        <w:rPr>
          <w:b/>
          <w:sz w:val="24"/>
        </w:rPr>
      </w:pPr>
      <w:r w:rsidRPr="007F52FA">
        <w:rPr>
          <w:b/>
          <w:sz w:val="24"/>
        </w:rPr>
        <w:t xml:space="preserve">5.9 </w:t>
      </w:r>
      <w:r w:rsidRPr="007F52FA">
        <w:rPr>
          <w:b/>
          <w:sz w:val="24"/>
        </w:rPr>
        <w:t>报告期末本基金投资的股指期货交易情况说明</w:t>
      </w:r>
    </w:p>
    <w:p w:rsidR="001D5CD0" w:rsidRPr="007F52FA" w:rsidRDefault="001D5CD0" w:rsidP="007C14DF">
      <w:pPr>
        <w:autoSpaceDE w:val="0"/>
        <w:autoSpaceDN w:val="0"/>
        <w:adjustRightInd w:val="0"/>
        <w:spacing w:before="29" w:line="288" w:lineRule="auto"/>
        <w:jc w:val="left"/>
        <w:rPr>
          <w:sz w:val="24"/>
        </w:rPr>
      </w:pPr>
      <w:r w:rsidRPr="007F52FA">
        <w:rPr>
          <w:sz w:val="24"/>
        </w:rPr>
        <w:t>本基金本报告期末未持有股指期货。</w:t>
      </w:r>
    </w:p>
    <w:p w:rsidR="001D5CD0" w:rsidRPr="007F52FA" w:rsidRDefault="001D5CD0" w:rsidP="007C14DF">
      <w:pPr>
        <w:autoSpaceDE w:val="0"/>
        <w:autoSpaceDN w:val="0"/>
        <w:adjustRightInd w:val="0"/>
        <w:spacing w:before="29" w:line="288" w:lineRule="auto"/>
        <w:jc w:val="left"/>
        <w:rPr>
          <w:b/>
          <w:sz w:val="24"/>
        </w:rPr>
      </w:pPr>
    </w:p>
    <w:p w:rsidR="00A7062E" w:rsidRPr="007F52FA" w:rsidRDefault="001D5CD0" w:rsidP="007C14DF">
      <w:pPr>
        <w:adjustRightInd w:val="0"/>
        <w:snapToGrid w:val="0"/>
        <w:spacing w:before="29" w:line="288" w:lineRule="auto"/>
        <w:rPr>
          <w:b/>
          <w:sz w:val="24"/>
        </w:rPr>
      </w:pPr>
      <w:r w:rsidRPr="007F52FA">
        <w:rPr>
          <w:b/>
          <w:sz w:val="24"/>
        </w:rPr>
        <w:t>5.10</w:t>
      </w:r>
      <w:r w:rsidR="008E13A0" w:rsidRPr="007F52FA">
        <w:rPr>
          <w:b/>
          <w:sz w:val="24"/>
        </w:rPr>
        <w:t xml:space="preserve"> </w:t>
      </w:r>
      <w:r w:rsidRPr="007F52FA">
        <w:rPr>
          <w:b/>
          <w:sz w:val="24"/>
        </w:rPr>
        <w:t>报告期末本基金投资的国债期货交易情况说明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本基金本报告期末未持有国债期货。</w:t>
      </w:r>
    </w:p>
    <w:p w:rsidR="00DB56EC" w:rsidRPr="007F52FA" w:rsidRDefault="00DB56EC"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b/>
          <w:kern w:val="0"/>
          <w:sz w:val="24"/>
        </w:rPr>
      </w:pPr>
      <w:r w:rsidRPr="007F52FA">
        <w:rPr>
          <w:b/>
          <w:kern w:val="0"/>
          <w:sz w:val="24"/>
        </w:rPr>
        <w:t>5.11</w:t>
      </w:r>
      <w:r w:rsidR="008E13A0" w:rsidRPr="007F52FA">
        <w:rPr>
          <w:b/>
          <w:kern w:val="0"/>
          <w:sz w:val="24"/>
        </w:rPr>
        <w:t xml:space="preserve"> </w:t>
      </w:r>
      <w:r w:rsidRPr="007F52FA">
        <w:rPr>
          <w:b/>
          <w:kern w:val="0"/>
          <w:sz w:val="24"/>
        </w:rPr>
        <w:t>投资组合报告附注</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5.11.1</w:t>
      </w:r>
      <w:r w:rsidRPr="00384E65">
        <w:rPr>
          <w:kern w:val="0"/>
          <w:sz w:val="24"/>
        </w:rPr>
        <w:t>报告期内本基金投资的前十名证券的发行主体未被监管部门立案调查，在本报告编制日前一年内本基金投资的前十名证券的发行主体未受到公开谴责和处罚。</w:t>
      </w:r>
    </w:p>
    <w:p w:rsidR="00384E65" w:rsidRPr="00384E65" w:rsidRDefault="00384E65" w:rsidP="00A0678E">
      <w:pPr>
        <w:autoSpaceDE w:val="0"/>
        <w:autoSpaceDN w:val="0"/>
        <w:adjustRightInd w:val="0"/>
        <w:spacing w:before="29" w:line="288" w:lineRule="auto"/>
        <w:rPr>
          <w:kern w:val="0"/>
          <w:sz w:val="24"/>
        </w:rPr>
      </w:pPr>
      <w:r w:rsidRPr="00384E65">
        <w:rPr>
          <w:kern w:val="0"/>
          <w:sz w:val="24"/>
        </w:rPr>
        <w:t>5.11.2</w:t>
      </w:r>
      <w:r w:rsidRPr="00384E65">
        <w:rPr>
          <w:kern w:val="0"/>
          <w:sz w:val="24"/>
        </w:rPr>
        <w:t>本基金投资的前十名股票中，没有超出基金合同规定的备选股票库之外的股票。</w:t>
      </w:r>
    </w:p>
    <w:p w:rsidR="001D5CD0" w:rsidRPr="007F52FA" w:rsidRDefault="001D5CD0" w:rsidP="007C14DF">
      <w:pPr>
        <w:autoSpaceDE w:val="0"/>
        <w:autoSpaceDN w:val="0"/>
        <w:adjustRightInd w:val="0"/>
        <w:spacing w:before="29" w:line="288" w:lineRule="auto"/>
        <w:rPr>
          <w:kern w:val="0"/>
          <w:sz w:val="24"/>
        </w:rPr>
      </w:pPr>
      <w:r w:rsidRPr="007F52FA">
        <w:rPr>
          <w:kern w:val="0"/>
          <w:sz w:val="24"/>
        </w:rPr>
        <w:t>5.11.3</w:t>
      </w:r>
      <w:r w:rsidR="008E13A0" w:rsidRPr="007F52FA">
        <w:rPr>
          <w:kern w:val="0"/>
          <w:sz w:val="24"/>
        </w:rPr>
        <w:t xml:space="preserve"> </w:t>
      </w:r>
      <w:r w:rsidR="00E84F32" w:rsidRPr="007F52FA">
        <w:rPr>
          <w:kern w:val="0"/>
          <w:sz w:val="24"/>
        </w:rPr>
        <w:t>其他</w:t>
      </w:r>
      <w:r w:rsidRPr="007F52FA">
        <w:rPr>
          <w:kern w:val="0"/>
          <w:sz w:val="24"/>
        </w:rPr>
        <w:t>资产构成</w:t>
      </w:r>
    </w:p>
    <w:tbl>
      <w:tblPr>
        <w:tblStyle w:val="af2"/>
        <w:tblW w:w="8868" w:type="dxa"/>
        <w:jc w:val="center"/>
        <w:tblLook w:val="04A0" w:firstRow="1" w:lastRow="0" w:firstColumn="1" w:lastColumn="0" w:noHBand="0" w:noVBand="1"/>
      </w:tblPr>
      <w:tblGrid>
        <w:gridCol w:w="1246"/>
        <w:gridCol w:w="2775"/>
        <w:gridCol w:w="4847"/>
      </w:tblGrid>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序号</w:t>
            </w:r>
          </w:p>
        </w:tc>
        <w:tc>
          <w:tcPr>
            <w:tcW w:w="281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名称</w:t>
            </w:r>
          </w:p>
        </w:tc>
        <w:tc>
          <w:tcPr>
            <w:tcW w:w="4908" w:type="dxa"/>
            <w:vAlign w:val="center"/>
          </w:tcPr>
          <w:p w:rsidR="001D5CD0" w:rsidRPr="007F52FA" w:rsidRDefault="001D5CD0" w:rsidP="007C14DF">
            <w:pPr>
              <w:autoSpaceDE w:val="0"/>
              <w:autoSpaceDN w:val="0"/>
              <w:adjustRightInd w:val="0"/>
              <w:spacing w:before="29" w:line="288" w:lineRule="auto"/>
              <w:ind w:left="17"/>
              <w:jc w:val="center"/>
              <w:rPr>
                <w:color w:val="000000"/>
                <w:kern w:val="0"/>
                <w:sz w:val="24"/>
              </w:rPr>
            </w:pPr>
            <w:r w:rsidRPr="007F52FA">
              <w:rPr>
                <w:color w:val="000000"/>
                <w:kern w:val="0"/>
                <w:sz w:val="24"/>
              </w:rPr>
              <w:t>金额</w:t>
            </w:r>
            <w:r w:rsidR="00A54D53" w:rsidRPr="007F52FA">
              <w:rPr>
                <w:color w:val="000000"/>
                <w:kern w:val="0"/>
                <w:sz w:val="24"/>
              </w:rPr>
              <w:t>（</w:t>
            </w:r>
            <w:r w:rsidR="00343175" w:rsidRPr="007F52FA">
              <w:t>元</w:t>
            </w:r>
            <w:r w:rsidR="00A54D53"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kern w:val="0"/>
                <w:sz w:val="24"/>
              </w:rPr>
            </w:pPr>
            <w:r w:rsidRPr="007F52FA">
              <w:rPr>
                <w:color w:val="000000"/>
                <w:sz w:val="24"/>
              </w:rPr>
              <w:t>1</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存出保证金</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22,690.34</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2</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应收证券清算款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3</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应收股利</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4</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应收利息</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47,141,531.14</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5</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应收申购款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16,553.49</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6</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其他应收款</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16"/>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7</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sz w:val="24"/>
              </w:rPr>
            </w:pPr>
            <w:r w:rsidRPr="007F52FA">
              <w:rPr>
                <w:color w:val="000000"/>
                <w:sz w:val="24"/>
              </w:rPr>
              <w:t>待摊费用</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sz w:val="24"/>
              </w:rPr>
            </w:pPr>
            <w:r w:rsidRPr="007F52FA">
              <w:rPr>
                <w:color w:val="000000"/>
                <w:sz w:val="24"/>
              </w:rPr>
              <w:t>-</w:t>
            </w:r>
          </w:p>
        </w:tc>
      </w:tr>
      <w:tr w:rsidR="001D5CD0" w:rsidRPr="007F52FA" w:rsidTr="006C3EE0">
        <w:trPr>
          <w:trHeight w:val="499"/>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8</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其他</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w:t>
            </w:r>
          </w:p>
        </w:tc>
      </w:tr>
      <w:tr w:rsidR="001D5CD0" w:rsidRPr="007F52FA" w:rsidTr="006C3EE0">
        <w:trPr>
          <w:trHeight w:val="531"/>
          <w:jc w:val="center"/>
        </w:trPr>
        <w:tc>
          <w:tcPr>
            <w:tcW w:w="1260" w:type="dxa"/>
            <w:vAlign w:val="center"/>
          </w:tcPr>
          <w:p w:rsidR="001D5CD0" w:rsidRPr="007F52FA" w:rsidRDefault="001D5CD0" w:rsidP="007C14DF">
            <w:pPr>
              <w:autoSpaceDE w:val="0"/>
              <w:autoSpaceDN w:val="0"/>
              <w:adjustRightInd w:val="0"/>
              <w:spacing w:before="29" w:line="288" w:lineRule="auto"/>
              <w:ind w:left="15"/>
              <w:jc w:val="center"/>
              <w:rPr>
                <w:color w:val="000000"/>
                <w:sz w:val="24"/>
              </w:rPr>
            </w:pPr>
            <w:r w:rsidRPr="007F52FA">
              <w:rPr>
                <w:color w:val="000000"/>
                <w:sz w:val="24"/>
              </w:rPr>
              <w:t>9</w:t>
            </w:r>
          </w:p>
        </w:tc>
        <w:tc>
          <w:tcPr>
            <w:tcW w:w="2818" w:type="dxa"/>
            <w:vAlign w:val="center"/>
          </w:tcPr>
          <w:p w:rsidR="001D5CD0" w:rsidRPr="007F52FA" w:rsidRDefault="001D5CD0" w:rsidP="007C14DF">
            <w:pPr>
              <w:autoSpaceDE w:val="0"/>
              <w:autoSpaceDN w:val="0"/>
              <w:adjustRightInd w:val="0"/>
              <w:spacing w:before="29" w:line="288" w:lineRule="auto"/>
              <w:ind w:left="15"/>
              <w:jc w:val="left"/>
              <w:rPr>
                <w:color w:val="000000"/>
                <w:kern w:val="0"/>
                <w:sz w:val="24"/>
              </w:rPr>
            </w:pPr>
            <w:r w:rsidRPr="007F52FA">
              <w:rPr>
                <w:color w:val="000000"/>
                <w:kern w:val="0"/>
                <w:sz w:val="24"/>
              </w:rPr>
              <w:t>合计</w:t>
            </w:r>
          </w:p>
        </w:tc>
        <w:tc>
          <w:tcPr>
            <w:tcW w:w="4908" w:type="dxa"/>
            <w:vAlign w:val="center"/>
          </w:tcPr>
          <w:p w:rsidR="001D5CD0" w:rsidRPr="007F52FA" w:rsidRDefault="001D5CD0" w:rsidP="007C14DF">
            <w:pPr>
              <w:autoSpaceDE w:val="0"/>
              <w:autoSpaceDN w:val="0"/>
              <w:adjustRightInd w:val="0"/>
              <w:spacing w:before="29" w:line="288" w:lineRule="auto"/>
              <w:ind w:left="15"/>
              <w:jc w:val="right"/>
              <w:rPr>
                <w:color w:val="000000"/>
                <w:kern w:val="0"/>
                <w:sz w:val="24"/>
              </w:rPr>
            </w:pPr>
            <w:r w:rsidRPr="007F52FA">
              <w:rPr>
                <w:color w:val="000000"/>
                <w:kern w:val="0"/>
                <w:sz w:val="24"/>
              </w:rPr>
              <w:t>47,180,774.97</w:t>
            </w:r>
          </w:p>
        </w:tc>
      </w:tr>
    </w:tbl>
    <w:p w:rsidR="001D5CD0" w:rsidRPr="007F52FA" w:rsidRDefault="001D5CD0" w:rsidP="007C14DF">
      <w:pPr>
        <w:autoSpaceDE w:val="0"/>
        <w:autoSpaceDN w:val="0"/>
        <w:adjustRightInd w:val="0"/>
        <w:spacing w:before="29" w:line="288" w:lineRule="auto"/>
        <w:jc w:val="left"/>
        <w:rPr>
          <w:sz w:val="24"/>
        </w:rPr>
      </w:pPr>
    </w:p>
    <w:p w:rsidR="001D5CD0" w:rsidRPr="007F52FA" w:rsidRDefault="001D5CD0" w:rsidP="007C14DF">
      <w:pPr>
        <w:autoSpaceDE w:val="0"/>
        <w:autoSpaceDN w:val="0"/>
        <w:adjustRightInd w:val="0"/>
        <w:spacing w:before="29" w:line="288" w:lineRule="auto"/>
        <w:jc w:val="left"/>
        <w:rPr>
          <w:kern w:val="0"/>
          <w:sz w:val="24"/>
        </w:rPr>
      </w:pPr>
      <w:r w:rsidRPr="007F52FA">
        <w:rPr>
          <w:kern w:val="0"/>
          <w:sz w:val="24"/>
        </w:rPr>
        <w:t>5.11.4</w:t>
      </w:r>
      <w:r w:rsidR="008E13A0" w:rsidRPr="007F52FA">
        <w:rPr>
          <w:kern w:val="0"/>
          <w:sz w:val="24"/>
        </w:rPr>
        <w:t xml:space="preserve"> </w:t>
      </w:r>
      <w:r w:rsidRPr="007F52FA">
        <w:rPr>
          <w:kern w:val="0"/>
          <w:sz w:val="24"/>
        </w:rPr>
        <w:t>报告期末持有的处于转股期的可转换债券明细</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本基金本报告期末未持有处于转股期的可转换债券。</w:t>
      </w:r>
    </w:p>
    <w:p w:rsidR="001D5CD0" w:rsidRPr="007F52FA" w:rsidRDefault="001D5CD0" w:rsidP="007C14DF">
      <w:pPr>
        <w:autoSpaceDE w:val="0"/>
        <w:autoSpaceDN w:val="0"/>
        <w:adjustRightInd w:val="0"/>
        <w:spacing w:before="29" w:line="288" w:lineRule="auto"/>
        <w:jc w:val="left"/>
        <w:rPr>
          <w:rFonts w:eastAsiaTheme="minorEastAsia"/>
          <w:sz w:val="24"/>
        </w:rPr>
      </w:pPr>
    </w:p>
    <w:p w:rsidR="001D5CD0" w:rsidRPr="007F52FA" w:rsidRDefault="001D5CD0" w:rsidP="007C14DF">
      <w:pPr>
        <w:autoSpaceDE w:val="0"/>
        <w:autoSpaceDN w:val="0"/>
        <w:adjustRightInd w:val="0"/>
        <w:spacing w:before="29" w:line="288" w:lineRule="auto"/>
        <w:jc w:val="left"/>
        <w:rPr>
          <w:rFonts w:eastAsiaTheme="minorEastAsia"/>
          <w:bCs/>
          <w:sz w:val="24"/>
        </w:rPr>
      </w:pPr>
      <w:r w:rsidRPr="007F52FA">
        <w:rPr>
          <w:rFonts w:eastAsiaTheme="minorEastAsia"/>
          <w:kern w:val="0"/>
          <w:sz w:val="24"/>
        </w:rPr>
        <w:t>5.11.5</w:t>
      </w:r>
      <w:r w:rsidR="008E13A0" w:rsidRPr="007F52FA">
        <w:rPr>
          <w:rFonts w:eastAsiaTheme="minorEastAsia"/>
          <w:kern w:val="0"/>
          <w:sz w:val="24"/>
        </w:rPr>
        <w:t xml:space="preserve"> </w:t>
      </w:r>
      <w:r w:rsidRPr="007F52FA">
        <w:rPr>
          <w:rFonts w:eastAsiaTheme="minorEastAsia"/>
          <w:bCs/>
          <w:sz w:val="24"/>
        </w:rPr>
        <w:t>报告期末前十名股票中存在流通受限情况的说明</w:t>
      </w:r>
    </w:p>
    <w:p w:rsidR="001D5CD0" w:rsidRPr="007F52FA" w:rsidRDefault="001D5CD0" w:rsidP="007C14DF">
      <w:pPr>
        <w:autoSpaceDE w:val="0"/>
        <w:autoSpaceDN w:val="0"/>
        <w:adjustRightInd w:val="0"/>
        <w:spacing w:before="29" w:line="288" w:lineRule="auto"/>
        <w:jc w:val="left"/>
        <w:rPr>
          <w:rFonts w:eastAsiaTheme="minorEastAsia"/>
          <w:sz w:val="24"/>
        </w:rPr>
      </w:pPr>
      <w:r w:rsidRPr="007F52FA">
        <w:rPr>
          <w:rFonts w:eastAsiaTheme="minorEastAsia"/>
          <w:sz w:val="24"/>
        </w:rPr>
        <w:t>本基金本报告期末未持有股票。</w:t>
      </w:r>
    </w:p>
    <w:p w:rsidR="001D5CD0" w:rsidRPr="007F52FA" w:rsidRDefault="001D5CD0" w:rsidP="007C14DF">
      <w:pPr>
        <w:spacing w:before="29" w:line="288" w:lineRule="auto"/>
        <w:rPr>
          <w:rFonts w:eastAsiaTheme="minorEastAsia"/>
          <w:sz w:val="24"/>
        </w:rPr>
      </w:pPr>
    </w:p>
    <w:p w:rsidR="001D5CD0" w:rsidRPr="007F52FA" w:rsidRDefault="001D5CD0" w:rsidP="007C14DF">
      <w:pPr>
        <w:spacing w:before="29" w:line="288" w:lineRule="auto"/>
        <w:rPr>
          <w:rFonts w:eastAsiaTheme="minorEastAsia"/>
          <w:color w:val="000000"/>
          <w:kern w:val="0"/>
          <w:sz w:val="24"/>
        </w:rPr>
      </w:pPr>
      <w:r w:rsidRPr="007F52FA">
        <w:rPr>
          <w:rFonts w:eastAsiaTheme="minorEastAsia"/>
          <w:kern w:val="0"/>
          <w:sz w:val="24"/>
        </w:rPr>
        <w:t>5.11.6</w:t>
      </w:r>
      <w:r w:rsidR="008E13A0" w:rsidRPr="007F52FA">
        <w:rPr>
          <w:rFonts w:eastAsiaTheme="minorEastAsia"/>
          <w:kern w:val="0"/>
          <w:sz w:val="24"/>
        </w:rPr>
        <w:t xml:space="preserve"> </w:t>
      </w:r>
      <w:r w:rsidRPr="007F52FA">
        <w:rPr>
          <w:rFonts w:eastAsiaTheme="minorEastAsia"/>
          <w:color w:val="000000"/>
          <w:kern w:val="0"/>
          <w:sz w:val="24"/>
        </w:rPr>
        <w:t>投资组合报告附注的其他文字描述部分</w:t>
      </w:r>
    </w:p>
    <w:p w:rsidR="001D5CD0" w:rsidRPr="007F52FA" w:rsidRDefault="001D5CD0" w:rsidP="00A0678E">
      <w:pPr>
        <w:spacing w:before="29" w:line="288" w:lineRule="auto"/>
        <w:rPr>
          <w:rFonts w:eastAsiaTheme="minorEastAsia"/>
          <w:color w:val="000000"/>
          <w:sz w:val="24"/>
        </w:rPr>
      </w:pPr>
      <w:r w:rsidRPr="007F52FA">
        <w:rPr>
          <w:rFonts w:eastAsiaTheme="minorEastAsia"/>
          <w:color w:val="000000"/>
          <w:sz w:val="24"/>
        </w:rPr>
        <w:t>由于四舍五入的原因，分项之和与合计项之间可能存在尾差。</w:t>
      </w:r>
    </w:p>
    <w:p w:rsidR="00EB27DE" w:rsidRPr="007F52FA" w:rsidRDefault="00EB27DE" w:rsidP="007C14DF">
      <w:pPr>
        <w:spacing w:before="29" w:line="288" w:lineRule="auto"/>
        <w:rPr>
          <w:rFonts w:eastAsiaTheme="minorEastAsia"/>
          <w:color w:val="000000"/>
          <w:sz w:val="24"/>
        </w:rPr>
      </w:pPr>
    </w:p>
    <w:p w:rsidR="009238DB" w:rsidRPr="007F52FA" w:rsidRDefault="009238DB" w:rsidP="00310317">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 xml:space="preserve">§6  </w:t>
      </w:r>
      <w:r w:rsidRPr="007F52FA">
        <w:rPr>
          <w:rFonts w:eastAsiaTheme="minorEastAsia"/>
          <w:color w:val="000000"/>
          <w:kern w:val="0"/>
          <w:sz w:val="24"/>
          <w:szCs w:val="24"/>
        </w:rPr>
        <w:t>开放式基金份额变动</w:t>
      </w:r>
    </w:p>
    <w:p w:rsidR="009238DB" w:rsidRPr="007F52FA" w:rsidRDefault="009238DB" w:rsidP="007C14DF">
      <w:pPr>
        <w:autoSpaceDE w:val="0"/>
        <w:autoSpaceDN w:val="0"/>
        <w:adjustRightInd w:val="0"/>
        <w:spacing w:before="29" w:line="288" w:lineRule="auto"/>
        <w:ind w:left="15" w:right="480"/>
        <w:jc w:val="right"/>
        <w:rPr>
          <w:rFonts w:eastAsiaTheme="minorEastAsia"/>
          <w:color w:val="000000"/>
          <w:kern w:val="0"/>
          <w:sz w:val="24"/>
        </w:rPr>
      </w:pPr>
      <w:r w:rsidRPr="007F52FA">
        <w:rPr>
          <w:rFonts w:eastAsiaTheme="minorEastAsia"/>
          <w:color w:val="000000"/>
          <w:kern w:val="0"/>
          <w:sz w:val="24"/>
        </w:rPr>
        <w:t>单位：份</w:t>
      </w:r>
    </w:p>
    <w:tbl>
      <w:tblPr>
        <w:tblW w:w="8868" w:type="dxa"/>
        <w:jc w:val="center"/>
        <w:tblLayout w:type="fixed"/>
        <w:tblLook w:val="0000" w:firstRow="0" w:lastRow="0" w:firstColumn="0" w:lastColumn="0" w:noHBand="0" w:noVBand="0"/>
      </w:tblPr>
      <w:tblGrid>
        <w:gridCol w:w="4006"/>
        <w:gridCol w:w="2431"/>
        <w:gridCol w:w="2431"/>
      </w:tblGrid>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center"/>
              <w:rPr>
                <w:rFonts w:eastAsiaTheme="minorEastAsia"/>
                <w:color w:val="000000"/>
                <w:kern w:val="0"/>
                <w:sz w:val="24"/>
              </w:rPr>
            </w:pPr>
            <w:r w:rsidRPr="007F52FA">
              <w:rPr>
                <w:rFonts w:eastAsiaTheme="minorEastAsia"/>
                <w:color w:val="000000"/>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交银双轮动债券</w:t>
            </w:r>
            <w:r w:rsidRPr="007F52FA">
              <w:rPr>
                <w:rFonts w:eastAsiaTheme="minorEastAsia"/>
                <w:sz w:val="24"/>
              </w:rPr>
              <w:t>A/B</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690865">
            <w:pPr>
              <w:autoSpaceDE w:val="0"/>
              <w:autoSpaceDN w:val="0"/>
              <w:adjustRightInd w:val="0"/>
              <w:spacing w:before="29" w:line="288" w:lineRule="auto"/>
              <w:ind w:left="17"/>
              <w:jc w:val="left"/>
              <w:rPr>
                <w:rFonts w:eastAsiaTheme="minorEastAsia"/>
                <w:color w:val="000000"/>
                <w:sz w:val="24"/>
              </w:rPr>
            </w:pPr>
            <w:r w:rsidRPr="007F52FA">
              <w:rPr>
                <w:rFonts w:eastAsiaTheme="minorEastAsia"/>
                <w:sz w:val="24"/>
              </w:rPr>
              <w:t>交银双轮动债券</w:t>
            </w:r>
            <w:r w:rsidRPr="007F52FA">
              <w:rPr>
                <w:rFonts w:eastAsiaTheme="minorEastAsia"/>
                <w:sz w:val="24"/>
              </w:rPr>
              <w:t>C</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2,890,211,115.83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207,795,815.81</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85,529,018.44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13,374,817.37</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减：</w:t>
            </w:r>
            <w:r w:rsidR="00F72579" w:rsidRPr="007F52FA">
              <w:rPr>
                <w:rFonts w:eastAsiaTheme="minorEastAsia"/>
                <w:color w:val="000000"/>
                <w:kern w:val="0"/>
                <w:sz w:val="24"/>
              </w:rPr>
              <w:t>本报告期</w:t>
            </w:r>
            <w:r w:rsidR="003F21E5">
              <w:rPr>
                <w:rFonts w:eastAsiaTheme="minorEastAsia" w:hint="eastAsia"/>
                <w:color w:val="000000"/>
                <w:kern w:val="0"/>
                <w:sz w:val="24"/>
              </w:rPr>
              <w:t>期间</w:t>
            </w:r>
            <w:r w:rsidRPr="007F52FA">
              <w:rPr>
                <w:rFonts w:eastAsiaTheme="minorEastAsia"/>
                <w:color w:val="000000"/>
                <w:kern w:val="0"/>
                <w:sz w:val="24"/>
              </w:rPr>
              <w:t>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12,414,899.74</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206,336,176.42</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F72579" w:rsidP="00896AC6">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本报告期</w:t>
            </w:r>
            <w:r w:rsidR="003F21E5">
              <w:rPr>
                <w:rFonts w:eastAsiaTheme="minorEastAsia" w:hint="eastAsia"/>
                <w:color w:val="000000"/>
                <w:kern w:val="0"/>
                <w:sz w:val="24"/>
              </w:rPr>
              <w:t>期间</w:t>
            </w:r>
            <w:r w:rsidR="00936D40" w:rsidRPr="007F52FA">
              <w:rPr>
                <w:rFonts w:eastAsiaTheme="minorEastAsia"/>
                <w:color w:val="000000"/>
                <w:kern w:val="0"/>
                <w:sz w:val="24"/>
              </w:rPr>
              <w:t>基金拆分变动份额</w:t>
            </w:r>
            <w:r w:rsidR="003F21E5" w:rsidRPr="006664D2">
              <w:rPr>
                <w:rFonts w:hint="eastAsia"/>
                <w:color w:val="000000"/>
                <w:kern w:val="0"/>
                <w:sz w:val="24"/>
              </w:rPr>
              <w:t>（份额减少以</w:t>
            </w:r>
            <w:r w:rsidR="003F21E5" w:rsidRPr="004D5D71">
              <w:rPr>
                <w:color w:val="000000"/>
              </w:rPr>
              <w:t>“-”</w:t>
            </w:r>
            <w:r w:rsidR="003F21E5" w:rsidRPr="006664D2">
              <w:rPr>
                <w:rFonts w:hint="eastAsia"/>
                <w:color w:val="000000"/>
                <w:kern w:val="0"/>
                <w:sz w:val="24"/>
              </w:rPr>
              <w:t>填列）</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w:t>
            </w:r>
          </w:p>
        </w:tc>
      </w:tr>
      <w:tr w:rsidR="00936D40" w:rsidRPr="007F52FA" w:rsidTr="00735E32">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936D40" w:rsidP="007C14DF">
            <w:pPr>
              <w:autoSpaceDE w:val="0"/>
              <w:autoSpaceDN w:val="0"/>
              <w:adjustRightInd w:val="0"/>
              <w:spacing w:before="29" w:line="288" w:lineRule="auto"/>
              <w:ind w:left="17"/>
              <w:jc w:val="left"/>
              <w:rPr>
                <w:rFonts w:eastAsiaTheme="minorEastAsia"/>
                <w:color w:val="000000"/>
                <w:kern w:val="0"/>
                <w:sz w:val="24"/>
              </w:rPr>
            </w:pPr>
            <w:r w:rsidRPr="007F52FA">
              <w:rPr>
                <w:rFonts w:eastAsiaTheme="minorEastAsia"/>
                <w:color w:val="000000"/>
                <w:kern w:val="0"/>
                <w:sz w:val="24"/>
              </w:rPr>
              <w:t>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2,963,325,234.53</w:t>
            </w:r>
          </w:p>
        </w:tc>
        <w:tc>
          <w:tcPr>
            <w:tcW w:w="2367" w:type="dxa"/>
            <w:tcBorders>
              <w:top w:val="single" w:sz="8" w:space="0" w:color="000000"/>
              <w:left w:val="single" w:sz="8" w:space="0" w:color="000000"/>
              <w:bottom w:val="single" w:sz="8" w:space="0" w:color="000000"/>
              <w:right w:val="single" w:sz="8" w:space="0" w:color="000000"/>
            </w:tcBorders>
            <w:vAlign w:val="center"/>
          </w:tcPr>
          <w:p w:rsidR="00936D40" w:rsidRPr="007F52FA" w:rsidRDefault="0042785F" w:rsidP="007C14DF">
            <w:pPr>
              <w:autoSpaceDE w:val="0"/>
              <w:autoSpaceDN w:val="0"/>
              <w:adjustRightInd w:val="0"/>
              <w:spacing w:before="29" w:line="288" w:lineRule="auto"/>
              <w:ind w:left="17"/>
              <w:jc w:val="right"/>
              <w:rPr>
                <w:rFonts w:eastAsiaTheme="minorEastAsia"/>
                <w:color w:val="000000"/>
                <w:sz w:val="24"/>
              </w:rPr>
            </w:pPr>
            <w:r w:rsidRPr="007F52FA">
              <w:rPr>
                <w:rFonts w:eastAsiaTheme="minorEastAsia"/>
                <w:color w:val="000000"/>
                <w:sz w:val="24"/>
              </w:rPr>
              <w:t>14,834,456.76</w:t>
            </w:r>
          </w:p>
        </w:tc>
      </w:tr>
    </w:tbl>
    <w:p w:rsidR="00FB78BD" w:rsidRDefault="00310317">
      <w:pPr>
        <w:autoSpaceDE w:val="0"/>
        <w:autoSpaceDN w:val="0"/>
        <w:adjustRightInd w:val="0"/>
        <w:spacing w:before="29" w:line="288" w:lineRule="auto"/>
        <w:jc w:val="left"/>
        <w:rPr>
          <w:rFonts w:eastAsiaTheme="minorEastAsia"/>
          <w:color w:val="000000"/>
          <w:sz w:val="24"/>
        </w:rPr>
      </w:pPr>
      <w:r>
        <w:rPr>
          <w:rFonts w:eastAsiaTheme="minorEastAsia"/>
          <w:color w:val="000000"/>
          <w:sz w:val="24"/>
        </w:rPr>
        <w:t>注：</w:t>
      </w:r>
      <w:r>
        <w:rPr>
          <w:rFonts w:eastAsiaTheme="minorEastAsia"/>
          <w:color w:val="000000"/>
          <w:sz w:val="24"/>
        </w:rPr>
        <w:t>1</w:t>
      </w:r>
      <w:r>
        <w:rPr>
          <w:rFonts w:eastAsiaTheme="minorEastAsia"/>
          <w:color w:val="000000"/>
          <w:sz w:val="24"/>
        </w:rPr>
        <w:t>、如果本报告期间发生转换入、红利再投业务，则总申购份额中包含该业务；</w:t>
      </w:r>
      <w:r>
        <w:rPr>
          <w:rFonts w:eastAsiaTheme="minorEastAsia"/>
          <w:color w:val="000000"/>
          <w:sz w:val="24"/>
        </w:rPr>
        <w:t xml:space="preserve"> </w:t>
      </w:r>
    </w:p>
    <w:p w:rsidR="00FB3C94" w:rsidRPr="007F52FA" w:rsidRDefault="00FB3C94"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 xml:space="preserve">    2</w:t>
      </w:r>
      <w:r w:rsidRPr="007F52FA">
        <w:rPr>
          <w:rFonts w:eastAsiaTheme="minorEastAsia"/>
          <w:color w:val="000000"/>
          <w:sz w:val="24"/>
        </w:rPr>
        <w:t>、如果本报告期间发生转换出业务，则总赎回份额中包含该业务。</w:t>
      </w:r>
    </w:p>
    <w:p w:rsidR="00426568" w:rsidRDefault="00426568" w:rsidP="007C14DF">
      <w:pPr>
        <w:autoSpaceDE w:val="0"/>
        <w:autoSpaceDN w:val="0"/>
        <w:adjustRightInd w:val="0"/>
        <w:spacing w:before="29" w:line="288" w:lineRule="auto"/>
        <w:jc w:val="left"/>
        <w:rPr>
          <w:rFonts w:eastAsiaTheme="minorEastAsia"/>
          <w:color w:val="000000"/>
          <w:sz w:val="24"/>
        </w:rPr>
      </w:pPr>
    </w:p>
    <w:p w:rsidR="000673DA" w:rsidRPr="000673DA" w:rsidRDefault="000673DA" w:rsidP="00310317">
      <w:pPr>
        <w:pStyle w:val="1"/>
        <w:tabs>
          <w:tab w:val="center" w:pos="4156"/>
          <w:tab w:val="right" w:pos="8312"/>
        </w:tabs>
        <w:spacing w:beforeLines="100" w:before="312" w:afterLines="100" w:after="312" w:line="288" w:lineRule="auto"/>
        <w:jc w:val="center"/>
        <w:rPr>
          <w:sz w:val="24"/>
          <w:szCs w:val="24"/>
        </w:rPr>
      </w:pPr>
      <w:r w:rsidRPr="000673DA">
        <w:rPr>
          <w:color w:val="000000"/>
          <w:kern w:val="0"/>
          <w:sz w:val="24"/>
          <w:szCs w:val="24"/>
        </w:rPr>
        <w:t xml:space="preserve">§7  </w:t>
      </w:r>
      <w:r w:rsidRPr="000673DA">
        <w:rPr>
          <w:rFonts w:hAnsi="宋体"/>
          <w:sz w:val="24"/>
          <w:szCs w:val="24"/>
        </w:rPr>
        <w:t>基金管理人运用固有资金投资本基金情况</w:t>
      </w:r>
    </w:p>
    <w:p w:rsidR="000673DA" w:rsidRPr="000673DA" w:rsidRDefault="000673DA" w:rsidP="007C14DF">
      <w:pPr>
        <w:spacing w:line="288" w:lineRule="auto"/>
        <w:jc w:val="left"/>
        <w:rPr>
          <w:sz w:val="24"/>
        </w:rPr>
      </w:pPr>
      <w:r w:rsidRPr="000673DA">
        <w:rPr>
          <w:b/>
          <w:sz w:val="24"/>
        </w:rPr>
        <w:t xml:space="preserve">7.1 </w:t>
      </w:r>
      <w:r w:rsidRPr="000673DA">
        <w:rPr>
          <w:rFonts w:hAnsi="宋体"/>
          <w:b/>
          <w:sz w:val="24"/>
        </w:rPr>
        <w:t>基金管理人持有本基金份额变动情况</w:t>
      </w:r>
    </w:p>
    <w:p w:rsidR="008A3BCC" w:rsidRPr="00AE55CC" w:rsidRDefault="00AE55CC" w:rsidP="007C14DF">
      <w:pPr>
        <w:autoSpaceDE w:val="0"/>
        <w:autoSpaceDN w:val="0"/>
        <w:adjustRightInd w:val="0"/>
        <w:spacing w:before="29" w:line="288" w:lineRule="auto"/>
        <w:jc w:val="left"/>
        <w:rPr>
          <w:color w:val="000000"/>
          <w:sz w:val="24"/>
        </w:rPr>
      </w:pPr>
      <w:r w:rsidRPr="00AE55CC">
        <w:rPr>
          <w:color w:val="000000"/>
          <w:sz w:val="24"/>
        </w:rPr>
        <w:t>本报告期内未发生基金管理人运用固有资金投资本基金的情况。</w:t>
      </w:r>
    </w:p>
    <w:p w:rsidR="008A3BCC" w:rsidRDefault="008A3BCC" w:rsidP="007C14DF">
      <w:pPr>
        <w:autoSpaceDE w:val="0"/>
        <w:autoSpaceDN w:val="0"/>
        <w:adjustRightInd w:val="0"/>
        <w:spacing w:before="29" w:line="288" w:lineRule="auto"/>
        <w:jc w:val="left"/>
        <w:rPr>
          <w:color w:val="000000"/>
          <w:sz w:val="24"/>
        </w:rPr>
      </w:pPr>
    </w:p>
    <w:p w:rsidR="008A3BCC" w:rsidRPr="008A3BCC" w:rsidRDefault="000673DA" w:rsidP="00646AEE">
      <w:pPr>
        <w:autoSpaceDE w:val="0"/>
        <w:autoSpaceDN w:val="0"/>
        <w:adjustRightInd w:val="0"/>
        <w:spacing w:before="29" w:line="288" w:lineRule="auto"/>
        <w:jc w:val="left"/>
        <w:rPr>
          <w:b/>
          <w:color w:val="000000"/>
          <w:sz w:val="24"/>
        </w:rPr>
      </w:pPr>
      <w:r w:rsidRPr="008A3BCC">
        <w:rPr>
          <w:rFonts w:hint="eastAsia"/>
          <w:b/>
          <w:sz w:val="24"/>
        </w:rPr>
        <w:t>7</w:t>
      </w:r>
      <w:r w:rsidRPr="008A3BCC">
        <w:rPr>
          <w:b/>
          <w:sz w:val="24"/>
        </w:rPr>
        <w:t>.</w:t>
      </w:r>
      <w:r w:rsidRPr="008A3BCC">
        <w:rPr>
          <w:rFonts w:hint="eastAsia"/>
          <w:b/>
          <w:sz w:val="24"/>
        </w:rPr>
        <w:t xml:space="preserve">2 </w:t>
      </w:r>
      <w:r w:rsidRPr="008A3BCC">
        <w:rPr>
          <w:rFonts w:hint="eastAsia"/>
          <w:b/>
          <w:sz w:val="24"/>
        </w:rPr>
        <w:t>基</w:t>
      </w:r>
      <w:r w:rsidRPr="008A3BCC">
        <w:rPr>
          <w:b/>
          <w:sz w:val="24"/>
        </w:rPr>
        <w:t>金管理人运用固有资金投资本基金交易明细</w:t>
      </w:r>
    </w:p>
    <w:p w:rsidR="00285618" w:rsidRPr="007F52FA" w:rsidRDefault="00285618" w:rsidP="007C14DF">
      <w:pPr>
        <w:autoSpaceDE w:val="0"/>
        <w:autoSpaceDN w:val="0"/>
        <w:adjustRightInd w:val="0"/>
        <w:spacing w:before="29" w:line="288" w:lineRule="auto"/>
        <w:jc w:val="left"/>
        <w:rPr>
          <w:rFonts w:eastAsiaTheme="minorEastAsia"/>
          <w:color w:val="000000"/>
          <w:sz w:val="24"/>
        </w:rPr>
      </w:pPr>
      <w:r w:rsidRPr="007F52FA">
        <w:rPr>
          <w:rFonts w:eastAsiaTheme="minorEastAsia"/>
          <w:color w:val="000000"/>
          <w:sz w:val="24"/>
        </w:rPr>
        <w:t>本基金管理人本报告期内未进行本基金的申购、赎回、红利再投等。</w:t>
      </w:r>
    </w:p>
    <w:p w:rsidR="00F2646E" w:rsidRPr="007F52FA" w:rsidRDefault="00F2646E" w:rsidP="007C14DF">
      <w:pPr>
        <w:autoSpaceDE w:val="0"/>
        <w:autoSpaceDN w:val="0"/>
        <w:adjustRightInd w:val="0"/>
        <w:spacing w:before="29" w:line="288" w:lineRule="auto"/>
        <w:jc w:val="left"/>
        <w:rPr>
          <w:rFonts w:eastAsiaTheme="minorEastAsia"/>
          <w:color w:val="000000"/>
          <w:sz w:val="24"/>
        </w:rPr>
      </w:pPr>
    </w:p>
    <w:p w:rsidR="00175E3A" w:rsidRPr="007032A6" w:rsidRDefault="009238DB" w:rsidP="00310317">
      <w:pPr>
        <w:pStyle w:val="1"/>
        <w:spacing w:beforeLines="100" w:before="312" w:afterLines="100" w:after="312" w:line="288" w:lineRule="auto"/>
        <w:jc w:val="center"/>
        <w:rPr>
          <w:rFonts w:eastAsiaTheme="minorEastAsia"/>
          <w:color w:val="000000"/>
          <w:kern w:val="0"/>
          <w:sz w:val="24"/>
          <w:szCs w:val="24"/>
        </w:rPr>
      </w:pPr>
      <w:r w:rsidRPr="007F52FA">
        <w:rPr>
          <w:rFonts w:eastAsiaTheme="minorEastAsia"/>
          <w:color w:val="000000"/>
          <w:kern w:val="0"/>
          <w:sz w:val="24"/>
          <w:szCs w:val="24"/>
        </w:rPr>
        <w:t>§</w:t>
      </w:r>
      <w:r w:rsidR="00A14399" w:rsidRPr="007F52FA">
        <w:rPr>
          <w:rFonts w:eastAsiaTheme="minorEastAsia"/>
          <w:color w:val="000000"/>
          <w:kern w:val="0"/>
          <w:sz w:val="24"/>
          <w:szCs w:val="24"/>
        </w:rPr>
        <w:t>8</w:t>
      </w:r>
      <w:r w:rsidR="00B82D15" w:rsidRPr="007F52FA">
        <w:rPr>
          <w:rFonts w:eastAsiaTheme="minorEastAsia"/>
          <w:color w:val="000000"/>
          <w:kern w:val="0"/>
          <w:sz w:val="24"/>
          <w:szCs w:val="24"/>
        </w:rPr>
        <w:t xml:space="preserve"> </w:t>
      </w:r>
      <w:r w:rsidRPr="007F52FA">
        <w:rPr>
          <w:rFonts w:eastAsiaTheme="minorEastAsia"/>
          <w:color w:val="000000"/>
          <w:kern w:val="0"/>
          <w:sz w:val="24"/>
          <w:szCs w:val="24"/>
        </w:rPr>
        <w:t>备查文件目录</w:t>
      </w:r>
    </w:p>
    <w:p w:rsidR="00FB3C94" w:rsidRPr="007F52FA" w:rsidRDefault="00A14399"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w:t>
      </w:r>
      <w:r w:rsidR="00D13A01" w:rsidRPr="007F52FA">
        <w:rPr>
          <w:rFonts w:eastAsiaTheme="minorEastAsia"/>
          <w:b/>
          <w:bCs/>
          <w:color w:val="000000"/>
          <w:kern w:val="0"/>
          <w:sz w:val="24"/>
        </w:rPr>
        <w:t>1</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备查文件目录</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1</w:t>
      </w:r>
      <w:r>
        <w:rPr>
          <w:rFonts w:eastAsiaTheme="minorEastAsia"/>
          <w:color w:val="000000"/>
          <w:sz w:val="24"/>
        </w:rPr>
        <w:t>、中国证监会批准交银施罗德双轮动债券型证券投资基金募集的文件；</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2</w:t>
      </w:r>
      <w:r>
        <w:rPr>
          <w:rFonts w:eastAsiaTheme="minorEastAsia"/>
          <w:color w:val="000000"/>
          <w:sz w:val="24"/>
        </w:rPr>
        <w:t>、《交银施罗德双轮动债券型证券投资基金基金合同》；</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3</w:t>
      </w:r>
      <w:r>
        <w:rPr>
          <w:rFonts w:eastAsiaTheme="minorEastAsia"/>
          <w:color w:val="000000"/>
          <w:sz w:val="24"/>
        </w:rPr>
        <w:t>、《交银施罗德双轮动债券型证券投资基金招募说明书》；</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4</w:t>
      </w:r>
      <w:r>
        <w:rPr>
          <w:rFonts w:eastAsiaTheme="minorEastAsia"/>
          <w:color w:val="000000"/>
          <w:sz w:val="24"/>
        </w:rPr>
        <w:t>、《交银施罗德双轮动债券型证券投资基金托管协议》；</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5</w:t>
      </w:r>
      <w:r>
        <w:rPr>
          <w:rFonts w:eastAsiaTheme="minorEastAsia"/>
          <w:color w:val="000000"/>
          <w:sz w:val="24"/>
        </w:rPr>
        <w:t>、关于募集交银施罗德双轮动债券型证券投资基金之法律意见书；</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6</w:t>
      </w:r>
      <w:r>
        <w:rPr>
          <w:rFonts w:eastAsiaTheme="minorEastAsia"/>
          <w:color w:val="000000"/>
          <w:sz w:val="24"/>
        </w:rPr>
        <w:t>、基金管理人业务资格批件、营业执照；</w:t>
      </w:r>
      <w:r>
        <w:rPr>
          <w:rFonts w:eastAsiaTheme="minorEastAsia"/>
          <w:color w:val="000000"/>
          <w:sz w:val="24"/>
        </w:rPr>
        <w:t xml:space="preserve"> </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7</w:t>
      </w:r>
      <w:r>
        <w:rPr>
          <w:rFonts w:eastAsiaTheme="minorEastAsia"/>
          <w:color w:val="000000"/>
          <w:sz w:val="24"/>
        </w:rPr>
        <w:t>、基金托管人业务资格批件、营业执照；</w:t>
      </w:r>
      <w:r>
        <w:rPr>
          <w:rFonts w:eastAsiaTheme="minorEastAsia"/>
          <w:color w:val="000000"/>
          <w:sz w:val="24"/>
        </w:rPr>
        <w:t xml:space="preserve"> </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8</w:t>
      </w:r>
      <w:r w:rsidRPr="007F52FA">
        <w:rPr>
          <w:rFonts w:eastAsiaTheme="minorEastAsia"/>
          <w:color w:val="000000"/>
          <w:sz w:val="24"/>
        </w:rPr>
        <w:t>、报告期内交银施罗德双轮动债券型证券投资基金在指定报刊上各项公告的原稿。</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8.2</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存放地点</w:t>
      </w:r>
    </w:p>
    <w:p w:rsidR="00FB3C94"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备查文件存放于基金管理人的办公场所。</w:t>
      </w:r>
    </w:p>
    <w:p w:rsidR="00F11783" w:rsidRPr="007F52FA" w:rsidRDefault="00F11783" w:rsidP="007C14DF">
      <w:pPr>
        <w:spacing w:before="29" w:line="288" w:lineRule="auto"/>
        <w:ind w:firstLineChars="200" w:firstLine="480"/>
        <w:rPr>
          <w:rFonts w:eastAsiaTheme="minorEastAsia"/>
          <w:color w:val="000000"/>
          <w:sz w:val="24"/>
        </w:rPr>
      </w:pPr>
    </w:p>
    <w:p w:rsidR="00FB3C94" w:rsidRPr="007F52FA" w:rsidRDefault="00D13A01" w:rsidP="007C14DF">
      <w:pPr>
        <w:autoSpaceDE w:val="0"/>
        <w:autoSpaceDN w:val="0"/>
        <w:adjustRightInd w:val="0"/>
        <w:spacing w:before="29" w:line="288" w:lineRule="auto"/>
        <w:jc w:val="left"/>
        <w:rPr>
          <w:rFonts w:eastAsiaTheme="minorEastAsia"/>
          <w:b/>
          <w:bCs/>
          <w:color w:val="000000"/>
          <w:kern w:val="0"/>
          <w:sz w:val="24"/>
        </w:rPr>
      </w:pPr>
      <w:r w:rsidRPr="007F52FA">
        <w:rPr>
          <w:rFonts w:eastAsiaTheme="minorEastAsia"/>
          <w:b/>
          <w:bCs/>
          <w:color w:val="000000"/>
          <w:kern w:val="0"/>
          <w:sz w:val="24"/>
        </w:rPr>
        <w:t>8.3</w:t>
      </w:r>
      <w:r w:rsidR="00B82D15" w:rsidRPr="007F52FA">
        <w:rPr>
          <w:rFonts w:eastAsiaTheme="minorEastAsia"/>
          <w:b/>
          <w:bCs/>
          <w:color w:val="000000"/>
          <w:kern w:val="0"/>
          <w:sz w:val="24"/>
        </w:rPr>
        <w:t xml:space="preserve"> </w:t>
      </w:r>
      <w:r w:rsidR="00FB3C94" w:rsidRPr="007F52FA">
        <w:rPr>
          <w:rFonts w:eastAsiaTheme="minorEastAsia"/>
          <w:b/>
          <w:bCs/>
          <w:color w:val="000000"/>
          <w:kern w:val="0"/>
          <w:sz w:val="24"/>
        </w:rPr>
        <w:t>查阅方式</w:t>
      </w:r>
    </w:p>
    <w:p w:rsidR="00FB78BD" w:rsidRDefault="00310317">
      <w:pPr>
        <w:spacing w:before="29" w:line="288" w:lineRule="auto"/>
        <w:ind w:firstLineChars="200" w:firstLine="480"/>
        <w:rPr>
          <w:rFonts w:eastAsiaTheme="minorEastAsia"/>
          <w:color w:val="000000"/>
          <w:sz w:val="24"/>
        </w:rPr>
      </w:pPr>
      <w:r>
        <w:rPr>
          <w:rFonts w:eastAsiaTheme="minorEastAsia"/>
          <w:color w:val="000000"/>
          <w:sz w:val="24"/>
        </w:rPr>
        <w:t>投资者可在办公时间内至基金管理人的办公场所免费查阅备查文件，或者登录基金管理人的网站</w:t>
      </w:r>
      <w:r>
        <w:rPr>
          <w:rFonts w:eastAsiaTheme="minorEastAsia"/>
          <w:color w:val="000000"/>
          <w:sz w:val="24"/>
        </w:rPr>
        <w:t>(www.fund001.com</w:t>
      </w:r>
      <w:r>
        <w:rPr>
          <w:rFonts w:eastAsiaTheme="minorEastAsia"/>
          <w:color w:val="000000"/>
          <w:sz w:val="24"/>
        </w:rPr>
        <w:t>，</w:t>
      </w:r>
      <w:r>
        <w:rPr>
          <w:rFonts w:eastAsiaTheme="minorEastAsia"/>
          <w:color w:val="000000"/>
          <w:sz w:val="24"/>
        </w:rPr>
        <w:t>www.bocomschroder.com)</w:t>
      </w:r>
      <w:r>
        <w:rPr>
          <w:rFonts w:eastAsiaTheme="minorEastAsia"/>
          <w:color w:val="000000"/>
          <w:sz w:val="24"/>
        </w:rPr>
        <w:t>查阅。在支付工本费后，投资者可在合理时间内取得上述文件的复制件或复印件。</w:t>
      </w:r>
      <w:r>
        <w:rPr>
          <w:rFonts w:eastAsiaTheme="minorEastAsia"/>
          <w:color w:val="000000"/>
          <w:sz w:val="24"/>
        </w:rPr>
        <w:t xml:space="preserve"> </w:t>
      </w:r>
    </w:p>
    <w:p w:rsidR="009238DB" w:rsidRPr="007F52FA" w:rsidRDefault="00FB3C94" w:rsidP="007C14DF">
      <w:pPr>
        <w:spacing w:before="29" w:line="288" w:lineRule="auto"/>
        <w:ind w:firstLineChars="200" w:firstLine="480"/>
        <w:rPr>
          <w:rFonts w:eastAsiaTheme="minorEastAsia"/>
          <w:color w:val="000000"/>
          <w:sz w:val="24"/>
        </w:rPr>
      </w:pPr>
      <w:r w:rsidRPr="007F52FA">
        <w:rPr>
          <w:rFonts w:eastAsiaTheme="minorEastAsia"/>
          <w:color w:val="000000"/>
          <w:sz w:val="24"/>
        </w:rPr>
        <w:t>投资者对本报告书如有疑问，可咨询本基金管理人交银施罗德基金管理有限公司。本公司客户服务中心电话：</w:t>
      </w:r>
      <w:r w:rsidRPr="007F52FA">
        <w:rPr>
          <w:rFonts w:eastAsiaTheme="minorEastAsia"/>
          <w:color w:val="000000"/>
          <w:sz w:val="24"/>
        </w:rPr>
        <w:t>400-700-5000</w:t>
      </w:r>
      <w:r w:rsidRPr="007F52FA">
        <w:rPr>
          <w:rFonts w:eastAsiaTheme="minorEastAsia"/>
          <w:color w:val="000000"/>
          <w:sz w:val="24"/>
        </w:rPr>
        <w:t>（免长途话费），</w:t>
      </w:r>
      <w:r w:rsidRPr="007F52FA">
        <w:rPr>
          <w:rFonts w:eastAsiaTheme="minorEastAsia"/>
          <w:color w:val="000000"/>
          <w:sz w:val="24"/>
        </w:rPr>
        <w:t>021-61055000</w:t>
      </w:r>
      <w:r w:rsidRPr="007F52FA">
        <w:rPr>
          <w:rFonts w:eastAsiaTheme="minorEastAsia"/>
          <w:color w:val="000000"/>
          <w:sz w:val="24"/>
        </w:rPr>
        <w:t>，电子邮件：</w:t>
      </w:r>
      <w:r w:rsidRPr="007F52FA">
        <w:rPr>
          <w:rFonts w:eastAsiaTheme="minorEastAsia"/>
          <w:color w:val="000000"/>
          <w:sz w:val="24"/>
        </w:rPr>
        <w:t>services@jysld.com</w:t>
      </w:r>
      <w:r w:rsidRPr="007F52FA">
        <w:rPr>
          <w:rFonts w:eastAsiaTheme="minorEastAsia"/>
          <w:color w:val="000000"/>
          <w:sz w:val="24"/>
        </w:rPr>
        <w:t>。</w:t>
      </w:r>
    </w:p>
    <w:p w:rsidR="004D36DF" w:rsidRPr="007F52FA" w:rsidRDefault="004D36DF" w:rsidP="007C14DF">
      <w:pPr>
        <w:spacing w:before="29" w:line="288" w:lineRule="auto"/>
        <w:ind w:firstLineChars="200" w:firstLine="480"/>
        <w:rPr>
          <w:rFonts w:eastAsiaTheme="minorEastAsia"/>
          <w:color w:val="000000"/>
          <w:sz w:val="24"/>
        </w:rPr>
      </w:pPr>
    </w:p>
    <w:sectPr w:rsidR="004D36DF" w:rsidRPr="007F52FA" w:rsidSect="007A5233">
      <w:footerReference w:type="even" r:id="rId12"/>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7D1" w:rsidRDefault="002C47D1">
      <w:r>
        <w:separator/>
      </w:r>
    </w:p>
  </w:endnote>
  <w:endnote w:type="continuationSeparator" w:id="0">
    <w:p w:rsidR="002C47D1" w:rsidRDefault="002C4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1D0DB0" w:rsidRDefault="007F50FB" w:rsidP="00F7094A">
    <w:pPr>
      <w:pStyle w:val="a6"/>
      <w:jc w:val="center"/>
    </w:pPr>
    <w:r>
      <w:rPr>
        <w:rFonts w:hint="eastAsia"/>
        <w:kern w:val="0"/>
        <w:szCs w:val="21"/>
      </w:rPr>
      <w:t>第</w:t>
    </w:r>
    <w:r>
      <w:rPr>
        <w:rFonts w:hint="eastAsia"/>
        <w:kern w:val="0"/>
        <w:szCs w:val="21"/>
      </w:rPr>
      <w:t xml:space="preserve"> </w:t>
    </w:r>
    <w:r w:rsidR="00FB78BD">
      <w:rPr>
        <w:kern w:val="0"/>
        <w:szCs w:val="21"/>
      </w:rPr>
      <w:fldChar w:fldCharType="begin"/>
    </w:r>
    <w:r>
      <w:rPr>
        <w:kern w:val="0"/>
        <w:szCs w:val="21"/>
      </w:rPr>
      <w:instrText xml:space="preserve"> PAGE </w:instrText>
    </w:r>
    <w:r w:rsidR="00FB78BD">
      <w:rPr>
        <w:kern w:val="0"/>
        <w:szCs w:val="21"/>
      </w:rPr>
      <w:fldChar w:fldCharType="separate"/>
    </w:r>
    <w:r w:rsidR="007245CB">
      <w:rPr>
        <w:noProof/>
        <w:kern w:val="0"/>
        <w:szCs w:val="21"/>
      </w:rPr>
      <w:t>4</w:t>
    </w:r>
    <w:r w:rsidR="00FB78BD">
      <w:rPr>
        <w:kern w:val="0"/>
        <w:szCs w:val="21"/>
      </w:rPr>
      <w:fldChar w:fldCharType="end"/>
    </w:r>
    <w:r>
      <w:rPr>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FB78BD">
      <w:rPr>
        <w:kern w:val="0"/>
        <w:szCs w:val="21"/>
      </w:rPr>
      <w:fldChar w:fldCharType="begin"/>
    </w:r>
    <w:r>
      <w:rPr>
        <w:kern w:val="0"/>
        <w:szCs w:val="21"/>
      </w:rPr>
      <w:instrText xml:space="preserve"> NUMPAGES </w:instrText>
    </w:r>
    <w:r w:rsidR="00FB78BD">
      <w:rPr>
        <w:kern w:val="0"/>
        <w:szCs w:val="21"/>
      </w:rPr>
      <w:fldChar w:fldCharType="separate"/>
    </w:r>
    <w:r w:rsidR="007245CB">
      <w:rPr>
        <w:noProof/>
        <w:kern w:val="0"/>
        <w:szCs w:val="21"/>
      </w:rPr>
      <w:t>12</w:t>
    </w:r>
    <w:r w:rsidR="00FB78BD">
      <w:rPr>
        <w:kern w:val="0"/>
        <w:szCs w:val="21"/>
      </w:rPr>
      <w:fldChar w:fldCharType="end"/>
    </w:r>
    <w:r>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Default="00FB78BD">
    <w:pPr>
      <w:pStyle w:val="a6"/>
      <w:framePr w:wrap="around" w:vAnchor="text" w:hAnchor="margin" w:xAlign="center" w:y="1"/>
      <w:rPr>
        <w:rStyle w:val="a7"/>
      </w:rPr>
    </w:pPr>
    <w:r>
      <w:rPr>
        <w:rStyle w:val="a7"/>
      </w:rPr>
      <w:fldChar w:fldCharType="begin"/>
    </w:r>
    <w:r w:rsidR="007F50FB">
      <w:rPr>
        <w:rStyle w:val="a7"/>
      </w:rPr>
      <w:instrText xml:space="preserve">PAGE  </w:instrText>
    </w:r>
    <w:r>
      <w:rPr>
        <w:rStyle w:val="a7"/>
      </w:rPr>
      <w:fldChar w:fldCharType="end"/>
    </w:r>
  </w:p>
  <w:p w:rsidR="007F50FB" w:rsidRDefault="007F50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7D1" w:rsidRDefault="002C47D1">
      <w:r>
        <w:separator/>
      </w:r>
    </w:p>
  </w:footnote>
  <w:footnote w:type="continuationSeparator" w:id="0">
    <w:p w:rsidR="002C47D1" w:rsidRDefault="002C4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0FB" w:rsidRPr="002567DB" w:rsidRDefault="007245CB" w:rsidP="001207F2">
    <w:pPr>
      <w:pStyle w:val="a9"/>
      <w:pBdr>
        <w:bottom w:val="single" w:sz="6" w:space="0" w:color="auto"/>
      </w:pBd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6pt;margin-top:-25.1pt;width:164.2pt;height:36pt;z-index:251658240">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2A93165E"/>
    <w:multiLevelType w:val="hybridMultilevel"/>
    <w:tmpl w:val="8F54F77E"/>
    <w:lvl w:ilvl="0" w:tplc="8996D53A">
      <w:start w:val="1"/>
      <w:numFmt w:val="japaneseCounting"/>
      <w:lvlText w:val="（%1）"/>
      <w:lvlJc w:val="left"/>
      <w:pPr>
        <w:tabs>
          <w:tab w:val="num" w:pos="1200"/>
        </w:tabs>
        <w:ind w:left="1200" w:hanging="720"/>
      </w:pPr>
      <w:rPr>
        <w:rFonts w:hAnsi="宋体"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32C43FA3"/>
    <w:multiLevelType w:val="hybridMultilevel"/>
    <w:tmpl w:val="2658615A"/>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15:restartNumberingAfterBreak="0">
    <w:nsid w:val="64C22724"/>
    <w:multiLevelType w:val="multilevel"/>
    <w:tmpl w:val="0409001D"/>
    <w:numStyleLink w:val="5"/>
  </w:abstractNum>
  <w:abstractNum w:abstractNumId="6"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lvlOverride w:ilvl="0">
      <w:lvl w:ilvl="0">
        <w:numFmt w:val="decimal"/>
        <w:lvlText w:val=""/>
        <w:lvlJc w:val="left"/>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02187"/>
    <w:rsid w:val="0000059C"/>
    <w:rsid w:val="000008AE"/>
    <w:rsid w:val="000008B1"/>
    <w:rsid w:val="0000403B"/>
    <w:rsid w:val="00007441"/>
    <w:rsid w:val="00007B54"/>
    <w:rsid w:val="00007F1F"/>
    <w:rsid w:val="00010A83"/>
    <w:rsid w:val="0001164A"/>
    <w:rsid w:val="00012063"/>
    <w:rsid w:val="000137C1"/>
    <w:rsid w:val="0001425B"/>
    <w:rsid w:val="0001579C"/>
    <w:rsid w:val="00016551"/>
    <w:rsid w:val="00020737"/>
    <w:rsid w:val="00020B78"/>
    <w:rsid w:val="00020C27"/>
    <w:rsid w:val="000219D5"/>
    <w:rsid w:val="00022396"/>
    <w:rsid w:val="00023073"/>
    <w:rsid w:val="00023B97"/>
    <w:rsid w:val="00024836"/>
    <w:rsid w:val="000252D8"/>
    <w:rsid w:val="0003564A"/>
    <w:rsid w:val="00037D4B"/>
    <w:rsid w:val="00042065"/>
    <w:rsid w:val="00043FD2"/>
    <w:rsid w:val="00045558"/>
    <w:rsid w:val="00045BA9"/>
    <w:rsid w:val="00047D87"/>
    <w:rsid w:val="000510AB"/>
    <w:rsid w:val="00051A8E"/>
    <w:rsid w:val="00051F42"/>
    <w:rsid w:val="00053FFD"/>
    <w:rsid w:val="00054F34"/>
    <w:rsid w:val="00056D5C"/>
    <w:rsid w:val="00057C9F"/>
    <w:rsid w:val="00061B0B"/>
    <w:rsid w:val="00061E09"/>
    <w:rsid w:val="00062C69"/>
    <w:rsid w:val="00062E1F"/>
    <w:rsid w:val="00064601"/>
    <w:rsid w:val="00064AE3"/>
    <w:rsid w:val="000673DA"/>
    <w:rsid w:val="0006750A"/>
    <w:rsid w:val="000700F1"/>
    <w:rsid w:val="000728AC"/>
    <w:rsid w:val="000776C0"/>
    <w:rsid w:val="00077849"/>
    <w:rsid w:val="000803AD"/>
    <w:rsid w:val="000813D6"/>
    <w:rsid w:val="00081D05"/>
    <w:rsid w:val="000827CC"/>
    <w:rsid w:val="000871DB"/>
    <w:rsid w:val="000922C5"/>
    <w:rsid w:val="0009314F"/>
    <w:rsid w:val="00093A23"/>
    <w:rsid w:val="0009582E"/>
    <w:rsid w:val="000A08FC"/>
    <w:rsid w:val="000A15F1"/>
    <w:rsid w:val="000A1617"/>
    <w:rsid w:val="000A3A50"/>
    <w:rsid w:val="000A40A5"/>
    <w:rsid w:val="000A457E"/>
    <w:rsid w:val="000A4DF3"/>
    <w:rsid w:val="000A549A"/>
    <w:rsid w:val="000A5A81"/>
    <w:rsid w:val="000A72F2"/>
    <w:rsid w:val="000A7BFD"/>
    <w:rsid w:val="000B000E"/>
    <w:rsid w:val="000B171B"/>
    <w:rsid w:val="000B1CB9"/>
    <w:rsid w:val="000B24AF"/>
    <w:rsid w:val="000B251E"/>
    <w:rsid w:val="000B2C04"/>
    <w:rsid w:val="000B3E43"/>
    <w:rsid w:val="000B4E99"/>
    <w:rsid w:val="000B648A"/>
    <w:rsid w:val="000C3EEF"/>
    <w:rsid w:val="000C45E7"/>
    <w:rsid w:val="000C5956"/>
    <w:rsid w:val="000C757F"/>
    <w:rsid w:val="000C7DD4"/>
    <w:rsid w:val="000D1164"/>
    <w:rsid w:val="000D1BBE"/>
    <w:rsid w:val="000D2415"/>
    <w:rsid w:val="000D3773"/>
    <w:rsid w:val="000D4DE9"/>
    <w:rsid w:val="000D6660"/>
    <w:rsid w:val="000D6BA0"/>
    <w:rsid w:val="000D7ECA"/>
    <w:rsid w:val="000E0A54"/>
    <w:rsid w:val="000E2F81"/>
    <w:rsid w:val="000E3726"/>
    <w:rsid w:val="000E39DB"/>
    <w:rsid w:val="000E3A0B"/>
    <w:rsid w:val="000E574B"/>
    <w:rsid w:val="000E74CC"/>
    <w:rsid w:val="000F0558"/>
    <w:rsid w:val="000F0AC3"/>
    <w:rsid w:val="000F175F"/>
    <w:rsid w:val="000F17D1"/>
    <w:rsid w:val="000F1CC9"/>
    <w:rsid w:val="000F5ABD"/>
    <w:rsid w:val="000F60FF"/>
    <w:rsid w:val="000F6F7C"/>
    <w:rsid w:val="000F7468"/>
    <w:rsid w:val="001005BB"/>
    <w:rsid w:val="00103B0E"/>
    <w:rsid w:val="001040EA"/>
    <w:rsid w:val="00112BCF"/>
    <w:rsid w:val="00114E7E"/>
    <w:rsid w:val="00116175"/>
    <w:rsid w:val="00117465"/>
    <w:rsid w:val="00117F22"/>
    <w:rsid w:val="00120280"/>
    <w:rsid w:val="001207F2"/>
    <w:rsid w:val="00121533"/>
    <w:rsid w:val="0012304E"/>
    <w:rsid w:val="00123051"/>
    <w:rsid w:val="001257C7"/>
    <w:rsid w:val="00125E66"/>
    <w:rsid w:val="00126AC0"/>
    <w:rsid w:val="00126C2B"/>
    <w:rsid w:val="00127A01"/>
    <w:rsid w:val="00130395"/>
    <w:rsid w:val="00130D77"/>
    <w:rsid w:val="00131EF6"/>
    <w:rsid w:val="0013251D"/>
    <w:rsid w:val="0013404A"/>
    <w:rsid w:val="00134734"/>
    <w:rsid w:val="00134CBE"/>
    <w:rsid w:val="00140C30"/>
    <w:rsid w:val="00142C74"/>
    <w:rsid w:val="00145E5B"/>
    <w:rsid w:val="00147319"/>
    <w:rsid w:val="00147551"/>
    <w:rsid w:val="0015012F"/>
    <w:rsid w:val="00150C2E"/>
    <w:rsid w:val="0015170D"/>
    <w:rsid w:val="001517AE"/>
    <w:rsid w:val="00154F6C"/>
    <w:rsid w:val="00154FA5"/>
    <w:rsid w:val="0015531A"/>
    <w:rsid w:val="00156508"/>
    <w:rsid w:val="00156F9D"/>
    <w:rsid w:val="001602E3"/>
    <w:rsid w:val="00160539"/>
    <w:rsid w:val="00161548"/>
    <w:rsid w:val="00163D88"/>
    <w:rsid w:val="0017176A"/>
    <w:rsid w:val="00172B54"/>
    <w:rsid w:val="00175E3A"/>
    <w:rsid w:val="00176874"/>
    <w:rsid w:val="0017725A"/>
    <w:rsid w:val="0018052A"/>
    <w:rsid w:val="00180952"/>
    <w:rsid w:val="0018191A"/>
    <w:rsid w:val="00185B68"/>
    <w:rsid w:val="00186199"/>
    <w:rsid w:val="001874E3"/>
    <w:rsid w:val="001936D7"/>
    <w:rsid w:val="00194155"/>
    <w:rsid w:val="001949CA"/>
    <w:rsid w:val="00195AFC"/>
    <w:rsid w:val="001A0417"/>
    <w:rsid w:val="001A0B71"/>
    <w:rsid w:val="001A1389"/>
    <w:rsid w:val="001A3016"/>
    <w:rsid w:val="001A3914"/>
    <w:rsid w:val="001A5D39"/>
    <w:rsid w:val="001A5FA6"/>
    <w:rsid w:val="001B053A"/>
    <w:rsid w:val="001B0691"/>
    <w:rsid w:val="001B0C78"/>
    <w:rsid w:val="001B1A13"/>
    <w:rsid w:val="001B22BA"/>
    <w:rsid w:val="001B4CD1"/>
    <w:rsid w:val="001B5C86"/>
    <w:rsid w:val="001C06C8"/>
    <w:rsid w:val="001C1FB8"/>
    <w:rsid w:val="001C2045"/>
    <w:rsid w:val="001C4EDF"/>
    <w:rsid w:val="001C5040"/>
    <w:rsid w:val="001C715A"/>
    <w:rsid w:val="001D0F6A"/>
    <w:rsid w:val="001D2FA5"/>
    <w:rsid w:val="001D3394"/>
    <w:rsid w:val="001D3D57"/>
    <w:rsid w:val="001D4980"/>
    <w:rsid w:val="001D5045"/>
    <w:rsid w:val="001D5A44"/>
    <w:rsid w:val="001D5CD0"/>
    <w:rsid w:val="001D724B"/>
    <w:rsid w:val="001E023C"/>
    <w:rsid w:val="001E0BA5"/>
    <w:rsid w:val="001E2012"/>
    <w:rsid w:val="001E6C11"/>
    <w:rsid w:val="001F03E1"/>
    <w:rsid w:val="001F1F19"/>
    <w:rsid w:val="001F2BD1"/>
    <w:rsid w:val="001F3080"/>
    <w:rsid w:val="001F3CC6"/>
    <w:rsid w:val="001F5F5F"/>
    <w:rsid w:val="00205064"/>
    <w:rsid w:val="0020548A"/>
    <w:rsid w:val="00211668"/>
    <w:rsid w:val="002118A6"/>
    <w:rsid w:val="002122FF"/>
    <w:rsid w:val="002125F7"/>
    <w:rsid w:val="0021288A"/>
    <w:rsid w:val="0021410A"/>
    <w:rsid w:val="002150AC"/>
    <w:rsid w:val="002162B9"/>
    <w:rsid w:val="00221375"/>
    <w:rsid w:val="00221938"/>
    <w:rsid w:val="00222262"/>
    <w:rsid w:val="002230A8"/>
    <w:rsid w:val="00227D20"/>
    <w:rsid w:val="00231BCE"/>
    <w:rsid w:val="0023336A"/>
    <w:rsid w:val="002359EB"/>
    <w:rsid w:val="0023649E"/>
    <w:rsid w:val="00240CA0"/>
    <w:rsid w:val="00241740"/>
    <w:rsid w:val="002424E4"/>
    <w:rsid w:val="00243122"/>
    <w:rsid w:val="002437F5"/>
    <w:rsid w:val="00244727"/>
    <w:rsid w:val="00244CFB"/>
    <w:rsid w:val="00244DB1"/>
    <w:rsid w:val="00245012"/>
    <w:rsid w:val="0024504E"/>
    <w:rsid w:val="0024651F"/>
    <w:rsid w:val="00246874"/>
    <w:rsid w:val="00246D81"/>
    <w:rsid w:val="00246E19"/>
    <w:rsid w:val="00250869"/>
    <w:rsid w:val="00251920"/>
    <w:rsid w:val="00253D3C"/>
    <w:rsid w:val="00253FEA"/>
    <w:rsid w:val="00254A7E"/>
    <w:rsid w:val="00255292"/>
    <w:rsid w:val="00256047"/>
    <w:rsid w:val="002567DB"/>
    <w:rsid w:val="0025722F"/>
    <w:rsid w:val="00257E84"/>
    <w:rsid w:val="00260200"/>
    <w:rsid w:val="00261F47"/>
    <w:rsid w:val="00263106"/>
    <w:rsid w:val="002642F2"/>
    <w:rsid w:val="00264AE1"/>
    <w:rsid w:val="00266645"/>
    <w:rsid w:val="00266E94"/>
    <w:rsid w:val="00267386"/>
    <w:rsid w:val="00267C2E"/>
    <w:rsid w:val="00267DA9"/>
    <w:rsid w:val="0027117B"/>
    <w:rsid w:val="0027191A"/>
    <w:rsid w:val="00273E5C"/>
    <w:rsid w:val="00274444"/>
    <w:rsid w:val="00275FD0"/>
    <w:rsid w:val="00280313"/>
    <w:rsid w:val="00280514"/>
    <w:rsid w:val="002819E7"/>
    <w:rsid w:val="00282FF2"/>
    <w:rsid w:val="00283483"/>
    <w:rsid w:val="002844B5"/>
    <w:rsid w:val="0028459B"/>
    <w:rsid w:val="00285618"/>
    <w:rsid w:val="002872F8"/>
    <w:rsid w:val="002910F6"/>
    <w:rsid w:val="00296E4A"/>
    <w:rsid w:val="002976E5"/>
    <w:rsid w:val="002A1F14"/>
    <w:rsid w:val="002A2678"/>
    <w:rsid w:val="002A3369"/>
    <w:rsid w:val="002A3F45"/>
    <w:rsid w:val="002A4B8A"/>
    <w:rsid w:val="002A5161"/>
    <w:rsid w:val="002A5C0F"/>
    <w:rsid w:val="002A6385"/>
    <w:rsid w:val="002A7669"/>
    <w:rsid w:val="002A7929"/>
    <w:rsid w:val="002B41D7"/>
    <w:rsid w:val="002B5240"/>
    <w:rsid w:val="002B6A13"/>
    <w:rsid w:val="002C0904"/>
    <w:rsid w:val="002C0F67"/>
    <w:rsid w:val="002C1E84"/>
    <w:rsid w:val="002C36C3"/>
    <w:rsid w:val="002C47D1"/>
    <w:rsid w:val="002C74DC"/>
    <w:rsid w:val="002C77CC"/>
    <w:rsid w:val="002D2A00"/>
    <w:rsid w:val="002D3BDD"/>
    <w:rsid w:val="002D5199"/>
    <w:rsid w:val="002E2862"/>
    <w:rsid w:val="002E4C01"/>
    <w:rsid w:val="002E50D6"/>
    <w:rsid w:val="002E7683"/>
    <w:rsid w:val="002F0516"/>
    <w:rsid w:val="002F07EF"/>
    <w:rsid w:val="002F1093"/>
    <w:rsid w:val="002F22D2"/>
    <w:rsid w:val="002F778A"/>
    <w:rsid w:val="00302187"/>
    <w:rsid w:val="003028D8"/>
    <w:rsid w:val="0030290F"/>
    <w:rsid w:val="00302DE9"/>
    <w:rsid w:val="00303869"/>
    <w:rsid w:val="00303F1D"/>
    <w:rsid w:val="00305084"/>
    <w:rsid w:val="00310317"/>
    <w:rsid w:val="003117FA"/>
    <w:rsid w:val="00311ABF"/>
    <w:rsid w:val="00314A81"/>
    <w:rsid w:val="00314DD2"/>
    <w:rsid w:val="00315A7C"/>
    <w:rsid w:val="00317705"/>
    <w:rsid w:val="00317B97"/>
    <w:rsid w:val="00317D7D"/>
    <w:rsid w:val="003204E9"/>
    <w:rsid w:val="003232AA"/>
    <w:rsid w:val="00323A10"/>
    <w:rsid w:val="00323E6A"/>
    <w:rsid w:val="00323F25"/>
    <w:rsid w:val="00324A71"/>
    <w:rsid w:val="00325BDB"/>
    <w:rsid w:val="003303E3"/>
    <w:rsid w:val="00334656"/>
    <w:rsid w:val="00337A86"/>
    <w:rsid w:val="0034147B"/>
    <w:rsid w:val="00341889"/>
    <w:rsid w:val="003426CE"/>
    <w:rsid w:val="00343016"/>
    <w:rsid w:val="00343175"/>
    <w:rsid w:val="0034447B"/>
    <w:rsid w:val="00350264"/>
    <w:rsid w:val="00351704"/>
    <w:rsid w:val="003570C8"/>
    <w:rsid w:val="00367770"/>
    <w:rsid w:val="00370FE2"/>
    <w:rsid w:val="00371424"/>
    <w:rsid w:val="00371FF4"/>
    <w:rsid w:val="00372209"/>
    <w:rsid w:val="003771ED"/>
    <w:rsid w:val="0037768B"/>
    <w:rsid w:val="00382E6F"/>
    <w:rsid w:val="00384E65"/>
    <w:rsid w:val="00386EBC"/>
    <w:rsid w:val="00387C00"/>
    <w:rsid w:val="00397960"/>
    <w:rsid w:val="00397F75"/>
    <w:rsid w:val="003A2008"/>
    <w:rsid w:val="003A3BC4"/>
    <w:rsid w:val="003A4AA3"/>
    <w:rsid w:val="003A7DDF"/>
    <w:rsid w:val="003B405E"/>
    <w:rsid w:val="003B4843"/>
    <w:rsid w:val="003B494E"/>
    <w:rsid w:val="003B6C23"/>
    <w:rsid w:val="003C6E9E"/>
    <w:rsid w:val="003C787E"/>
    <w:rsid w:val="003C792F"/>
    <w:rsid w:val="003D10D1"/>
    <w:rsid w:val="003D117A"/>
    <w:rsid w:val="003D36B2"/>
    <w:rsid w:val="003D42D5"/>
    <w:rsid w:val="003D4554"/>
    <w:rsid w:val="003D656E"/>
    <w:rsid w:val="003D7826"/>
    <w:rsid w:val="003D78B5"/>
    <w:rsid w:val="003E0BD4"/>
    <w:rsid w:val="003E45B9"/>
    <w:rsid w:val="003E654C"/>
    <w:rsid w:val="003E6C5C"/>
    <w:rsid w:val="003F0DE5"/>
    <w:rsid w:val="003F21E5"/>
    <w:rsid w:val="003F46FC"/>
    <w:rsid w:val="003F4AA5"/>
    <w:rsid w:val="003F697D"/>
    <w:rsid w:val="003F7C45"/>
    <w:rsid w:val="00400500"/>
    <w:rsid w:val="00400FA6"/>
    <w:rsid w:val="0040132C"/>
    <w:rsid w:val="00404257"/>
    <w:rsid w:val="004051DF"/>
    <w:rsid w:val="00405581"/>
    <w:rsid w:val="004075CF"/>
    <w:rsid w:val="00407F66"/>
    <w:rsid w:val="004107A6"/>
    <w:rsid w:val="004113B4"/>
    <w:rsid w:val="00412187"/>
    <w:rsid w:val="0041220A"/>
    <w:rsid w:val="00413B96"/>
    <w:rsid w:val="00413C2C"/>
    <w:rsid w:val="00415168"/>
    <w:rsid w:val="00415B04"/>
    <w:rsid w:val="00416A6B"/>
    <w:rsid w:val="004170FA"/>
    <w:rsid w:val="00417701"/>
    <w:rsid w:val="00417FCD"/>
    <w:rsid w:val="0042044C"/>
    <w:rsid w:val="00421624"/>
    <w:rsid w:val="00424151"/>
    <w:rsid w:val="00425A5A"/>
    <w:rsid w:val="00425FB6"/>
    <w:rsid w:val="0042652B"/>
    <w:rsid w:val="00426568"/>
    <w:rsid w:val="004268BB"/>
    <w:rsid w:val="0042785F"/>
    <w:rsid w:val="004314FF"/>
    <w:rsid w:val="0043653E"/>
    <w:rsid w:val="004408EC"/>
    <w:rsid w:val="00440F74"/>
    <w:rsid w:val="00441FEC"/>
    <w:rsid w:val="004425E8"/>
    <w:rsid w:val="00443C8F"/>
    <w:rsid w:val="00447BC6"/>
    <w:rsid w:val="004501CE"/>
    <w:rsid w:val="00450309"/>
    <w:rsid w:val="00452481"/>
    <w:rsid w:val="00454A0F"/>
    <w:rsid w:val="00454E63"/>
    <w:rsid w:val="0046335D"/>
    <w:rsid w:val="00463C2C"/>
    <w:rsid w:val="00465C82"/>
    <w:rsid w:val="00477425"/>
    <w:rsid w:val="00480CA5"/>
    <w:rsid w:val="00481877"/>
    <w:rsid w:val="00481DB2"/>
    <w:rsid w:val="00483271"/>
    <w:rsid w:val="0049210E"/>
    <w:rsid w:val="0049297D"/>
    <w:rsid w:val="0049327D"/>
    <w:rsid w:val="00493D04"/>
    <w:rsid w:val="0049405D"/>
    <w:rsid w:val="0049455C"/>
    <w:rsid w:val="00495A03"/>
    <w:rsid w:val="00497501"/>
    <w:rsid w:val="004A1BE1"/>
    <w:rsid w:val="004A63CB"/>
    <w:rsid w:val="004A67B0"/>
    <w:rsid w:val="004A6FB2"/>
    <w:rsid w:val="004B0847"/>
    <w:rsid w:val="004B087F"/>
    <w:rsid w:val="004B0E6D"/>
    <w:rsid w:val="004B16E8"/>
    <w:rsid w:val="004B4CBF"/>
    <w:rsid w:val="004B4FE9"/>
    <w:rsid w:val="004C0541"/>
    <w:rsid w:val="004C1ADE"/>
    <w:rsid w:val="004C241F"/>
    <w:rsid w:val="004C3FE6"/>
    <w:rsid w:val="004C634A"/>
    <w:rsid w:val="004C660B"/>
    <w:rsid w:val="004D050C"/>
    <w:rsid w:val="004D23D9"/>
    <w:rsid w:val="004D285F"/>
    <w:rsid w:val="004D3537"/>
    <w:rsid w:val="004D36DF"/>
    <w:rsid w:val="004D4D4E"/>
    <w:rsid w:val="004D614E"/>
    <w:rsid w:val="004D650F"/>
    <w:rsid w:val="004D7E11"/>
    <w:rsid w:val="004E2133"/>
    <w:rsid w:val="004E4E04"/>
    <w:rsid w:val="004F01F6"/>
    <w:rsid w:val="004F2EB4"/>
    <w:rsid w:val="004F521C"/>
    <w:rsid w:val="004F5DD3"/>
    <w:rsid w:val="00502CD8"/>
    <w:rsid w:val="0050361C"/>
    <w:rsid w:val="00506A40"/>
    <w:rsid w:val="0051064F"/>
    <w:rsid w:val="00513A0E"/>
    <w:rsid w:val="00514118"/>
    <w:rsid w:val="00515D7B"/>
    <w:rsid w:val="00515F29"/>
    <w:rsid w:val="0052009E"/>
    <w:rsid w:val="005207B3"/>
    <w:rsid w:val="005218EE"/>
    <w:rsid w:val="00530161"/>
    <w:rsid w:val="005405A3"/>
    <w:rsid w:val="005450F7"/>
    <w:rsid w:val="00545A0B"/>
    <w:rsid w:val="0054672F"/>
    <w:rsid w:val="00546CD3"/>
    <w:rsid w:val="00547FA4"/>
    <w:rsid w:val="005536D4"/>
    <w:rsid w:val="00553EC8"/>
    <w:rsid w:val="005547A9"/>
    <w:rsid w:val="005564EE"/>
    <w:rsid w:val="00556718"/>
    <w:rsid w:val="00557D4A"/>
    <w:rsid w:val="0056176B"/>
    <w:rsid w:val="00561889"/>
    <w:rsid w:val="00562136"/>
    <w:rsid w:val="005621F6"/>
    <w:rsid w:val="00562709"/>
    <w:rsid w:val="0056291C"/>
    <w:rsid w:val="00563C27"/>
    <w:rsid w:val="005668D3"/>
    <w:rsid w:val="00566EBD"/>
    <w:rsid w:val="0057154B"/>
    <w:rsid w:val="005742DB"/>
    <w:rsid w:val="00574FC7"/>
    <w:rsid w:val="00577209"/>
    <w:rsid w:val="00577282"/>
    <w:rsid w:val="005800A9"/>
    <w:rsid w:val="00581139"/>
    <w:rsid w:val="00581645"/>
    <w:rsid w:val="00582608"/>
    <w:rsid w:val="0058299A"/>
    <w:rsid w:val="005858C2"/>
    <w:rsid w:val="0058602F"/>
    <w:rsid w:val="0058694E"/>
    <w:rsid w:val="005875F9"/>
    <w:rsid w:val="00590765"/>
    <w:rsid w:val="00593A35"/>
    <w:rsid w:val="00593C74"/>
    <w:rsid w:val="00597D8B"/>
    <w:rsid w:val="005A46FF"/>
    <w:rsid w:val="005A557E"/>
    <w:rsid w:val="005A63FD"/>
    <w:rsid w:val="005A677E"/>
    <w:rsid w:val="005B0532"/>
    <w:rsid w:val="005B462A"/>
    <w:rsid w:val="005B5137"/>
    <w:rsid w:val="005B6047"/>
    <w:rsid w:val="005C0ED7"/>
    <w:rsid w:val="005C3E8E"/>
    <w:rsid w:val="005C47D0"/>
    <w:rsid w:val="005C5409"/>
    <w:rsid w:val="005C6FF7"/>
    <w:rsid w:val="005C7D00"/>
    <w:rsid w:val="005D01A4"/>
    <w:rsid w:val="005D04DC"/>
    <w:rsid w:val="005D0BAB"/>
    <w:rsid w:val="005D1893"/>
    <w:rsid w:val="005D24AA"/>
    <w:rsid w:val="005D26E9"/>
    <w:rsid w:val="005D2CAA"/>
    <w:rsid w:val="005D4CBA"/>
    <w:rsid w:val="005E01A3"/>
    <w:rsid w:val="005E0354"/>
    <w:rsid w:val="005E6C62"/>
    <w:rsid w:val="005E6F13"/>
    <w:rsid w:val="005E726C"/>
    <w:rsid w:val="005F293E"/>
    <w:rsid w:val="005F43B9"/>
    <w:rsid w:val="005F458B"/>
    <w:rsid w:val="005F4A6A"/>
    <w:rsid w:val="005F4E28"/>
    <w:rsid w:val="005F56BA"/>
    <w:rsid w:val="0060008E"/>
    <w:rsid w:val="00602321"/>
    <w:rsid w:val="006033E3"/>
    <w:rsid w:val="00606B29"/>
    <w:rsid w:val="0060758A"/>
    <w:rsid w:val="00607D0E"/>
    <w:rsid w:val="00607D16"/>
    <w:rsid w:val="006101F5"/>
    <w:rsid w:val="00610DA5"/>
    <w:rsid w:val="00611663"/>
    <w:rsid w:val="0061321C"/>
    <w:rsid w:val="00613F44"/>
    <w:rsid w:val="006160BD"/>
    <w:rsid w:val="00620EDB"/>
    <w:rsid w:val="006225F6"/>
    <w:rsid w:val="006232DA"/>
    <w:rsid w:val="0062386E"/>
    <w:rsid w:val="006253EF"/>
    <w:rsid w:val="00626075"/>
    <w:rsid w:val="0062680E"/>
    <w:rsid w:val="006268F5"/>
    <w:rsid w:val="00631158"/>
    <w:rsid w:val="006314E0"/>
    <w:rsid w:val="00632923"/>
    <w:rsid w:val="006341E6"/>
    <w:rsid w:val="00634439"/>
    <w:rsid w:val="006366C6"/>
    <w:rsid w:val="00636B55"/>
    <w:rsid w:val="00636EB1"/>
    <w:rsid w:val="006373D6"/>
    <w:rsid w:val="006403D4"/>
    <w:rsid w:val="00642CBC"/>
    <w:rsid w:val="0064454A"/>
    <w:rsid w:val="00645293"/>
    <w:rsid w:val="00646AEE"/>
    <w:rsid w:val="00647ACB"/>
    <w:rsid w:val="00651B78"/>
    <w:rsid w:val="0065237A"/>
    <w:rsid w:val="00652FF5"/>
    <w:rsid w:val="00653246"/>
    <w:rsid w:val="00654382"/>
    <w:rsid w:val="00657487"/>
    <w:rsid w:val="00660FD1"/>
    <w:rsid w:val="00661244"/>
    <w:rsid w:val="006640DF"/>
    <w:rsid w:val="00664462"/>
    <w:rsid w:val="00666A3C"/>
    <w:rsid w:val="00667519"/>
    <w:rsid w:val="006676A0"/>
    <w:rsid w:val="00670857"/>
    <w:rsid w:val="00670868"/>
    <w:rsid w:val="00673D69"/>
    <w:rsid w:val="00676431"/>
    <w:rsid w:val="00677A9C"/>
    <w:rsid w:val="0068050D"/>
    <w:rsid w:val="00680BCE"/>
    <w:rsid w:val="006822B2"/>
    <w:rsid w:val="00685FFC"/>
    <w:rsid w:val="00686943"/>
    <w:rsid w:val="00686EDE"/>
    <w:rsid w:val="00687AD5"/>
    <w:rsid w:val="00690865"/>
    <w:rsid w:val="00690A31"/>
    <w:rsid w:val="006911CE"/>
    <w:rsid w:val="00691393"/>
    <w:rsid w:val="00691F3B"/>
    <w:rsid w:val="0069371D"/>
    <w:rsid w:val="00695251"/>
    <w:rsid w:val="00695777"/>
    <w:rsid w:val="00695B58"/>
    <w:rsid w:val="00696F52"/>
    <w:rsid w:val="006A120B"/>
    <w:rsid w:val="006A4828"/>
    <w:rsid w:val="006A5FE0"/>
    <w:rsid w:val="006A6D35"/>
    <w:rsid w:val="006A7C09"/>
    <w:rsid w:val="006B046C"/>
    <w:rsid w:val="006B252F"/>
    <w:rsid w:val="006B25AD"/>
    <w:rsid w:val="006B2CE8"/>
    <w:rsid w:val="006B3940"/>
    <w:rsid w:val="006C168D"/>
    <w:rsid w:val="006C3EE0"/>
    <w:rsid w:val="006C4033"/>
    <w:rsid w:val="006C5BC9"/>
    <w:rsid w:val="006C642C"/>
    <w:rsid w:val="006D249E"/>
    <w:rsid w:val="006D7386"/>
    <w:rsid w:val="006E0DAD"/>
    <w:rsid w:val="006E181E"/>
    <w:rsid w:val="006E313F"/>
    <w:rsid w:val="006F1F1A"/>
    <w:rsid w:val="006F5AC2"/>
    <w:rsid w:val="006F6C28"/>
    <w:rsid w:val="007007EB"/>
    <w:rsid w:val="00701EDB"/>
    <w:rsid w:val="00701F57"/>
    <w:rsid w:val="007032A6"/>
    <w:rsid w:val="00703E8A"/>
    <w:rsid w:val="00706046"/>
    <w:rsid w:val="007112F0"/>
    <w:rsid w:val="00711343"/>
    <w:rsid w:val="00713C57"/>
    <w:rsid w:val="00714309"/>
    <w:rsid w:val="0071450F"/>
    <w:rsid w:val="00717772"/>
    <w:rsid w:val="00717D36"/>
    <w:rsid w:val="00721DBE"/>
    <w:rsid w:val="007226EC"/>
    <w:rsid w:val="00722B5E"/>
    <w:rsid w:val="007245CB"/>
    <w:rsid w:val="00724F6D"/>
    <w:rsid w:val="0072678C"/>
    <w:rsid w:val="007321FE"/>
    <w:rsid w:val="00732D1D"/>
    <w:rsid w:val="007350D4"/>
    <w:rsid w:val="00735E0D"/>
    <w:rsid w:val="00735E32"/>
    <w:rsid w:val="00736034"/>
    <w:rsid w:val="00740635"/>
    <w:rsid w:val="00740707"/>
    <w:rsid w:val="0074120F"/>
    <w:rsid w:val="00743764"/>
    <w:rsid w:val="00743B2D"/>
    <w:rsid w:val="00747930"/>
    <w:rsid w:val="0075060E"/>
    <w:rsid w:val="00750D80"/>
    <w:rsid w:val="00752E8B"/>
    <w:rsid w:val="007541BB"/>
    <w:rsid w:val="00754D62"/>
    <w:rsid w:val="00756CFF"/>
    <w:rsid w:val="00757FD7"/>
    <w:rsid w:val="00761982"/>
    <w:rsid w:val="00761B7A"/>
    <w:rsid w:val="007627C8"/>
    <w:rsid w:val="007651E5"/>
    <w:rsid w:val="00765256"/>
    <w:rsid w:val="00766051"/>
    <w:rsid w:val="007661D4"/>
    <w:rsid w:val="007661FD"/>
    <w:rsid w:val="00766A7C"/>
    <w:rsid w:val="00767A27"/>
    <w:rsid w:val="007709D9"/>
    <w:rsid w:val="0077111A"/>
    <w:rsid w:val="00774133"/>
    <w:rsid w:val="00775419"/>
    <w:rsid w:val="0077588F"/>
    <w:rsid w:val="007763A5"/>
    <w:rsid w:val="0078105B"/>
    <w:rsid w:val="00782B50"/>
    <w:rsid w:val="00784FE0"/>
    <w:rsid w:val="007852D1"/>
    <w:rsid w:val="007858B1"/>
    <w:rsid w:val="0078648E"/>
    <w:rsid w:val="00791A3A"/>
    <w:rsid w:val="00791D9C"/>
    <w:rsid w:val="00791FB5"/>
    <w:rsid w:val="007936F3"/>
    <w:rsid w:val="007963EC"/>
    <w:rsid w:val="007A1D9A"/>
    <w:rsid w:val="007A391B"/>
    <w:rsid w:val="007A4409"/>
    <w:rsid w:val="007A4F37"/>
    <w:rsid w:val="007A5233"/>
    <w:rsid w:val="007A5241"/>
    <w:rsid w:val="007A59B8"/>
    <w:rsid w:val="007B06C7"/>
    <w:rsid w:val="007B3D06"/>
    <w:rsid w:val="007B42F5"/>
    <w:rsid w:val="007B5157"/>
    <w:rsid w:val="007B5CD8"/>
    <w:rsid w:val="007C05E8"/>
    <w:rsid w:val="007C1122"/>
    <w:rsid w:val="007C14DF"/>
    <w:rsid w:val="007C19EC"/>
    <w:rsid w:val="007C364E"/>
    <w:rsid w:val="007C3DC6"/>
    <w:rsid w:val="007C5359"/>
    <w:rsid w:val="007C6701"/>
    <w:rsid w:val="007D16ED"/>
    <w:rsid w:val="007D1835"/>
    <w:rsid w:val="007D2398"/>
    <w:rsid w:val="007D440B"/>
    <w:rsid w:val="007D62F9"/>
    <w:rsid w:val="007D63A4"/>
    <w:rsid w:val="007D6FFB"/>
    <w:rsid w:val="007D732D"/>
    <w:rsid w:val="007D741B"/>
    <w:rsid w:val="007E0F19"/>
    <w:rsid w:val="007E2A84"/>
    <w:rsid w:val="007E2BA4"/>
    <w:rsid w:val="007E46A3"/>
    <w:rsid w:val="007E5ECB"/>
    <w:rsid w:val="007E6BA3"/>
    <w:rsid w:val="007F063D"/>
    <w:rsid w:val="007F0D73"/>
    <w:rsid w:val="007F32F6"/>
    <w:rsid w:val="007F432A"/>
    <w:rsid w:val="007F50FB"/>
    <w:rsid w:val="007F52FA"/>
    <w:rsid w:val="007F63AA"/>
    <w:rsid w:val="008006B7"/>
    <w:rsid w:val="008032FD"/>
    <w:rsid w:val="00806461"/>
    <w:rsid w:val="008064CE"/>
    <w:rsid w:val="0080673A"/>
    <w:rsid w:val="00806C53"/>
    <w:rsid w:val="00807A94"/>
    <w:rsid w:val="00807B81"/>
    <w:rsid w:val="00810B79"/>
    <w:rsid w:val="00810EAD"/>
    <w:rsid w:val="00814530"/>
    <w:rsid w:val="00815386"/>
    <w:rsid w:val="008156AA"/>
    <w:rsid w:val="00817808"/>
    <w:rsid w:val="00821F9C"/>
    <w:rsid w:val="00825570"/>
    <w:rsid w:val="00826403"/>
    <w:rsid w:val="00827990"/>
    <w:rsid w:val="00834CA6"/>
    <w:rsid w:val="0083579E"/>
    <w:rsid w:val="0083623B"/>
    <w:rsid w:val="00837861"/>
    <w:rsid w:val="00837E59"/>
    <w:rsid w:val="00842100"/>
    <w:rsid w:val="008428A9"/>
    <w:rsid w:val="0084308F"/>
    <w:rsid w:val="00846C2B"/>
    <w:rsid w:val="0085139A"/>
    <w:rsid w:val="008524F6"/>
    <w:rsid w:val="008532F3"/>
    <w:rsid w:val="00854B3F"/>
    <w:rsid w:val="00861C2C"/>
    <w:rsid w:val="00863744"/>
    <w:rsid w:val="00863A9A"/>
    <w:rsid w:val="00864D96"/>
    <w:rsid w:val="00865F74"/>
    <w:rsid w:val="008668B8"/>
    <w:rsid w:val="0086748F"/>
    <w:rsid w:val="00867B4D"/>
    <w:rsid w:val="00867CF3"/>
    <w:rsid w:val="00873101"/>
    <w:rsid w:val="00874AB5"/>
    <w:rsid w:val="00877671"/>
    <w:rsid w:val="00877A13"/>
    <w:rsid w:val="008869BC"/>
    <w:rsid w:val="00887DDD"/>
    <w:rsid w:val="00887DE6"/>
    <w:rsid w:val="00887E9F"/>
    <w:rsid w:val="008908AA"/>
    <w:rsid w:val="00890E08"/>
    <w:rsid w:val="00894DCA"/>
    <w:rsid w:val="00896AC6"/>
    <w:rsid w:val="00897D88"/>
    <w:rsid w:val="008A00BE"/>
    <w:rsid w:val="008A1539"/>
    <w:rsid w:val="008A2C5D"/>
    <w:rsid w:val="008A3BCC"/>
    <w:rsid w:val="008A3BE2"/>
    <w:rsid w:val="008A6B30"/>
    <w:rsid w:val="008B05E7"/>
    <w:rsid w:val="008B0758"/>
    <w:rsid w:val="008B1875"/>
    <w:rsid w:val="008B3DB5"/>
    <w:rsid w:val="008B4146"/>
    <w:rsid w:val="008B5312"/>
    <w:rsid w:val="008B59CE"/>
    <w:rsid w:val="008B6078"/>
    <w:rsid w:val="008B7110"/>
    <w:rsid w:val="008B7F4A"/>
    <w:rsid w:val="008C04E1"/>
    <w:rsid w:val="008C04FE"/>
    <w:rsid w:val="008C0C69"/>
    <w:rsid w:val="008C2F50"/>
    <w:rsid w:val="008C3109"/>
    <w:rsid w:val="008C5312"/>
    <w:rsid w:val="008C5DBD"/>
    <w:rsid w:val="008C61D6"/>
    <w:rsid w:val="008C6BE0"/>
    <w:rsid w:val="008D0022"/>
    <w:rsid w:val="008D49AF"/>
    <w:rsid w:val="008D4A2B"/>
    <w:rsid w:val="008D4A9F"/>
    <w:rsid w:val="008D6294"/>
    <w:rsid w:val="008E0266"/>
    <w:rsid w:val="008E13A0"/>
    <w:rsid w:val="008E1F18"/>
    <w:rsid w:val="008E1FE0"/>
    <w:rsid w:val="008E2111"/>
    <w:rsid w:val="008E3939"/>
    <w:rsid w:val="008E3DDD"/>
    <w:rsid w:val="008E5D70"/>
    <w:rsid w:val="008F23F4"/>
    <w:rsid w:val="008F61C4"/>
    <w:rsid w:val="008F7763"/>
    <w:rsid w:val="009007CB"/>
    <w:rsid w:val="009009DC"/>
    <w:rsid w:val="009010F0"/>
    <w:rsid w:val="00901162"/>
    <w:rsid w:val="00901D46"/>
    <w:rsid w:val="009028E2"/>
    <w:rsid w:val="00903692"/>
    <w:rsid w:val="00904E07"/>
    <w:rsid w:val="009050AB"/>
    <w:rsid w:val="00911BF3"/>
    <w:rsid w:val="00912BAF"/>
    <w:rsid w:val="00914EAB"/>
    <w:rsid w:val="0091541F"/>
    <w:rsid w:val="00915DAE"/>
    <w:rsid w:val="00920D98"/>
    <w:rsid w:val="00921FF9"/>
    <w:rsid w:val="00922D49"/>
    <w:rsid w:val="009238DB"/>
    <w:rsid w:val="00925E37"/>
    <w:rsid w:val="00925EDD"/>
    <w:rsid w:val="00926D30"/>
    <w:rsid w:val="00930079"/>
    <w:rsid w:val="00930966"/>
    <w:rsid w:val="00932F64"/>
    <w:rsid w:val="00936075"/>
    <w:rsid w:val="00936D40"/>
    <w:rsid w:val="00936DE4"/>
    <w:rsid w:val="00937ABF"/>
    <w:rsid w:val="00937DB1"/>
    <w:rsid w:val="009416C9"/>
    <w:rsid w:val="009434C7"/>
    <w:rsid w:val="009463CC"/>
    <w:rsid w:val="00950413"/>
    <w:rsid w:val="0095078E"/>
    <w:rsid w:val="009515B0"/>
    <w:rsid w:val="00952404"/>
    <w:rsid w:val="00952A72"/>
    <w:rsid w:val="009550A8"/>
    <w:rsid w:val="00955FF2"/>
    <w:rsid w:val="0095693D"/>
    <w:rsid w:val="00956B0D"/>
    <w:rsid w:val="0096260B"/>
    <w:rsid w:val="009631C1"/>
    <w:rsid w:val="00967FFB"/>
    <w:rsid w:val="00970C69"/>
    <w:rsid w:val="00973B57"/>
    <w:rsid w:val="00973E0D"/>
    <w:rsid w:val="0097403F"/>
    <w:rsid w:val="00976797"/>
    <w:rsid w:val="00977148"/>
    <w:rsid w:val="00980C0C"/>
    <w:rsid w:val="00982E47"/>
    <w:rsid w:val="00983E7D"/>
    <w:rsid w:val="00990FE3"/>
    <w:rsid w:val="00991642"/>
    <w:rsid w:val="0099260C"/>
    <w:rsid w:val="0099273F"/>
    <w:rsid w:val="00993DA2"/>
    <w:rsid w:val="009942F4"/>
    <w:rsid w:val="00995B3C"/>
    <w:rsid w:val="00996BCA"/>
    <w:rsid w:val="009A045B"/>
    <w:rsid w:val="009A0513"/>
    <w:rsid w:val="009A2283"/>
    <w:rsid w:val="009A31AF"/>
    <w:rsid w:val="009A3507"/>
    <w:rsid w:val="009A3DC6"/>
    <w:rsid w:val="009A46F7"/>
    <w:rsid w:val="009A529F"/>
    <w:rsid w:val="009A558E"/>
    <w:rsid w:val="009A5C1D"/>
    <w:rsid w:val="009A6B97"/>
    <w:rsid w:val="009B4286"/>
    <w:rsid w:val="009B5BF9"/>
    <w:rsid w:val="009B5DAF"/>
    <w:rsid w:val="009B5F83"/>
    <w:rsid w:val="009B61C5"/>
    <w:rsid w:val="009B6A1E"/>
    <w:rsid w:val="009B769E"/>
    <w:rsid w:val="009C03E5"/>
    <w:rsid w:val="009C407C"/>
    <w:rsid w:val="009C4D19"/>
    <w:rsid w:val="009C5FDB"/>
    <w:rsid w:val="009C65AF"/>
    <w:rsid w:val="009C70CB"/>
    <w:rsid w:val="009C74DD"/>
    <w:rsid w:val="009D27AA"/>
    <w:rsid w:val="009D2AD9"/>
    <w:rsid w:val="009D2BAC"/>
    <w:rsid w:val="009D514E"/>
    <w:rsid w:val="009D5C39"/>
    <w:rsid w:val="009D6FED"/>
    <w:rsid w:val="009D767D"/>
    <w:rsid w:val="009E0795"/>
    <w:rsid w:val="009E0A95"/>
    <w:rsid w:val="009E0D47"/>
    <w:rsid w:val="009E549D"/>
    <w:rsid w:val="009E54AF"/>
    <w:rsid w:val="009E5C59"/>
    <w:rsid w:val="009E64CD"/>
    <w:rsid w:val="009E6BB8"/>
    <w:rsid w:val="009F1CC3"/>
    <w:rsid w:val="009F26F2"/>
    <w:rsid w:val="009F3E1E"/>
    <w:rsid w:val="009F4CC5"/>
    <w:rsid w:val="009F6550"/>
    <w:rsid w:val="009F78D4"/>
    <w:rsid w:val="00A003BE"/>
    <w:rsid w:val="00A02F51"/>
    <w:rsid w:val="00A0385C"/>
    <w:rsid w:val="00A0520F"/>
    <w:rsid w:val="00A05ACE"/>
    <w:rsid w:val="00A06788"/>
    <w:rsid w:val="00A0678E"/>
    <w:rsid w:val="00A101E3"/>
    <w:rsid w:val="00A104A4"/>
    <w:rsid w:val="00A10D63"/>
    <w:rsid w:val="00A115BC"/>
    <w:rsid w:val="00A11776"/>
    <w:rsid w:val="00A1276C"/>
    <w:rsid w:val="00A14098"/>
    <w:rsid w:val="00A14304"/>
    <w:rsid w:val="00A14399"/>
    <w:rsid w:val="00A14C46"/>
    <w:rsid w:val="00A15524"/>
    <w:rsid w:val="00A15EE9"/>
    <w:rsid w:val="00A16675"/>
    <w:rsid w:val="00A1724E"/>
    <w:rsid w:val="00A20263"/>
    <w:rsid w:val="00A211AC"/>
    <w:rsid w:val="00A2454D"/>
    <w:rsid w:val="00A26437"/>
    <w:rsid w:val="00A32410"/>
    <w:rsid w:val="00A32B48"/>
    <w:rsid w:val="00A36D00"/>
    <w:rsid w:val="00A43389"/>
    <w:rsid w:val="00A4642E"/>
    <w:rsid w:val="00A47AF8"/>
    <w:rsid w:val="00A52A9E"/>
    <w:rsid w:val="00A52D75"/>
    <w:rsid w:val="00A53013"/>
    <w:rsid w:val="00A54BD6"/>
    <w:rsid w:val="00A54D53"/>
    <w:rsid w:val="00A5643A"/>
    <w:rsid w:val="00A57678"/>
    <w:rsid w:val="00A6090C"/>
    <w:rsid w:val="00A6200E"/>
    <w:rsid w:val="00A621E1"/>
    <w:rsid w:val="00A62D1E"/>
    <w:rsid w:val="00A6376F"/>
    <w:rsid w:val="00A65407"/>
    <w:rsid w:val="00A65C6D"/>
    <w:rsid w:val="00A7062E"/>
    <w:rsid w:val="00A70793"/>
    <w:rsid w:val="00A716B9"/>
    <w:rsid w:val="00A720D8"/>
    <w:rsid w:val="00A72216"/>
    <w:rsid w:val="00A733F2"/>
    <w:rsid w:val="00A75705"/>
    <w:rsid w:val="00A75BE1"/>
    <w:rsid w:val="00A8187C"/>
    <w:rsid w:val="00A82C9E"/>
    <w:rsid w:val="00A8324F"/>
    <w:rsid w:val="00A85142"/>
    <w:rsid w:val="00A854EE"/>
    <w:rsid w:val="00A92852"/>
    <w:rsid w:val="00A94412"/>
    <w:rsid w:val="00A95B37"/>
    <w:rsid w:val="00A96B6F"/>
    <w:rsid w:val="00AA0CE8"/>
    <w:rsid w:val="00AA35FD"/>
    <w:rsid w:val="00AA3DB7"/>
    <w:rsid w:val="00AA5F63"/>
    <w:rsid w:val="00AA7EBD"/>
    <w:rsid w:val="00AB69EF"/>
    <w:rsid w:val="00AC06D3"/>
    <w:rsid w:val="00AC11DC"/>
    <w:rsid w:val="00AC3E87"/>
    <w:rsid w:val="00AC469F"/>
    <w:rsid w:val="00AC4761"/>
    <w:rsid w:val="00AD0611"/>
    <w:rsid w:val="00AD0E4F"/>
    <w:rsid w:val="00AD26D7"/>
    <w:rsid w:val="00AD3905"/>
    <w:rsid w:val="00AD4555"/>
    <w:rsid w:val="00AD4A31"/>
    <w:rsid w:val="00AD515B"/>
    <w:rsid w:val="00AD5638"/>
    <w:rsid w:val="00AD7214"/>
    <w:rsid w:val="00AE039D"/>
    <w:rsid w:val="00AE1066"/>
    <w:rsid w:val="00AE12A4"/>
    <w:rsid w:val="00AE2E1B"/>
    <w:rsid w:val="00AE38DE"/>
    <w:rsid w:val="00AE5129"/>
    <w:rsid w:val="00AE55CC"/>
    <w:rsid w:val="00AE5645"/>
    <w:rsid w:val="00AE5D46"/>
    <w:rsid w:val="00AF1D6B"/>
    <w:rsid w:val="00AF1E98"/>
    <w:rsid w:val="00AF24AA"/>
    <w:rsid w:val="00AF3AF9"/>
    <w:rsid w:val="00AF3E5F"/>
    <w:rsid w:val="00AF4F09"/>
    <w:rsid w:val="00AF643E"/>
    <w:rsid w:val="00AF6F75"/>
    <w:rsid w:val="00AF79C8"/>
    <w:rsid w:val="00B00FA8"/>
    <w:rsid w:val="00B011B0"/>
    <w:rsid w:val="00B0391C"/>
    <w:rsid w:val="00B047F6"/>
    <w:rsid w:val="00B06019"/>
    <w:rsid w:val="00B0700F"/>
    <w:rsid w:val="00B1493B"/>
    <w:rsid w:val="00B15119"/>
    <w:rsid w:val="00B17169"/>
    <w:rsid w:val="00B236A5"/>
    <w:rsid w:val="00B23996"/>
    <w:rsid w:val="00B23CB2"/>
    <w:rsid w:val="00B2448B"/>
    <w:rsid w:val="00B24A18"/>
    <w:rsid w:val="00B255C5"/>
    <w:rsid w:val="00B25807"/>
    <w:rsid w:val="00B268DD"/>
    <w:rsid w:val="00B279B6"/>
    <w:rsid w:val="00B317F2"/>
    <w:rsid w:val="00B32530"/>
    <w:rsid w:val="00B32AE1"/>
    <w:rsid w:val="00B343C2"/>
    <w:rsid w:val="00B37780"/>
    <w:rsid w:val="00B37813"/>
    <w:rsid w:val="00B37EEF"/>
    <w:rsid w:val="00B37F2C"/>
    <w:rsid w:val="00B40553"/>
    <w:rsid w:val="00B4167B"/>
    <w:rsid w:val="00B41C1D"/>
    <w:rsid w:val="00B43917"/>
    <w:rsid w:val="00B44260"/>
    <w:rsid w:val="00B4515C"/>
    <w:rsid w:val="00B46220"/>
    <w:rsid w:val="00B464EA"/>
    <w:rsid w:val="00B47574"/>
    <w:rsid w:val="00B51EE1"/>
    <w:rsid w:val="00B5430C"/>
    <w:rsid w:val="00B56A90"/>
    <w:rsid w:val="00B5711C"/>
    <w:rsid w:val="00B57BCF"/>
    <w:rsid w:val="00B57E36"/>
    <w:rsid w:val="00B60209"/>
    <w:rsid w:val="00B606A3"/>
    <w:rsid w:val="00B65D6F"/>
    <w:rsid w:val="00B673F3"/>
    <w:rsid w:val="00B67A25"/>
    <w:rsid w:val="00B7354A"/>
    <w:rsid w:val="00B74036"/>
    <w:rsid w:val="00B7435B"/>
    <w:rsid w:val="00B74446"/>
    <w:rsid w:val="00B74B59"/>
    <w:rsid w:val="00B77142"/>
    <w:rsid w:val="00B8024E"/>
    <w:rsid w:val="00B8031E"/>
    <w:rsid w:val="00B80C3A"/>
    <w:rsid w:val="00B82D15"/>
    <w:rsid w:val="00B82DA7"/>
    <w:rsid w:val="00B84643"/>
    <w:rsid w:val="00B90452"/>
    <w:rsid w:val="00B90780"/>
    <w:rsid w:val="00B916D6"/>
    <w:rsid w:val="00B91AD8"/>
    <w:rsid w:val="00B9209B"/>
    <w:rsid w:val="00B9240D"/>
    <w:rsid w:val="00B95753"/>
    <w:rsid w:val="00B97E42"/>
    <w:rsid w:val="00BA0B2E"/>
    <w:rsid w:val="00BA0C05"/>
    <w:rsid w:val="00BA54D0"/>
    <w:rsid w:val="00BA6974"/>
    <w:rsid w:val="00BA7E30"/>
    <w:rsid w:val="00BB1013"/>
    <w:rsid w:val="00BB1033"/>
    <w:rsid w:val="00BB4515"/>
    <w:rsid w:val="00BB7B89"/>
    <w:rsid w:val="00BC1A9B"/>
    <w:rsid w:val="00BC2A22"/>
    <w:rsid w:val="00BC4986"/>
    <w:rsid w:val="00BC5D75"/>
    <w:rsid w:val="00BC5E2E"/>
    <w:rsid w:val="00BC6379"/>
    <w:rsid w:val="00BC7608"/>
    <w:rsid w:val="00BC7EEF"/>
    <w:rsid w:val="00BD0C50"/>
    <w:rsid w:val="00BD0CA4"/>
    <w:rsid w:val="00BD1A02"/>
    <w:rsid w:val="00BD43BB"/>
    <w:rsid w:val="00BD7ADE"/>
    <w:rsid w:val="00BD7B4A"/>
    <w:rsid w:val="00BE1A85"/>
    <w:rsid w:val="00BE30DE"/>
    <w:rsid w:val="00BE46ED"/>
    <w:rsid w:val="00BE4FD1"/>
    <w:rsid w:val="00BE642D"/>
    <w:rsid w:val="00BE6D7A"/>
    <w:rsid w:val="00BF2080"/>
    <w:rsid w:val="00BF2511"/>
    <w:rsid w:val="00BF377F"/>
    <w:rsid w:val="00BF3F88"/>
    <w:rsid w:val="00BF57BE"/>
    <w:rsid w:val="00C0042B"/>
    <w:rsid w:val="00C01EF2"/>
    <w:rsid w:val="00C02900"/>
    <w:rsid w:val="00C02E58"/>
    <w:rsid w:val="00C030B6"/>
    <w:rsid w:val="00C04B38"/>
    <w:rsid w:val="00C067B7"/>
    <w:rsid w:val="00C10A09"/>
    <w:rsid w:val="00C121BC"/>
    <w:rsid w:val="00C13116"/>
    <w:rsid w:val="00C14D92"/>
    <w:rsid w:val="00C158BC"/>
    <w:rsid w:val="00C16739"/>
    <w:rsid w:val="00C17F3F"/>
    <w:rsid w:val="00C23B30"/>
    <w:rsid w:val="00C23BA2"/>
    <w:rsid w:val="00C260A2"/>
    <w:rsid w:val="00C30DEC"/>
    <w:rsid w:val="00C31142"/>
    <w:rsid w:val="00C312FA"/>
    <w:rsid w:val="00C31DEF"/>
    <w:rsid w:val="00C338EB"/>
    <w:rsid w:val="00C34790"/>
    <w:rsid w:val="00C35BB7"/>
    <w:rsid w:val="00C36B35"/>
    <w:rsid w:val="00C400CD"/>
    <w:rsid w:val="00C40373"/>
    <w:rsid w:val="00C41617"/>
    <w:rsid w:val="00C41DA8"/>
    <w:rsid w:val="00C4309A"/>
    <w:rsid w:val="00C43F23"/>
    <w:rsid w:val="00C43FF1"/>
    <w:rsid w:val="00C44F1F"/>
    <w:rsid w:val="00C45494"/>
    <w:rsid w:val="00C50D87"/>
    <w:rsid w:val="00C52C4E"/>
    <w:rsid w:val="00C52D18"/>
    <w:rsid w:val="00C559CE"/>
    <w:rsid w:val="00C55E19"/>
    <w:rsid w:val="00C55E56"/>
    <w:rsid w:val="00C563BF"/>
    <w:rsid w:val="00C56EF8"/>
    <w:rsid w:val="00C57512"/>
    <w:rsid w:val="00C57607"/>
    <w:rsid w:val="00C61133"/>
    <w:rsid w:val="00C64009"/>
    <w:rsid w:val="00C7016D"/>
    <w:rsid w:val="00C74ABE"/>
    <w:rsid w:val="00C767B3"/>
    <w:rsid w:val="00C76C07"/>
    <w:rsid w:val="00C80F23"/>
    <w:rsid w:val="00C850A3"/>
    <w:rsid w:val="00C85401"/>
    <w:rsid w:val="00C87568"/>
    <w:rsid w:val="00C92451"/>
    <w:rsid w:val="00C9272C"/>
    <w:rsid w:val="00C97764"/>
    <w:rsid w:val="00C97C9B"/>
    <w:rsid w:val="00CA344C"/>
    <w:rsid w:val="00CA59F6"/>
    <w:rsid w:val="00CB046E"/>
    <w:rsid w:val="00CB142D"/>
    <w:rsid w:val="00CB29F6"/>
    <w:rsid w:val="00CB2BBF"/>
    <w:rsid w:val="00CB375E"/>
    <w:rsid w:val="00CB481C"/>
    <w:rsid w:val="00CB4C8C"/>
    <w:rsid w:val="00CB5F73"/>
    <w:rsid w:val="00CB62E1"/>
    <w:rsid w:val="00CB6EFE"/>
    <w:rsid w:val="00CB7A3B"/>
    <w:rsid w:val="00CC15D7"/>
    <w:rsid w:val="00CC1636"/>
    <w:rsid w:val="00CC16F9"/>
    <w:rsid w:val="00CC28A9"/>
    <w:rsid w:val="00CC4183"/>
    <w:rsid w:val="00CC5423"/>
    <w:rsid w:val="00CC70A4"/>
    <w:rsid w:val="00CD4A0C"/>
    <w:rsid w:val="00CD5CEF"/>
    <w:rsid w:val="00CE06EC"/>
    <w:rsid w:val="00CE41F1"/>
    <w:rsid w:val="00CE54FE"/>
    <w:rsid w:val="00CE592E"/>
    <w:rsid w:val="00CE5BC5"/>
    <w:rsid w:val="00CF16A4"/>
    <w:rsid w:val="00CF299F"/>
    <w:rsid w:val="00CF3357"/>
    <w:rsid w:val="00CF58DF"/>
    <w:rsid w:val="00D00BC3"/>
    <w:rsid w:val="00D0316E"/>
    <w:rsid w:val="00D03538"/>
    <w:rsid w:val="00D04410"/>
    <w:rsid w:val="00D057D1"/>
    <w:rsid w:val="00D05EE7"/>
    <w:rsid w:val="00D06A9D"/>
    <w:rsid w:val="00D07C15"/>
    <w:rsid w:val="00D11D4F"/>
    <w:rsid w:val="00D12D04"/>
    <w:rsid w:val="00D13A01"/>
    <w:rsid w:val="00D15733"/>
    <w:rsid w:val="00D16F78"/>
    <w:rsid w:val="00D2020F"/>
    <w:rsid w:val="00D20364"/>
    <w:rsid w:val="00D2130C"/>
    <w:rsid w:val="00D26746"/>
    <w:rsid w:val="00D26DDD"/>
    <w:rsid w:val="00D27BDC"/>
    <w:rsid w:val="00D3194F"/>
    <w:rsid w:val="00D33751"/>
    <w:rsid w:val="00D37343"/>
    <w:rsid w:val="00D37495"/>
    <w:rsid w:val="00D41727"/>
    <w:rsid w:val="00D427E4"/>
    <w:rsid w:val="00D45F1B"/>
    <w:rsid w:val="00D478CC"/>
    <w:rsid w:val="00D52289"/>
    <w:rsid w:val="00D52EEE"/>
    <w:rsid w:val="00D55054"/>
    <w:rsid w:val="00D55A37"/>
    <w:rsid w:val="00D55B7E"/>
    <w:rsid w:val="00D56138"/>
    <w:rsid w:val="00D64354"/>
    <w:rsid w:val="00D66685"/>
    <w:rsid w:val="00D70D35"/>
    <w:rsid w:val="00D71194"/>
    <w:rsid w:val="00D71351"/>
    <w:rsid w:val="00D71997"/>
    <w:rsid w:val="00D7532A"/>
    <w:rsid w:val="00D753E9"/>
    <w:rsid w:val="00D777B9"/>
    <w:rsid w:val="00D82273"/>
    <w:rsid w:val="00D82FA5"/>
    <w:rsid w:val="00D84A4B"/>
    <w:rsid w:val="00D84B45"/>
    <w:rsid w:val="00D857AE"/>
    <w:rsid w:val="00D8623D"/>
    <w:rsid w:val="00D867FB"/>
    <w:rsid w:val="00D873C4"/>
    <w:rsid w:val="00D90E11"/>
    <w:rsid w:val="00D9110D"/>
    <w:rsid w:val="00D91124"/>
    <w:rsid w:val="00D91987"/>
    <w:rsid w:val="00D92168"/>
    <w:rsid w:val="00D93426"/>
    <w:rsid w:val="00D94B22"/>
    <w:rsid w:val="00D958D3"/>
    <w:rsid w:val="00D9594F"/>
    <w:rsid w:val="00D97213"/>
    <w:rsid w:val="00DA134E"/>
    <w:rsid w:val="00DA13F3"/>
    <w:rsid w:val="00DA27AC"/>
    <w:rsid w:val="00DA2DE3"/>
    <w:rsid w:val="00DA64AF"/>
    <w:rsid w:val="00DA7948"/>
    <w:rsid w:val="00DB1F4F"/>
    <w:rsid w:val="00DB2910"/>
    <w:rsid w:val="00DB2AC7"/>
    <w:rsid w:val="00DB3588"/>
    <w:rsid w:val="00DB56EC"/>
    <w:rsid w:val="00DB704C"/>
    <w:rsid w:val="00DC5515"/>
    <w:rsid w:val="00DC693B"/>
    <w:rsid w:val="00DC7C77"/>
    <w:rsid w:val="00DD0F5D"/>
    <w:rsid w:val="00DD2C55"/>
    <w:rsid w:val="00DD32D6"/>
    <w:rsid w:val="00DD426D"/>
    <w:rsid w:val="00DD74FC"/>
    <w:rsid w:val="00DE117F"/>
    <w:rsid w:val="00DE1769"/>
    <w:rsid w:val="00DE1A17"/>
    <w:rsid w:val="00DE2418"/>
    <w:rsid w:val="00DE44C8"/>
    <w:rsid w:val="00DE64CC"/>
    <w:rsid w:val="00DE6AA9"/>
    <w:rsid w:val="00DE6E5C"/>
    <w:rsid w:val="00DE778B"/>
    <w:rsid w:val="00DE7B30"/>
    <w:rsid w:val="00DF0A34"/>
    <w:rsid w:val="00DF20C7"/>
    <w:rsid w:val="00DF4D0C"/>
    <w:rsid w:val="00DF53FA"/>
    <w:rsid w:val="00DF5C20"/>
    <w:rsid w:val="00DF744A"/>
    <w:rsid w:val="00DF7D81"/>
    <w:rsid w:val="00E02254"/>
    <w:rsid w:val="00E02DEB"/>
    <w:rsid w:val="00E042A1"/>
    <w:rsid w:val="00E0476C"/>
    <w:rsid w:val="00E0576B"/>
    <w:rsid w:val="00E067EA"/>
    <w:rsid w:val="00E06D18"/>
    <w:rsid w:val="00E07C4A"/>
    <w:rsid w:val="00E104FA"/>
    <w:rsid w:val="00E1320D"/>
    <w:rsid w:val="00E16022"/>
    <w:rsid w:val="00E16304"/>
    <w:rsid w:val="00E1738C"/>
    <w:rsid w:val="00E174FF"/>
    <w:rsid w:val="00E205AA"/>
    <w:rsid w:val="00E22296"/>
    <w:rsid w:val="00E27360"/>
    <w:rsid w:val="00E27C04"/>
    <w:rsid w:val="00E30713"/>
    <w:rsid w:val="00E30D0E"/>
    <w:rsid w:val="00E30EDF"/>
    <w:rsid w:val="00E31FBA"/>
    <w:rsid w:val="00E328E2"/>
    <w:rsid w:val="00E336BB"/>
    <w:rsid w:val="00E3384E"/>
    <w:rsid w:val="00E374C8"/>
    <w:rsid w:val="00E4042D"/>
    <w:rsid w:val="00E412F2"/>
    <w:rsid w:val="00E4135D"/>
    <w:rsid w:val="00E422F3"/>
    <w:rsid w:val="00E4351D"/>
    <w:rsid w:val="00E43750"/>
    <w:rsid w:val="00E44860"/>
    <w:rsid w:val="00E45640"/>
    <w:rsid w:val="00E508EB"/>
    <w:rsid w:val="00E521E3"/>
    <w:rsid w:val="00E53B7A"/>
    <w:rsid w:val="00E550C9"/>
    <w:rsid w:val="00E55405"/>
    <w:rsid w:val="00E5645D"/>
    <w:rsid w:val="00E627A4"/>
    <w:rsid w:val="00E6280E"/>
    <w:rsid w:val="00E62C9C"/>
    <w:rsid w:val="00E630EE"/>
    <w:rsid w:val="00E67A61"/>
    <w:rsid w:val="00E70455"/>
    <w:rsid w:val="00E73221"/>
    <w:rsid w:val="00E75116"/>
    <w:rsid w:val="00E763EB"/>
    <w:rsid w:val="00E8342F"/>
    <w:rsid w:val="00E838EF"/>
    <w:rsid w:val="00E84632"/>
    <w:rsid w:val="00E847EE"/>
    <w:rsid w:val="00E84F32"/>
    <w:rsid w:val="00E876F9"/>
    <w:rsid w:val="00E96A72"/>
    <w:rsid w:val="00E96B52"/>
    <w:rsid w:val="00EA01F7"/>
    <w:rsid w:val="00EA1D33"/>
    <w:rsid w:val="00EA1F5A"/>
    <w:rsid w:val="00EA375F"/>
    <w:rsid w:val="00EA3AD1"/>
    <w:rsid w:val="00EA3C4A"/>
    <w:rsid w:val="00EA5143"/>
    <w:rsid w:val="00EA56DE"/>
    <w:rsid w:val="00EA7104"/>
    <w:rsid w:val="00EA7533"/>
    <w:rsid w:val="00EB067F"/>
    <w:rsid w:val="00EB2419"/>
    <w:rsid w:val="00EB27DE"/>
    <w:rsid w:val="00EB58F5"/>
    <w:rsid w:val="00EB6E6B"/>
    <w:rsid w:val="00EC010F"/>
    <w:rsid w:val="00EC09C2"/>
    <w:rsid w:val="00EC2E3A"/>
    <w:rsid w:val="00EC3CCB"/>
    <w:rsid w:val="00EC41BC"/>
    <w:rsid w:val="00EC5A74"/>
    <w:rsid w:val="00EC737D"/>
    <w:rsid w:val="00ED2154"/>
    <w:rsid w:val="00ED4277"/>
    <w:rsid w:val="00ED7C8C"/>
    <w:rsid w:val="00ED7DDB"/>
    <w:rsid w:val="00EE431B"/>
    <w:rsid w:val="00EE4874"/>
    <w:rsid w:val="00EE53E5"/>
    <w:rsid w:val="00EE5F2D"/>
    <w:rsid w:val="00EE73FB"/>
    <w:rsid w:val="00EE7BF0"/>
    <w:rsid w:val="00EF2674"/>
    <w:rsid w:val="00EF54BC"/>
    <w:rsid w:val="00EF556F"/>
    <w:rsid w:val="00EF7D07"/>
    <w:rsid w:val="00EF7DB6"/>
    <w:rsid w:val="00F0161E"/>
    <w:rsid w:val="00F0181C"/>
    <w:rsid w:val="00F01861"/>
    <w:rsid w:val="00F03512"/>
    <w:rsid w:val="00F0433A"/>
    <w:rsid w:val="00F0519B"/>
    <w:rsid w:val="00F059D4"/>
    <w:rsid w:val="00F06B82"/>
    <w:rsid w:val="00F11783"/>
    <w:rsid w:val="00F119AF"/>
    <w:rsid w:val="00F1480B"/>
    <w:rsid w:val="00F1498D"/>
    <w:rsid w:val="00F20065"/>
    <w:rsid w:val="00F2038E"/>
    <w:rsid w:val="00F22211"/>
    <w:rsid w:val="00F22297"/>
    <w:rsid w:val="00F22341"/>
    <w:rsid w:val="00F22F1D"/>
    <w:rsid w:val="00F24039"/>
    <w:rsid w:val="00F24E0E"/>
    <w:rsid w:val="00F2646E"/>
    <w:rsid w:val="00F265A5"/>
    <w:rsid w:val="00F26693"/>
    <w:rsid w:val="00F32579"/>
    <w:rsid w:val="00F3477D"/>
    <w:rsid w:val="00F347FE"/>
    <w:rsid w:val="00F34859"/>
    <w:rsid w:val="00F356F7"/>
    <w:rsid w:val="00F37EA9"/>
    <w:rsid w:val="00F40055"/>
    <w:rsid w:val="00F40868"/>
    <w:rsid w:val="00F40E14"/>
    <w:rsid w:val="00F44FDE"/>
    <w:rsid w:val="00F46467"/>
    <w:rsid w:val="00F4715C"/>
    <w:rsid w:val="00F47BA9"/>
    <w:rsid w:val="00F47FF8"/>
    <w:rsid w:val="00F529B5"/>
    <w:rsid w:val="00F52AA4"/>
    <w:rsid w:val="00F53385"/>
    <w:rsid w:val="00F56162"/>
    <w:rsid w:val="00F56B7E"/>
    <w:rsid w:val="00F56E5B"/>
    <w:rsid w:val="00F6052F"/>
    <w:rsid w:val="00F62FDE"/>
    <w:rsid w:val="00F654E6"/>
    <w:rsid w:val="00F662CD"/>
    <w:rsid w:val="00F67E39"/>
    <w:rsid w:val="00F703A8"/>
    <w:rsid w:val="00F707F1"/>
    <w:rsid w:val="00F7094A"/>
    <w:rsid w:val="00F710BE"/>
    <w:rsid w:val="00F72579"/>
    <w:rsid w:val="00F804B9"/>
    <w:rsid w:val="00F80AE2"/>
    <w:rsid w:val="00F83FF9"/>
    <w:rsid w:val="00F870C3"/>
    <w:rsid w:val="00F90005"/>
    <w:rsid w:val="00F91B52"/>
    <w:rsid w:val="00F97478"/>
    <w:rsid w:val="00F97B71"/>
    <w:rsid w:val="00F97B9E"/>
    <w:rsid w:val="00FA00C3"/>
    <w:rsid w:val="00FA0527"/>
    <w:rsid w:val="00FA085E"/>
    <w:rsid w:val="00FA0947"/>
    <w:rsid w:val="00FA2D49"/>
    <w:rsid w:val="00FA4B52"/>
    <w:rsid w:val="00FA4D4F"/>
    <w:rsid w:val="00FA4D5B"/>
    <w:rsid w:val="00FA54E8"/>
    <w:rsid w:val="00FA6245"/>
    <w:rsid w:val="00FA7737"/>
    <w:rsid w:val="00FA786F"/>
    <w:rsid w:val="00FA7D19"/>
    <w:rsid w:val="00FA7EB3"/>
    <w:rsid w:val="00FB058F"/>
    <w:rsid w:val="00FB387C"/>
    <w:rsid w:val="00FB3C94"/>
    <w:rsid w:val="00FB48C1"/>
    <w:rsid w:val="00FB6808"/>
    <w:rsid w:val="00FB6CD0"/>
    <w:rsid w:val="00FB723C"/>
    <w:rsid w:val="00FB72B4"/>
    <w:rsid w:val="00FB78BD"/>
    <w:rsid w:val="00FC0A2D"/>
    <w:rsid w:val="00FC13C8"/>
    <w:rsid w:val="00FC39F9"/>
    <w:rsid w:val="00FC59F8"/>
    <w:rsid w:val="00FC60F6"/>
    <w:rsid w:val="00FC6F53"/>
    <w:rsid w:val="00FC7F43"/>
    <w:rsid w:val="00FD1F57"/>
    <w:rsid w:val="00FD44CE"/>
    <w:rsid w:val="00FD45FA"/>
    <w:rsid w:val="00FD7D41"/>
    <w:rsid w:val="00FE0072"/>
    <w:rsid w:val="00FE0C71"/>
    <w:rsid w:val="00FE1E47"/>
    <w:rsid w:val="00FE275D"/>
    <w:rsid w:val="00FE7FBD"/>
    <w:rsid w:val="00FF10BC"/>
    <w:rsid w:val="00FF5DCF"/>
    <w:rsid w:val="00FF5FC7"/>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1"/>
    <o:shapelayout v:ext="edit">
      <o:idmap v:ext="edit" data="1"/>
    </o:shapelayout>
  </w:shapeDefaults>
  <w:decimalSymbol w:val="."/>
  <w:listSeparator w:val=","/>
  <w15:docId w15:val="{E0F67C06-5562-4A6E-A568-658C41971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4828"/>
    <w:pPr>
      <w:widowControl w:val="0"/>
      <w:jc w:val="both"/>
    </w:pPr>
    <w:rPr>
      <w:kern w:val="2"/>
      <w:sz w:val="21"/>
      <w:szCs w:val="24"/>
    </w:rPr>
  </w:style>
  <w:style w:type="paragraph" w:styleId="1">
    <w:name w:val="heading 1"/>
    <w:basedOn w:val="a"/>
    <w:next w:val="a"/>
    <w:link w:val="1Char"/>
    <w:qFormat/>
    <w:rsid w:val="00180952"/>
    <w:pPr>
      <w:keepNext/>
      <w:keepLines/>
      <w:spacing w:before="340" w:after="330" w:line="578" w:lineRule="auto"/>
      <w:outlineLvl w:val="0"/>
    </w:pPr>
    <w:rPr>
      <w:b/>
      <w:bCs/>
      <w:kern w:val="44"/>
      <w:sz w:val="44"/>
      <w:szCs w:val="44"/>
    </w:rPr>
  </w:style>
  <w:style w:type="paragraph" w:styleId="2">
    <w:name w:val="heading 2"/>
    <w:basedOn w:val="a"/>
    <w:next w:val="a0"/>
    <w:qFormat/>
    <w:rsid w:val="006A4828"/>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rsid w:val="006A4828"/>
    <w:pPr>
      <w:ind w:firstLineChars="200" w:firstLine="420"/>
    </w:pPr>
  </w:style>
  <w:style w:type="paragraph" w:styleId="a4">
    <w:name w:val="Body Text Indent"/>
    <w:basedOn w:val="a"/>
    <w:rsid w:val="006A4828"/>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6A4828"/>
    <w:rPr>
      <w:rFonts w:ascii="宋体" w:hAnsi="Courier New"/>
      <w:szCs w:val="21"/>
    </w:rPr>
  </w:style>
  <w:style w:type="paragraph" w:styleId="20">
    <w:name w:val="Body Text Indent 2"/>
    <w:basedOn w:val="a"/>
    <w:rsid w:val="006A4828"/>
    <w:pPr>
      <w:spacing w:line="560" w:lineRule="exact"/>
      <w:ind w:firstLineChars="200" w:firstLine="480"/>
    </w:pPr>
    <w:rPr>
      <w:rFonts w:ascii="宋体" w:hAnsi="宋体"/>
      <w:color w:val="FF0000"/>
      <w:sz w:val="24"/>
    </w:rPr>
  </w:style>
  <w:style w:type="paragraph" w:styleId="a6">
    <w:name w:val="footer"/>
    <w:basedOn w:val="a"/>
    <w:rsid w:val="006A4828"/>
    <w:pPr>
      <w:tabs>
        <w:tab w:val="center" w:pos="4153"/>
        <w:tab w:val="right" w:pos="8306"/>
      </w:tabs>
      <w:snapToGrid w:val="0"/>
      <w:jc w:val="left"/>
    </w:pPr>
    <w:rPr>
      <w:sz w:val="18"/>
      <w:szCs w:val="18"/>
    </w:rPr>
  </w:style>
  <w:style w:type="character" w:styleId="a7">
    <w:name w:val="page number"/>
    <w:basedOn w:val="a1"/>
    <w:rsid w:val="006A4828"/>
  </w:style>
  <w:style w:type="character" w:styleId="a8">
    <w:name w:val="Hyperlink"/>
    <w:basedOn w:val="a1"/>
    <w:rsid w:val="006A4828"/>
    <w:rPr>
      <w:color w:val="0000FF"/>
      <w:u w:val="single"/>
    </w:rPr>
  </w:style>
  <w:style w:type="paragraph" w:styleId="3">
    <w:name w:val="Body Text Indent 3"/>
    <w:basedOn w:val="a"/>
    <w:rsid w:val="006A4828"/>
    <w:pPr>
      <w:spacing w:line="560" w:lineRule="exact"/>
      <w:ind w:firstLineChars="200" w:firstLine="420"/>
    </w:pPr>
    <w:rPr>
      <w:rFonts w:ascii="Arial" w:hAnsi="Arial" w:cs="Arial"/>
      <w:color w:val="FF0000"/>
    </w:rPr>
  </w:style>
  <w:style w:type="paragraph" w:styleId="a9">
    <w:name w:val="header"/>
    <w:basedOn w:val="a"/>
    <w:link w:val="Char0"/>
    <w:uiPriority w:val="99"/>
    <w:rsid w:val="006A4828"/>
    <w:pPr>
      <w:pBdr>
        <w:bottom w:val="single" w:sz="6" w:space="1" w:color="auto"/>
      </w:pBdr>
      <w:tabs>
        <w:tab w:val="center" w:pos="4153"/>
        <w:tab w:val="right" w:pos="8306"/>
      </w:tabs>
      <w:snapToGrid w:val="0"/>
      <w:jc w:val="center"/>
    </w:pPr>
    <w:rPr>
      <w:sz w:val="18"/>
      <w:szCs w:val="18"/>
    </w:rPr>
  </w:style>
  <w:style w:type="character" w:customStyle="1" w:styleId="10">
    <w:name w:val="已访问的超链接1"/>
    <w:basedOn w:val="a1"/>
    <w:rsid w:val="006A4828"/>
    <w:rPr>
      <w:color w:val="800080"/>
      <w:u w:val="single"/>
    </w:rPr>
  </w:style>
  <w:style w:type="paragraph" w:styleId="aa">
    <w:name w:val="List"/>
    <w:basedOn w:val="ab"/>
    <w:rsid w:val="006A4828"/>
    <w:pPr>
      <w:spacing w:after="220" w:line="220" w:lineRule="atLeast"/>
      <w:ind w:left="1440" w:hanging="360"/>
    </w:pPr>
    <w:rPr>
      <w:szCs w:val="20"/>
    </w:rPr>
  </w:style>
  <w:style w:type="paragraph" w:styleId="ab">
    <w:name w:val="Body Text"/>
    <w:basedOn w:val="a"/>
    <w:rsid w:val="006A4828"/>
    <w:pPr>
      <w:spacing w:after="120"/>
    </w:pPr>
  </w:style>
  <w:style w:type="paragraph" w:styleId="ac">
    <w:name w:val="Date"/>
    <w:basedOn w:val="a"/>
    <w:next w:val="a"/>
    <w:link w:val="Char1"/>
    <w:rsid w:val="006A4828"/>
    <w:rPr>
      <w:sz w:val="24"/>
      <w:szCs w:val="20"/>
    </w:rPr>
  </w:style>
  <w:style w:type="character" w:customStyle="1" w:styleId="c1">
    <w:name w:val="c1"/>
    <w:basedOn w:val="a1"/>
    <w:rsid w:val="006A4828"/>
    <w:rPr>
      <w:color w:val="000000"/>
      <w:sz w:val="18"/>
      <w:szCs w:val="18"/>
    </w:rPr>
  </w:style>
  <w:style w:type="paragraph" w:styleId="11">
    <w:name w:val="index 1"/>
    <w:basedOn w:val="a"/>
    <w:next w:val="a"/>
    <w:autoRedefine/>
    <w:semiHidden/>
    <w:rsid w:val="006A4828"/>
    <w:pPr>
      <w:jc w:val="right"/>
    </w:pPr>
    <w:rPr>
      <w:color w:val="008000"/>
    </w:rPr>
  </w:style>
  <w:style w:type="paragraph" w:customStyle="1" w:styleId="font5">
    <w:name w:val="font5"/>
    <w:basedOn w:val="a"/>
    <w:rsid w:val="006A4828"/>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6A4828"/>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uiPriority w:val="99"/>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6A4828"/>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6A4828"/>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6A4828"/>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d">
    <w:name w:val="Balloon Text"/>
    <w:basedOn w:val="a"/>
    <w:semiHidden/>
    <w:rsid w:val="006A4828"/>
    <w:rPr>
      <w:sz w:val="18"/>
      <w:szCs w:val="18"/>
    </w:rPr>
  </w:style>
  <w:style w:type="character" w:styleId="ae">
    <w:name w:val="annotation reference"/>
    <w:basedOn w:val="a1"/>
    <w:semiHidden/>
    <w:rsid w:val="006A4828"/>
    <w:rPr>
      <w:sz w:val="21"/>
      <w:szCs w:val="21"/>
    </w:rPr>
  </w:style>
  <w:style w:type="paragraph" w:styleId="af">
    <w:name w:val="annotation text"/>
    <w:basedOn w:val="a"/>
    <w:semiHidden/>
    <w:rsid w:val="006A4828"/>
    <w:pPr>
      <w:jc w:val="left"/>
    </w:pPr>
  </w:style>
  <w:style w:type="paragraph" w:styleId="af0">
    <w:name w:val="annotation subject"/>
    <w:basedOn w:val="af"/>
    <w:next w:val="af"/>
    <w:semiHidden/>
    <w:rsid w:val="006A4828"/>
    <w:rPr>
      <w:b/>
      <w:bCs/>
    </w:rPr>
  </w:style>
  <w:style w:type="paragraph" w:customStyle="1" w:styleId="Char2">
    <w:name w:val="Char"/>
    <w:basedOn w:val="a"/>
    <w:rsid w:val="006A4828"/>
  </w:style>
  <w:style w:type="paragraph" w:styleId="af1">
    <w:name w:val="Document Map"/>
    <w:basedOn w:val="a"/>
    <w:semiHidden/>
    <w:rsid w:val="000A549A"/>
    <w:pPr>
      <w:shd w:val="clear" w:color="auto" w:fill="000080"/>
    </w:pPr>
  </w:style>
  <w:style w:type="table" w:styleId="af2">
    <w:name w:val="Table Grid"/>
    <w:basedOn w:val="a2"/>
    <w:rsid w:val="009A31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Char3"/>
    <w:rsid w:val="000B251E"/>
    <w:pPr>
      <w:snapToGrid w:val="0"/>
      <w:jc w:val="left"/>
    </w:pPr>
    <w:rPr>
      <w:sz w:val="18"/>
      <w:szCs w:val="18"/>
    </w:rPr>
  </w:style>
  <w:style w:type="character" w:styleId="af4">
    <w:name w:val="footnote reference"/>
    <w:basedOn w:val="a1"/>
    <w:rsid w:val="000B251E"/>
    <w:rPr>
      <w:vertAlign w:val="superscript"/>
    </w:rPr>
  </w:style>
  <w:style w:type="paragraph" w:styleId="af5">
    <w:name w:val="Normal (Web)"/>
    <w:basedOn w:val="a"/>
    <w:rsid w:val="00B25807"/>
    <w:pPr>
      <w:widowControl/>
      <w:spacing w:before="100" w:beforeAutospacing="1" w:after="100" w:afterAutospacing="1"/>
      <w:jc w:val="left"/>
    </w:pPr>
    <w:rPr>
      <w:rFonts w:ascii="宋体" w:hAnsi="宋体"/>
      <w:kern w:val="0"/>
      <w:sz w:val="24"/>
    </w:rPr>
  </w:style>
  <w:style w:type="paragraph" w:customStyle="1" w:styleId="Char4">
    <w:name w:val="Char"/>
    <w:basedOn w:val="a"/>
    <w:rsid w:val="00D97213"/>
  </w:style>
  <w:style w:type="numbering" w:customStyle="1" w:styleId="5">
    <w:name w:val="样式5"/>
    <w:rsid w:val="00952A72"/>
    <w:pPr>
      <w:numPr>
        <w:numId w:val="8"/>
      </w:numPr>
    </w:pPr>
  </w:style>
  <w:style w:type="character" w:customStyle="1" w:styleId="t1">
    <w:name w:val="t1"/>
    <w:basedOn w:val="a1"/>
    <w:rsid w:val="002D2A00"/>
    <w:rPr>
      <w:color w:val="990000"/>
    </w:rPr>
  </w:style>
  <w:style w:type="character" w:customStyle="1" w:styleId="Char">
    <w:name w:val="纯文本 Char"/>
    <w:basedOn w:val="a1"/>
    <w:link w:val="a5"/>
    <w:uiPriority w:val="99"/>
    <w:rsid w:val="009A045B"/>
    <w:rPr>
      <w:rFonts w:ascii="宋体" w:hAnsi="Courier New"/>
      <w:kern w:val="2"/>
      <w:sz w:val="21"/>
      <w:szCs w:val="21"/>
    </w:rPr>
  </w:style>
  <w:style w:type="character" w:customStyle="1" w:styleId="Char3">
    <w:name w:val="脚注文本 Char"/>
    <w:basedOn w:val="a1"/>
    <w:link w:val="af3"/>
    <w:rsid w:val="00CB481C"/>
    <w:rPr>
      <w:kern w:val="2"/>
      <w:sz w:val="18"/>
      <w:szCs w:val="18"/>
    </w:rPr>
  </w:style>
  <w:style w:type="paragraph" w:customStyle="1" w:styleId="Default">
    <w:name w:val="Default"/>
    <w:rsid w:val="00CB481C"/>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1207F2"/>
    <w:rPr>
      <w:kern w:val="2"/>
      <w:sz w:val="18"/>
      <w:szCs w:val="18"/>
    </w:rPr>
  </w:style>
  <w:style w:type="character" w:customStyle="1" w:styleId="1Char">
    <w:name w:val="标题 1 Char"/>
    <w:basedOn w:val="a1"/>
    <w:link w:val="1"/>
    <w:rsid w:val="00180952"/>
    <w:rPr>
      <w:b/>
      <w:bCs/>
      <w:kern w:val="44"/>
      <w:sz w:val="44"/>
      <w:szCs w:val="44"/>
    </w:rPr>
  </w:style>
  <w:style w:type="character" w:customStyle="1" w:styleId="Char1">
    <w:name w:val="日期 Char"/>
    <w:basedOn w:val="a1"/>
    <w:link w:val="ac"/>
    <w:rsid w:val="00D66685"/>
    <w:rPr>
      <w:kern w:val="2"/>
      <w:sz w:val="24"/>
    </w:rPr>
  </w:style>
  <w:style w:type="character" w:styleId="af6">
    <w:name w:val="Strong"/>
    <w:basedOn w:val="a1"/>
    <w:uiPriority w:val="22"/>
    <w:qFormat/>
    <w:rsid w:val="00C029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2286">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275908062">
      <w:bodyDiv w:val="1"/>
      <w:marLeft w:val="0"/>
      <w:marRight w:val="0"/>
      <w:marTop w:val="0"/>
      <w:marBottom w:val="0"/>
      <w:divBdr>
        <w:top w:val="none" w:sz="0" w:space="0" w:color="auto"/>
        <w:left w:val="none" w:sz="0" w:space="0" w:color="auto"/>
        <w:bottom w:val="none" w:sz="0" w:space="0" w:color="auto"/>
        <w:right w:val="none" w:sz="0" w:space="0" w:color="auto"/>
      </w:divBdr>
    </w:div>
    <w:div w:id="404841301">
      <w:bodyDiv w:val="1"/>
      <w:marLeft w:val="0"/>
      <w:marRight w:val="0"/>
      <w:marTop w:val="0"/>
      <w:marBottom w:val="0"/>
      <w:divBdr>
        <w:top w:val="none" w:sz="0" w:space="0" w:color="auto"/>
        <w:left w:val="none" w:sz="0" w:space="0" w:color="auto"/>
        <w:bottom w:val="none" w:sz="0" w:space="0" w:color="auto"/>
        <w:right w:val="none" w:sz="0" w:space="0" w:color="auto"/>
      </w:divBdr>
    </w:div>
    <w:div w:id="515924504">
      <w:bodyDiv w:val="1"/>
      <w:marLeft w:val="0"/>
      <w:marRight w:val="0"/>
      <w:marTop w:val="0"/>
      <w:marBottom w:val="0"/>
      <w:divBdr>
        <w:top w:val="none" w:sz="0" w:space="0" w:color="auto"/>
        <w:left w:val="none" w:sz="0" w:space="0" w:color="auto"/>
        <w:bottom w:val="none" w:sz="0" w:space="0" w:color="auto"/>
        <w:right w:val="none" w:sz="0" w:space="0" w:color="auto"/>
      </w:divBdr>
    </w:div>
    <w:div w:id="713970738">
      <w:bodyDiv w:val="1"/>
      <w:marLeft w:val="0"/>
      <w:marRight w:val="0"/>
      <w:marTop w:val="0"/>
      <w:marBottom w:val="0"/>
      <w:divBdr>
        <w:top w:val="none" w:sz="0" w:space="0" w:color="auto"/>
        <w:left w:val="none" w:sz="0" w:space="0" w:color="auto"/>
        <w:bottom w:val="none" w:sz="0" w:space="0" w:color="auto"/>
        <w:right w:val="none" w:sz="0" w:space="0" w:color="auto"/>
      </w:divBdr>
    </w:div>
    <w:div w:id="718362652">
      <w:bodyDiv w:val="1"/>
      <w:marLeft w:val="0"/>
      <w:marRight w:val="0"/>
      <w:marTop w:val="0"/>
      <w:marBottom w:val="0"/>
      <w:divBdr>
        <w:top w:val="none" w:sz="0" w:space="0" w:color="auto"/>
        <w:left w:val="none" w:sz="0" w:space="0" w:color="auto"/>
        <w:bottom w:val="none" w:sz="0" w:space="0" w:color="auto"/>
        <w:right w:val="none" w:sz="0" w:space="0" w:color="auto"/>
      </w:divBdr>
    </w:div>
    <w:div w:id="1165123828">
      <w:bodyDiv w:val="1"/>
      <w:marLeft w:val="0"/>
      <w:marRight w:val="0"/>
      <w:marTop w:val="0"/>
      <w:marBottom w:val="0"/>
      <w:divBdr>
        <w:top w:val="none" w:sz="0" w:space="0" w:color="auto"/>
        <w:left w:val="none" w:sz="0" w:space="0" w:color="auto"/>
        <w:bottom w:val="none" w:sz="0" w:space="0" w:color="auto"/>
        <w:right w:val="none" w:sz="0" w:space="0" w:color="auto"/>
      </w:divBdr>
    </w:div>
    <w:div w:id="1197889010">
      <w:bodyDiv w:val="1"/>
      <w:marLeft w:val="0"/>
      <w:marRight w:val="0"/>
      <w:marTop w:val="0"/>
      <w:marBottom w:val="0"/>
      <w:divBdr>
        <w:top w:val="none" w:sz="0" w:space="0" w:color="auto"/>
        <w:left w:val="none" w:sz="0" w:space="0" w:color="auto"/>
        <w:bottom w:val="none" w:sz="0" w:space="0" w:color="auto"/>
        <w:right w:val="none" w:sz="0" w:space="0" w:color="auto"/>
      </w:divBdr>
    </w:div>
    <w:div w:id="1280725473">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391732465">
      <w:bodyDiv w:val="1"/>
      <w:marLeft w:val="0"/>
      <w:marRight w:val="0"/>
      <w:marTop w:val="0"/>
      <w:marBottom w:val="0"/>
      <w:divBdr>
        <w:top w:val="none" w:sz="0" w:space="0" w:color="auto"/>
        <w:left w:val="none" w:sz="0" w:space="0" w:color="auto"/>
        <w:bottom w:val="none" w:sz="0" w:space="0" w:color="auto"/>
        <w:right w:val="none" w:sz="0" w:space="0" w:color="auto"/>
      </w:divBdr>
    </w:div>
    <w:div w:id="1541361230">
      <w:bodyDiv w:val="1"/>
      <w:marLeft w:val="0"/>
      <w:marRight w:val="0"/>
      <w:marTop w:val="0"/>
      <w:marBottom w:val="0"/>
      <w:divBdr>
        <w:top w:val="none" w:sz="0" w:space="0" w:color="auto"/>
        <w:left w:val="none" w:sz="0" w:space="0" w:color="auto"/>
        <w:bottom w:val="none" w:sz="0" w:space="0" w:color="auto"/>
        <w:right w:val="none" w:sz="0" w:space="0" w:color="auto"/>
      </w:divBdr>
    </w:div>
    <w:div w:id="1736662881">
      <w:bodyDiv w:val="1"/>
      <w:marLeft w:val="0"/>
      <w:marRight w:val="0"/>
      <w:marTop w:val="0"/>
      <w:marBottom w:val="0"/>
      <w:divBdr>
        <w:top w:val="none" w:sz="0" w:space="0" w:color="auto"/>
        <w:left w:val="none" w:sz="0" w:space="0" w:color="auto"/>
        <w:bottom w:val="none" w:sz="0" w:space="0" w:color="auto"/>
        <w:right w:val="none" w:sz="0" w:space="0" w:color="auto"/>
      </w:divBdr>
    </w:div>
    <w:div w:id="1887255298">
      <w:bodyDiv w:val="1"/>
      <w:marLeft w:val="0"/>
      <w:marRight w:val="0"/>
      <w:marTop w:val="0"/>
      <w:marBottom w:val="0"/>
      <w:divBdr>
        <w:top w:val="none" w:sz="0" w:space="0" w:color="auto"/>
        <w:left w:val="none" w:sz="0" w:space="0" w:color="auto"/>
        <w:bottom w:val="none" w:sz="0" w:space="0" w:color="auto"/>
        <w:right w:val="none" w:sz="0" w:space="0" w:color="auto"/>
      </w:divBdr>
    </w:div>
    <w:div w:id="1912079058">
      <w:bodyDiv w:val="1"/>
      <w:marLeft w:val="0"/>
      <w:marRight w:val="0"/>
      <w:marTop w:val="0"/>
      <w:marBottom w:val="0"/>
      <w:divBdr>
        <w:top w:val="none" w:sz="0" w:space="0" w:color="auto"/>
        <w:left w:val="none" w:sz="0" w:space="0" w:color="auto"/>
        <w:bottom w:val="none" w:sz="0" w:space="0" w:color="auto"/>
        <w:right w:val="none" w:sz="0" w:space="0" w:color="auto"/>
      </w:divBdr>
    </w:div>
    <w:div w:id="2025472779">
      <w:bodyDiv w:val="1"/>
      <w:marLeft w:val="0"/>
      <w:marRight w:val="0"/>
      <w:marTop w:val="0"/>
      <w:marBottom w:val="0"/>
      <w:divBdr>
        <w:top w:val="none" w:sz="0" w:space="0" w:color="auto"/>
        <w:left w:val="none" w:sz="0" w:space="0" w:color="auto"/>
        <w:bottom w:val="none" w:sz="0" w:space="0" w:color="auto"/>
        <w:right w:val="none" w:sz="0" w:space="0" w:color="auto"/>
      </w:divBdr>
    </w:div>
    <w:div w:id="2106463434">
      <w:bodyDiv w:val="1"/>
      <w:marLeft w:val="0"/>
      <w:marRight w:val="0"/>
      <w:marTop w:val="0"/>
      <w:marBottom w:val="0"/>
      <w:divBdr>
        <w:top w:val="none" w:sz="0" w:space="0" w:color="auto"/>
        <w:left w:val="none" w:sz="0" w:space="0" w:color="auto"/>
        <w:bottom w:val="none" w:sz="0" w:space="0" w:color="auto"/>
        <w:right w:val="none" w:sz="0" w:space="0" w:color="auto"/>
      </w:divBdr>
    </w:div>
    <w:div w:id="212723714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6620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abc&#23395;&#2525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07222-54C6-44C3-8530-FABECAD0E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abc季报.dot</Template>
  <TotalTime>200</TotalTime>
  <Pages>12</Pages>
  <Words>1066</Words>
  <Characters>6078</Characters>
  <Application>Microsoft Office Word</Application>
  <DocSecurity>0</DocSecurity>
  <Lines>50</Lines>
  <Paragraphs>14</Paragraphs>
  <ScaleCrop>false</ScaleCrop>
  <Company>TRT. Ltd. Co.</Company>
  <LinksUpToDate>false</LinksUpToDate>
  <CharactersWithSpaces>7130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许帆</cp:lastModifiedBy>
  <cp:revision>373</cp:revision>
  <cp:lastPrinted>2007-07-19T00:46:00Z</cp:lastPrinted>
  <dcterms:created xsi:type="dcterms:W3CDTF">2014-01-17T06:19:00Z</dcterms:created>
  <dcterms:modified xsi:type="dcterms:W3CDTF">2016-07-19T08:55:00Z</dcterms:modified>
</cp:coreProperties>
</file>