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二〇一六年七月二十一日</w:t>
      </w:r>
    </w:p>
    <w:p w:rsidR="00902E3F" w:rsidRPr="000E4C40" w:rsidRDefault="00902E3F" w:rsidP="00835F50">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ED1A64" w:rsidRDefault="00835F50">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D1A64" w:rsidRDefault="00835F50">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D1A64" w:rsidRDefault="00835F50">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D1A64" w:rsidRDefault="00835F50">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D1A64" w:rsidRDefault="00835F50">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35F5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9,326,090.85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9,326,090.85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0.00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35F5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31,648.03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16,413.06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31,648.03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16,413.06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9,326,090.85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w:t>
            </w:r>
          </w:p>
        </w:tc>
      </w:tr>
    </w:tbl>
    <w:p w:rsidR="00ED1A64" w:rsidRDefault="00835F5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ED1A64">
        <w:trPr>
          <w:jc w:val="center"/>
        </w:trPr>
        <w:tc>
          <w:tcPr>
            <w:tcW w:w="1266" w:type="dxa"/>
            <w:vAlign w:val="center"/>
          </w:tcPr>
          <w:p w:rsidR="00ED1A64" w:rsidRDefault="00835F50">
            <w:pPr>
              <w:jc w:val="left"/>
            </w:pPr>
            <w:r>
              <w:rPr>
                <w:color w:val="000000"/>
              </w:rPr>
              <w:t>过去三个月</w:t>
            </w:r>
          </w:p>
        </w:tc>
        <w:tc>
          <w:tcPr>
            <w:tcW w:w="1267" w:type="dxa"/>
            <w:vAlign w:val="center"/>
          </w:tcPr>
          <w:p w:rsidR="00ED1A64" w:rsidRDefault="00835F50">
            <w:pPr>
              <w:jc w:val="center"/>
            </w:pPr>
            <w:r>
              <w:rPr>
                <w:color w:val="000000"/>
              </w:rPr>
              <w:t>0.3383%</w:t>
            </w:r>
          </w:p>
        </w:tc>
        <w:tc>
          <w:tcPr>
            <w:tcW w:w="1267" w:type="dxa"/>
            <w:vAlign w:val="center"/>
          </w:tcPr>
          <w:p w:rsidR="00ED1A64" w:rsidRDefault="00835F50">
            <w:pPr>
              <w:jc w:val="center"/>
            </w:pPr>
            <w:r>
              <w:rPr>
                <w:color w:val="000000"/>
              </w:rPr>
              <w:t>0.0007%</w:t>
            </w:r>
          </w:p>
        </w:tc>
        <w:tc>
          <w:tcPr>
            <w:tcW w:w="1267" w:type="dxa"/>
            <w:vAlign w:val="center"/>
          </w:tcPr>
          <w:p w:rsidR="00ED1A64" w:rsidRDefault="00835F50">
            <w:pPr>
              <w:jc w:val="center"/>
            </w:pPr>
            <w:r>
              <w:rPr>
                <w:color w:val="000000"/>
              </w:rPr>
              <w:t>0.3366%</w:t>
            </w:r>
          </w:p>
        </w:tc>
        <w:tc>
          <w:tcPr>
            <w:tcW w:w="1267" w:type="dxa"/>
            <w:vAlign w:val="center"/>
          </w:tcPr>
          <w:p w:rsidR="00ED1A64" w:rsidRDefault="00835F50">
            <w:pPr>
              <w:jc w:val="center"/>
            </w:pPr>
            <w:r>
              <w:rPr>
                <w:color w:val="000000"/>
              </w:rPr>
              <w:t>0.0000%</w:t>
            </w:r>
          </w:p>
        </w:tc>
        <w:tc>
          <w:tcPr>
            <w:tcW w:w="1267" w:type="dxa"/>
            <w:vAlign w:val="center"/>
          </w:tcPr>
          <w:p w:rsidR="00ED1A64" w:rsidRDefault="00835F50">
            <w:pPr>
              <w:jc w:val="center"/>
            </w:pPr>
            <w:r>
              <w:rPr>
                <w:color w:val="000000"/>
              </w:rPr>
              <w:t>0.0017%</w:t>
            </w:r>
          </w:p>
        </w:tc>
        <w:tc>
          <w:tcPr>
            <w:tcW w:w="1267" w:type="dxa"/>
            <w:vAlign w:val="center"/>
          </w:tcPr>
          <w:p w:rsidR="00ED1A64" w:rsidRDefault="00835F50">
            <w:pPr>
              <w:jc w:val="center"/>
            </w:pPr>
            <w:r>
              <w:rPr>
                <w:color w:val="000000"/>
              </w:rPr>
              <w:t>0.0007%</w:t>
            </w:r>
          </w:p>
        </w:tc>
      </w:tr>
    </w:tbl>
    <w:p w:rsidR="00ED1A64" w:rsidRDefault="00835F5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ED1A64">
        <w:trPr>
          <w:jc w:val="center"/>
        </w:trPr>
        <w:tc>
          <w:tcPr>
            <w:tcW w:w="1266" w:type="dxa"/>
            <w:vAlign w:val="center"/>
          </w:tcPr>
          <w:p w:rsidR="00ED1A64" w:rsidRDefault="00835F50">
            <w:pPr>
              <w:jc w:val="left"/>
            </w:pPr>
            <w:r>
              <w:rPr>
                <w:color w:val="000000"/>
              </w:rPr>
              <w:t>过去三个月</w:t>
            </w:r>
          </w:p>
        </w:tc>
        <w:tc>
          <w:tcPr>
            <w:tcW w:w="1267" w:type="dxa"/>
            <w:vAlign w:val="center"/>
          </w:tcPr>
          <w:p w:rsidR="00ED1A64" w:rsidRDefault="00835F50">
            <w:pPr>
              <w:jc w:val="center"/>
            </w:pPr>
            <w:r>
              <w:rPr>
                <w:color w:val="000000"/>
              </w:rPr>
              <w:t>0.0538%</w:t>
            </w:r>
          </w:p>
        </w:tc>
        <w:tc>
          <w:tcPr>
            <w:tcW w:w="1267" w:type="dxa"/>
            <w:vAlign w:val="center"/>
          </w:tcPr>
          <w:p w:rsidR="00ED1A64" w:rsidRDefault="00835F50">
            <w:pPr>
              <w:jc w:val="center"/>
            </w:pPr>
            <w:r>
              <w:rPr>
                <w:color w:val="000000"/>
              </w:rPr>
              <w:t>0.0017%</w:t>
            </w:r>
          </w:p>
        </w:tc>
        <w:tc>
          <w:tcPr>
            <w:tcW w:w="1267" w:type="dxa"/>
            <w:vAlign w:val="center"/>
          </w:tcPr>
          <w:p w:rsidR="00ED1A64" w:rsidRDefault="00835F50">
            <w:pPr>
              <w:jc w:val="center"/>
            </w:pPr>
            <w:r>
              <w:rPr>
                <w:color w:val="000000"/>
              </w:rPr>
              <w:t>0.3366%</w:t>
            </w:r>
          </w:p>
        </w:tc>
        <w:tc>
          <w:tcPr>
            <w:tcW w:w="1267" w:type="dxa"/>
            <w:vAlign w:val="center"/>
          </w:tcPr>
          <w:p w:rsidR="00ED1A64" w:rsidRDefault="00835F50">
            <w:pPr>
              <w:jc w:val="center"/>
            </w:pPr>
            <w:r>
              <w:rPr>
                <w:color w:val="000000"/>
              </w:rPr>
              <w:t>0.0000%</w:t>
            </w:r>
          </w:p>
        </w:tc>
        <w:tc>
          <w:tcPr>
            <w:tcW w:w="1267" w:type="dxa"/>
            <w:vAlign w:val="center"/>
          </w:tcPr>
          <w:p w:rsidR="00ED1A64" w:rsidRDefault="00835F50">
            <w:pPr>
              <w:jc w:val="center"/>
            </w:pPr>
            <w:r>
              <w:rPr>
                <w:color w:val="000000"/>
              </w:rPr>
              <w:t>-0.2828%</w:t>
            </w:r>
          </w:p>
        </w:tc>
        <w:tc>
          <w:tcPr>
            <w:tcW w:w="1267" w:type="dxa"/>
            <w:vAlign w:val="center"/>
          </w:tcPr>
          <w:p w:rsidR="00ED1A64" w:rsidRDefault="00835F50">
            <w:pPr>
              <w:jc w:val="center"/>
            </w:pPr>
            <w:r>
              <w:rPr>
                <w:color w:val="000000"/>
              </w:rPr>
              <w:t>0.0017%</w:t>
            </w:r>
          </w:p>
        </w:tc>
      </w:tr>
    </w:tbl>
    <w:p w:rsidR="00ED1A64" w:rsidRDefault="00835F5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35F5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ED1A64">
        <w:trPr>
          <w:jc w:val="center"/>
        </w:trPr>
        <w:tc>
          <w:tcPr>
            <w:tcW w:w="945" w:type="dxa"/>
            <w:vAlign w:val="center"/>
          </w:tcPr>
          <w:p w:rsidR="00ED1A64" w:rsidRDefault="00835F50">
            <w:pPr>
              <w:jc w:val="center"/>
            </w:pPr>
            <w:r>
              <w:rPr>
                <w:color w:val="000000"/>
                <w:sz w:val="24"/>
              </w:rPr>
              <w:t>连端清</w:t>
            </w:r>
          </w:p>
        </w:tc>
        <w:tc>
          <w:tcPr>
            <w:tcW w:w="1589" w:type="dxa"/>
            <w:vAlign w:val="center"/>
          </w:tcPr>
          <w:p w:rsidR="00ED1A64" w:rsidRDefault="00835F50">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478" w:type="dxa"/>
            <w:vAlign w:val="center"/>
          </w:tcPr>
          <w:p w:rsidR="00ED1A64" w:rsidRDefault="00835F50">
            <w:pPr>
              <w:jc w:val="center"/>
            </w:pPr>
            <w:r>
              <w:rPr>
                <w:color w:val="000000"/>
                <w:sz w:val="24"/>
              </w:rPr>
              <w:t>2015-10-16</w:t>
            </w:r>
          </w:p>
        </w:tc>
        <w:tc>
          <w:tcPr>
            <w:tcW w:w="1478" w:type="dxa"/>
            <w:vAlign w:val="center"/>
          </w:tcPr>
          <w:p w:rsidR="00ED1A64" w:rsidRDefault="00835F50">
            <w:pPr>
              <w:jc w:val="center"/>
            </w:pPr>
            <w:r>
              <w:rPr>
                <w:color w:val="000000"/>
                <w:sz w:val="24"/>
              </w:rPr>
              <w:t>-</w:t>
            </w:r>
          </w:p>
        </w:tc>
        <w:tc>
          <w:tcPr>
            <w:tcW w:w="986" w:type="dxa"/>
            <w:vAlign w:val="center"/>
          </w:tcPr>
          <w:p w:rsidR="00ED1A64" w:rsidRDefault="00835F50">
            <w:pPr>
              <w:jc w:val="center"/>
            </w:pPr>
            <w:r>
              <w:rPr>
                <w:color w:val="000000"/>
                <w:sz w:val="24"/>
              </w:rPr>
              <w:t>5</w:t>
            </w:r>
            <w:r>
              <w:rPr>
                <w:color w:val="000000"/>
                <w:sz w:val="24"/>
              </w:rPr>
              <w:t>年</w:t>
            </w:r>
          </w:p>
        </w:tc>
        <w:tc>
          <w:tcPr>
            <w:tcW w:w="2392" w:type="dxa"/>
            <w:vAlign w:val="center"/>
          </w:tcPr>
          <w:p w:rsidR="00ED1A64" w:rsidRDefault="00835F5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ED1A64" w:rsidRDefault="00835F50">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C4627A" w:rsidRPr="000E4C40" w:rsidRDefault="00C4627A" w:rsidP="00281564">
      <w:pPr>
        <w:spacing w:before="29" w:line="288" w:lineRule="auto"/>
        <w:ind w:firstLineChars="200" w:firstLine="480"/>
        <w:rPr>
          <w:color w:val="000000"/>
          <w:sz w:val="24"/>
        </w:rPr>
      </w:pPr>
      <w:r w:rsidRPr="000E4C40">
        <w:rPr>
          <w:color w:val="000000"/>
          <w:sz w:val="24"/>
        </w:rPr>
        <w:t>中国证监会于</w:t>
      </w:r>
      <w:r w:rsidRPr="000E4C40">
        <w:rPr>
          <w:color w:val="000000"/>
          <w:sz w:val="24"/>
        </w:rPr>
        <w:t>2015</w:t>
      </w:r>
      <w:r w:rsidRPr="000E4C40">
        <w:rPr>
          <w:color w:val="000000"/>
          <w:sz w:val="24"/>
        </w:rPr>
        <w:t>年对公司进行了</w:t>
      </w:r>
      <w:r w:rsidRPr="000E4C40">
        <w:rPr>
          <w:color w:val="000000"/>
          <w:sz w:val="24"/>
        </w:rPr>
        <w:t>“</w:t>
      </w:r>
      <w:r w:rsidRPr="000E4C40">
        <w:rPr>
          <w:color w:val="000000"/>
          <w:sz w:val="24"/>
        </w:rPr>
        <w:t>两加强两遏制</w:t>
      </w:r>
      <w:r w:rsidRPr="000E4C40">
        <w:rPr>
          <w:color w:val="000000"/>
          <w:sz w:val="24"/>
        </w:rPr>
        <w:t>”</w:t>
      </w:r>
      <w:r w:rsidRPr="000E4C40">
        <w:rPr>
          <w:color w:val="000000"/>
          <w:sz w:val="24"/>
        </w:rPr>
        <w:t>检查，后续并就公司内部控制提出了相应改进意见及采取责令改正的行政监管措施。公司已经完成了相关问题的整改，并已向监管部门上报了专项报告。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ED1A64" w:rsidRDefault="00835F5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D1A64" w:rsidRDefault="00835F5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D1A64" w:rsidRDefault="00835F5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次，是由于投资组合被动超标的合规调整需要而发生同日反向交易，未发现不公平交易和利益输送的情况。本基金与本公司管理的其他投资组合在不同时间窗下（如日内、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ED1A64" w:rsidRDefault="00835F50">
      <w:pPr>
        <w:spacing w:before="29" w:line="288" w:lineRule="auto"/>
        <w:ind w:firstLineChars="200" w:firstLine="480"/>
        <w:rPr>
          <w:color w:val="000000"/>
          <w:sz w:val="24"/>
        </w:rPr>
      </w:pPr>
      <w:r>
        <w:rPr>
          <w:color w:val="000000"/>
          <w:sz w:val="24"/>
        </w:rPr>
        <w:t>2016</w:t>
      </w:r>
      <w:r>
        <w:rPr>
          <w:color w:val="000000"/>
          <w:sz w:val="24"/>
        </w:rPr>
        <w:t>年二季度，房价飙升引发各界担忧，部分城市开始再次收紧房地产政策。</w:t>
      </w:r>
      <w:r>
        <w:rPr>
          <w:color w:val="000000"/>
          <w:sz w:val="24"/>
        </w:rPr>
        <w:t>5</w:t>
      </w:r>
      <w:r>
        <w:rPr>
          <w:color w:val="000000"/>
          <w:sz w:val="24"/>
        </w:rPr>
        <w:t>月份权威人士指出未来几年经济呈</w:t>
      </w:r>
      <w:r>
        <w:rPr>
          <w:color w:val="000000"/>
          <w:sz w:val="24"/>
        </w:rPr>
        <w:t>L</w:t>
      </w:r>
      <w:r>
        <w:rPr>
          <w:color w:val="000000"/>
          <w:sz w:val="24"/>
        </w:rPr>
        <w:t>型走势，强调</w:t>
      </w:r>
      <w:r>
        <w:rPr>
          <w:color w:val="000000"/>
          <w:sz w:val="24"/>
        </w:rPr>
        <w:t>“</w:t>
      </w:r>
      <w:r>
        <w:rPr>
          <w:color w:val="000000"/>
          <w:sz w:val="24"/>
        </w:rPr>
        <w:t>坚定不移以推进供给侧结构性改革为主线</w:t>
      </w:r>
      <w:r>
        <w:rPr>
          <w:color w:val="000000"/>
          <w:sz w:val="24"/>
        </w:rPr>
        <w:t>……</w:t>
      </w:r>
      <w:r>
        <w:rPr>
          <w:color w:val="000000"/>
          <w:sz w:val="24"/>
        </w:rPr>
        <w:t>不能也没必要用加杠杆的办法硬推经济增长</w:t>
      </w:r>
      <w:r>
        <w:rPr>
          <w:color w:val="000000"/>
          <w:sz w:val="24"/>
        </w:rPr>
        <w:t>”</w:t>
      </w:r>
      <w:r>
        <w:rPr>
          <w:color w:val="000000"/>
          <w:sz w:val="24"/>
        </w:rPr>
        <w:t>。</w:t>
      </w:r>
      <w:r>
        <w:rPr>
          <w:color w:val="000000"/>
          <w:sz w:val="24"/>
        </w:rPr>
        <w:t>4</w:t>
      </w:r>
      <w:r>
        <w:rPr>
          <w:color w:val="000000"/>
          <w:sz w:val="24"/>
        </w:rPr>
        <w:t>月份房地产投资增速虽然惯性上冲到</w:t>
      </w:r>
      <w:r>
        <w:rPr>
          <w:color w:val="000000"/>
          <w:sz w:val="24"/>
        </w:rPr>
        <w:t>7.2%</w:t>
      </w:r>
      <w:r>
        <w:rPr>
          <w:color w:val="000000"/>
          <w:sz w:val="24"/>
        </w:rPr>
        <w:t>，但</w:t>
      </w:r>
      <w:r>
        <w:rPr>
          <w:color w:val="000000"/>
          <w:sz w:val="24"/>
        </w:rPr>
        <w:t>5</w:t>
      </w:r>
      <w:r>
        <w:rPr>
          <w:color w:val="000000"/>
          <w:sz w:val="24"/>
        </w:rPr>
        <w:t>月份回落至</w:t>
      </w:r>
      <w:r>
        <w:rPr>
          <w:color w:val="000000"/>
          <w:sz w:val="24"/>
        </w:rPr>
        <w:t>7%</w:t>
      </w:r>
      <w:r>
        <w:rPr>
          <w:color w:val="000000"/>
          <w:sz w:val="24"/>
        </w:rPr>
        <w:t>。二季度</w:t>
      </w:r>
      <w:r>
        <w:rPr>
          <w:color w:val="000000"/>
          <w:sz w:val="24"/>
        </w:rPr>
        <w:t>CPI</w:t>
      </w:r>
      <w:r>
        <w:rPr>
          <w:color w:val="000000"/>
          <w:sz w:val="24"/>
        </w:rPr>
        <w:t>与中采</w:t>
      </w:r>
      <w:r>
        <w:rPr>
          <w:color w:val="000000"/>
          <w:sz w:val="24"/>
        </w:rPr>
        <w:t>PMI</w:t>
      </w:r>
      <w:r>
        <w:rPr>
          <w:color w:val="000000"/>
          <w:sz w:val="24"/>
        </w:rPr>
        <w:t>也呈回落态势。货币政策上，央行通过公开市场操作与定向工具来维持适度宽松的流动性，公开市场净投放力度较</w:t>
      </w:r>
      <w:r>
        <w:rPr>
          <w:color w:val="000000"/>
          <w:sz w:val="24"/>
        </w:rPr>
        <w:t>2016</w:t>
      </w:r>
      <w:r>
        <w:rPr>
          <w:color w:val="000000"/>
          <w:sz w:val="24"/>
        </w:rPr>
        <w:t>年一季度增强。</w:t>
      </w:r>
    </w:p>
    <w:p w:rsidR="00ED1A64" w:rsidRDefault="00835F50">
      <w:pPr>
        <w:spacing w:before="29" w:line="288" w:lineRule="auto"/>
        <w:ind w:firstLineChars="200" w:firstLine="480"/>
        <w:rPr>
          <w:color w:val="000000"/>
          <w:sz w:val="24"/>
        </w:rPr>
      </w:pPr>
      <w:r>
        <w:rPr>
          <w:color w:val="000000"/>
          <w:sz w:val="24"/>
        </w:rPr>
        <w:t>2016</w:t>
      </w:r>
      <w:r>
        <w:rPr>
          <w:color w:val="000000"/>
          <w:sz w:val="24"/>
        </w:rPr>
        <w:t>年二季度在央行呵护下市场资金面整体上相对宽松，债市波动较大。</w:t>
      </w:r>
      <w:r>
        <w:rPr>
          <w:color w:val="000000"/>
          <w:sz w:val="24"/>
        </w:rPr>
        <w:t>4</w:t>
      </w:r>
      <w:r>
        <w:rPr>
          <w:color w:val="000000"/>
          <w:sz w:val="24"/>
        </w:rPr>
        <w:t>月份，受中铁物资等信用违约事件超预期影响，政金债及信用债收益率快速大幅回调。</w:t>
      </w:r>
      <w:r>
        <w:rPr>
          <w:color w:val="000000"/>
          <w:sz w:val="24"/>
        </w:rPr>
        <w:t>5</w:t>
      </w:r>
      <w:r>
        <w:rPr>
          <w:color w:val="000000"/>
          <w:sz w:val="24"/>
        </w:rPr>
        <w:t>月份及</w:t>
      </w:r>
      <w:r>
        <w:rPr>
          <w:color w:val="000000"/>
          <w:sz w:val="24"/>
        </w:rPr>
        <w:t>6</w:t>
      </w:r>
      <w:r>
        <w:rPr>
          <w:color w:val="000000"/>
          <w:sz w:val="24"/>
        </w:rPr>
        <w:t>月份，债市迎来诸多利好，经济走弱，信用事件相对平稳，市场资金面宽松，同时在美联储加息预期减弱及英国退欧风险冲击下，债市再度大涨。</w:t>
      </w:r>
    </w:p>
    <w:p w:rsidR="00ED1A64" w:rsidRDefault="00835F50">
      <w:pPr>
        <w:spacing w:before="29" w:line="288" w:lineRule="auto"/>
        <w:ind w:firstLineChars="200" w:firstLine="480"/>
        <w:rPr>
          <w:color w:val="000000"/>
          <w:sz w:val="24"/>
        </w:rPr>
      </w:pPr>
      <w:r>
        <w:rPr>
          <w:color w:val="000000"/>
          <w:sz w:val="24"/>
        </w:rPr>
        <w:t>基金操作方面，报告期内本基金规模较小，在资产类别配置上以同业存款及利率债为主，同时符合各项风控要求。</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2016</w:t>
      </w:r>
      <w:r w:rsidRPr="000E4C40">
        <w:rPr>
          <w:color w:val="000000"/>
          <w:sz w:val="24"/>
        </w:rPr>
        <w:t>年三季度，房地产投资较大概率走弱，基建投资可能维持一定的增速，央行货币政策操作思路预计以中性偏松为主，主要以定向工具及公开市场操作为主来调节流动性。组合管理方面，本基金将密切关注国内外经济走势与央行货币政策动态，保持较好流动性，紧抓市场机会，同时控制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0.3383%</w:t>
      </w:r>
      <w:r w:rsidRPr="000E4C40">
        <w:rPr>
          <w:color w:val="000000"/>
          <w:sz w:val="24"/>
        </w:rPr>
        <w:t>，同期业绩比较基准收益率为</w:t>
      </w:r>
      <w:r w:rsidRPr="000E4C40">
        <w:rPr>
          <w:color w:val="000000"/>
          <w:sz w:val="24"/>
        </w:rPr>
        <w:t>0.3366%</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0.0538%</w:t>
      </w:r>
      <w:r w:rsidRPr="000E4C40">
        <w:rPr>
          <w:color w:val="000000"/>
          <w:sz w:val="24"/>
        </w:rPr>
        <w:t>，同期业绩比较基准收益率为</w:t>
      </w:r>
      <w:r w:rsidRPr="000E4C40">
        <w:rPr>
          <w:color w:val="000000"/>
          <w:sz w:val="24"/>
        </w:rPr>
        <w:t>0.3366%</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32285C">
        <w:rPr>
          <w:b/>
          <w:color w:val="000000"/>
          <w:kern w:val="0"/>
          <w:sz w:val="24"/>
        </w:rPr>
        <w:t xml:space="preserve"> </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截至本报告期末，本基金已经连续六十个工作日以上出现基金资产净值低于五千万元的情形，基金管理人拟加大营销力度，提升基金规模。</w:t>
      </w:r>
    </w:p>
    <w:p w:rsidR="0010236C" w:rsidRDefault="0010236C" w:rsidP="0010236C">
      <w:pPr>
        <w:spacing w:before="29" w:line="288" w:lineRule="auto"/>
        <w:ind w:firstLineChars="200" w:firstLine="480"/>
        <w:rPr>
          <w:color w:val="000000"/>
          <w:sz w:val="24"/>
        </w:rPr>
      </w:pPr>
    </w:p>
    <w:p w:rsidR="00902E3F" w:rsidRPr="000E4C40" w:rsidRDefault="00902E3F" w:rsidP="00835F5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2,995,375.39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2,995,375.39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6,353,469.56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67.56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55,135.91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9,403,980.86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2</w:t>
            </w:r>
          </w:p>
        </w:tc>
      </w:tr>
    </w:tbl>
    <w:p w:rsidR="00835F50" w:rsidRDefault="00835F50" w:rsidP="00835F50">
      <w:pPr>
        <w:spacing w:before="29" w:line="288" w:lineRule="auto"/>
        <w:rPr>
          <w:rFonts w:hAnsi="宋体"/>
          <w:b/>
          <w:color w:val="000000"/>
          <w:kern w:val="0"/>
          <w:sz w:val="24"/>
        </w:rPr>
      </w:pPr>
      <w:bookmarkStart w:id="2" w:name="_GoBack"/>
    </w:p>
    <w:p w:rsidR="00835F50" w:rsidRPr="000E4C40" w:rsidRDefault="00835F50" w:rsidP="00835F50">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835F50" w:rsidRPr="000E4C40" w:rsidRDefault="00835F50" w:rsidP="00835F50">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bookmarkEnd w:id="2"/>
    <w:p w:rsidR="007521F9" w:rsidRPr="00835F50" w:rsidRDefault="007521F9" w:rsidP="00281564">
      <w:pPr>
        <w:spacing w:before="29" w:line="288" w:lineRule="auto"/>
        <w:rPr>
          <w:b/>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35.96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32.17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w:t>
            </w:r>
            <w:r w:rsidR="005B6487">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5B6487" w:rsidP="00281564">
            <w:pPr>
              <w:autoSpaceDE w:val="0"/>
              <w:autoSpaceDN w:val="0"/>
              <w:adjustRightInd w:val="0"/>
              <w:spacing w:before="29" w:line="288" w:lineRule="auto"/>
              <w:ind w:left="15"/>
              <w:jc w:val="left"/>
              <w:rPr>
                <w:color w:val="000000"/>
                <w:sz w:val="24"/>
              </w:rPr>
            </w:pPr>
            <w:r>
              <w:rPr>
                <w:color w:val="000000"/>
                <w:sz w:val="24"/>
              </w:rPr>
              <w:t>180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32.12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100.25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835F50">
        <w:rPr>
          <w:rFonts w:hint="eastAsia"/>
          <w:b/>
          <w:color w:val="000000"/>
          <w:kern w:val="0"/>
          <w:sz w:val="24"/>
        </w:rPr>
        <w:t>4</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2,995,375.39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2,995,375.39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2,995,375.39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32.12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835F50">
        <w:rPr>
          <w:rFonts w:hint="eastAsia"/>
          <w:b/>
          <w:color w:val="000000"/>
          <w:kern w:val="0"/>
          <w:sz w:val="24"/>
        </w:rPr>
        <w:t>5</w:t>
      </w:r>
      <w:r w:rsidR="00835F50"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1114"/>
        <w:gridCol w:w="1240"/>
        <w:gridCol w:w="1447"/>
        <w:gridCol w:w="1198"/>
        <w:gridCol w:w="2270"/>
        <w:gridCol w:w="159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ED1A64">
        <w:trPr>
          <w:jc w:val="center"/>
        </w:trPr>
        <w:tc>
          <w:tcPr>
            <w:tcW w:w="0" w:type="auto"/>
            <w:vAlign w:val="center"/>
          </w:tcPr>
          <w:p w:rsidR="00ED1A64" w:rsidRDefault="00835F50">
            <w:pPr>
              <w:jc w:val="center"/>
            </w:pPr>
            <w:r>
              <w:rPr>
                <w:color w:val="000000"/>
                <w:sz w:val="24"/>
              </w:rPr>
              <w:t>1</w:t>
            </w:r>
          </w:p>
        </w:tc>
        <w:tc>
          <w:tcPr>
            <w:tcW w:w="0" w:type="auto"/>
            <w:vAlign w:val="center"/>
          </w:tcPr>
          <w:p w:rsidR="00ED1A64" w:rsidRDefault="00835F50">
            <w:pPr>
              <w:jc w:val="center"/>
            </w:pPr>
            <w:r>
              <w:rPr>
                <w:color w:val="000000"/>
                <w:sz w:val="24"/>
              </w:rPr>
              <w:t>160401</w:t>
            </w:r>
          </w:p>
        </w:tc>
        <w:tc>
          <w:tcPr>
            <w:tcW w:w="0" w:type="auto"/>
            <w:vAlign w:val="center"/>
          </w:tcPr>
          <w:p w:rsidR="00ED1A64" w:rsidRDefault="00835F50">
            <w:pPr>
              <w:jc w:val="center"/>
            </w:pPr>
            <w:r>
              <w:rPr>
                <w:color w:val="000000"/>
                <w:sz w:val="24"/>
              </w:rPr>
              <w:t>16</w:t>
            </w:r>
            <w:r>
              <w:rPr>
                <w:color w:val="000000"/>
                <w:sz w:val="24"/>
              </w:rPr>
              <w:t>农发</w:t>
            </w:r>
            <w:r>
              <w:rPr>
                <w:color w:val="000000"/>
                <w:sz w:val="24"/>
              </w:rPr>
              <w:t>01</w:t>
            </w:r>
          </w:p>
        </w:tc>
        <w:tc>
          <w:tcPr>
            <w:tcW w:w="0" w:type="auto"/>
            <w:vAlign w:val="center"/>
          </w:tcPr>
          <w:p w:rsidR="00ED1A64" w:rsidRDefault="00835F50">
            <w:pPr>
              <w:jc w:val="right"/>
            </w:pPr>
            <w:r>
              <w:rPr>
                <w:color w:val="000000"/>
                <w:sz w:val="24"/>
              </w:rPr>
              <w:t>30,000</w:t>
            </w:r>
          </w:p>
        </w:tc>
        <w:tc>
          <w:tcPr>
            <w:tcW w:w="0" w:type="auto"/>
            <w:vAlign w:val="center"/>
          </w:tcPr>
          <w:p w:rsidR="00ED1A64" w:rsidRDefault="00835F50">
            <w:pPr>
              <w:jc w:val="right"/>
            </w:pPr>
            <w:r>
              <w:rPr>
                <w:color w:val="000000"/>
                <w:sz w:val="24"/>
              </w:rPr>
              <w:t>2,995,375.39</w:t>
            </w:r>
          </w:p>
        </w:tc>
        <w:tc>
          <w:tcPr>
            <w:tcW w:w="0" w:type="auto"/>
            <w:vAlign w:val="center"/>
          </w:tcPr>
          <w:p w:rsidR="00ED1A64" w:rsidRDefault="00835F50">
            <w:pPr>
              <w:jc w:val="right"/>
            </w:pPr>
            <w:r>
              <w:rPr>
                <w:color w:val="000000"/>
                <w:sz w:val="24"/>
              </w:rPr>
              <w:t>32.12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835F50">
        <w:rPr>
          <w:rFonts w:hint="eastAsia"/>
          <w:b/>
          <w:color w:val="000000"/>
          <w:kern w:val="0"/>
          <w:sz w:val="24"/>
        </w:rPr>
        <w:t>6</w:t>
      </w:r>
      <w:r w:rsidR="00835F50"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0.0623%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CC7D84" w:rsidP="00281564">
            <w:pPr>
              <w:spacing w:before="29" w:line="288" w:lineRule="auto"/>
              <w:jc w:val="right"/>
              <w:rPr>
                <w:sz w:val="24"/>
              </w:rPr>
            </w:pPr>
            <w:r w:rsidRPr="0052189E">
              <w:rPr>
                <w:color w:val="000000"/>
                <w:sz w:val="24"/>
              </w:rPr>
              <w:t>0.0000%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0.0306%</w:t>
            </w:r>
          </w:p>
        </w:tc>
      </w:tr>
    </w:tbl>
    <w:p w:rsidR="00BE5584" w:rsidRDefault="00BE5584"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835F50">
        <w:rPr>
          <w:rFonts w:hint="eastAsia"/>
          <w:b/>
          <w:color w:val="000000"/>
          <w:kern w:val="0"/>
          <w:sz w:val="24"/>
        </w:rPr>
        <w:t>7</w:t>
      </w:r>
      <w:r w:rsidR="00835F50"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835F50">
        <w:rPr>
          <w:rFonts w:hint="eastAsia"/>
          <w:b/>
          <w:color w:val="000000"/>
          <w:kern w:val="0"/>
          <w:sz w:val="24"/>
        </w:rPr>
        <w:t>8</w:t>
      </w:r>
      <w:r w:rsidR="00835F50"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w:t>
      </w:r>
      <w:r w:rsidR="00835F50">
        <w:rPr>
          <w:rFonts w:hint="eastAsia"/>
          <w:sz w:val="24"/>
        </w:rPr>
        <w:t>8</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835F50" w:rsidRPr="000E4C40" w:rsidRDefault="00835F50" w:rsidP="00835F50">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2304D5" w:rsidP="00281564">
      <w:pPr>
        <w:adjustRightInd w:val="0"/>
        <w:spacing w:before="29" w:line="288" w:lineRule="auto"/>
        <w:ind w:left="17"/>
        <w:rPr>
          <w:color w:val="000000"/>
          <w:sz w:val="24"/>
        </w:rPr>
      </w:pPr>
      <w:r>
        <w:rPr>
          <w:bCs/>
          <w:sz w:val="24"/>
        </w:rPr>
        <w:t>5.</w:t>
      </w:r>
      <w:r w:rsidR="00835F50">
        <w:rPr>
          <w:rFonts w:hint="eastAsia"/>
          <w:bCs/>
          <w:sz w:val="24"/>
        </w:rPr>
        <w:t>8</w:t>
      </w:r>
      <w:r w:rsidR="00EB25E4" w:rsidRPr="000E4C40">
        <w:rPr>
          <w:bCs/>
          <w:sz w:val="24"/>
        </w:rPr>
        <w:t>.</w:t>
      </w:r>
      <w:r w:rsidR="00835F50">
        <w:rPr>
          <w:rFonts w:hint="eastAsia"/>
          <w:bCs/>
          <w:sz w:val="24"/>
        </w:rPr>
        <w:t>3</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835F5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w:t>
      </w:r>
      <w:r w:rsidR="00835F50">
        <w:rPr>
          <w:rFonts w:hint="eastAsia"/>
          <w:color w:val="000000"/>
          <w:kern w:val="0"/>
          <w:sz w:val="24"/>
        </w:rPr>
        <w:t>8</w:t>
      </w:r>
      <w:r w:rsidR="009D74FC" w:rsidRPr="000E4C40">
        <w:rPr>
          <w:color w:val="000000"/>
          <w:kern w:val="0"/>
          <w:sz w:val="24"/>
        </w:rPr>
        <w:t>.</w:t>
      </w:r>
      <w:r w:rsidR="00835F50">
        <w:rPr>
          <w:rFonts w:hint="eastAsia"/>
          <w:color w:val="000000"/>
          <w:kern w:val="0"/>
          <w:sz w:val="24"/>
        </w:rPr>
        <w:t>4</w:t>
      </w:r>
      <w:r w:rsidR="00835F50"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55,135.91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55,135.91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w:t>
      </w:r>
      <w:r w:rsidR="00835F50">
        <w:rPr>
          <w:rFonts w:hint="eastAsia"/>
          <w:color w:val="000000"/>
          <w:kern w:val="0"/>
          <w:sz w:val="24"/>
        </w:rPr>
        <w:t>8</w:t>
      </w:r>
      <w:r>
        <w:rPr>
          <w:color w:val="000000"/>
          <w:kern w:val="0"/>
          <w:sz w:val="24"/>
        </w:rPr>
        <w:t>.</w:t>
      </w:r>
      <w:r w:rsidR="00835F50">
        <w:rPr>
          <w:rFonts w:hint="eastAsia"/>
          <w:color w:val="000000"/>
          <w:kern w:val="0"/>
          <w:sz w:val="24"/>
        </w:rPr>
        <w:t>5</w:t>
      </w:r>
      <w:r w:rsidR="00835F50"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35F5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9,298,542.96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30,463,926.68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135,184.80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1,500.00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107,636.91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30,465,426.68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9,326,090.85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0.00</w:t>
            </w:r>
          </w:p>
        </w:tc>
      </w:tr>
    </w:tbl>
    <w:p w:rsidR="00ED1A64" w:rsidRDefault="00835F5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35F50">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35F50">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ED1A64" w:rsidRDefault="00835F50">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ED1A64" w:rsidRDefault="00835F50">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ED1A64" w:rsidRDefault="00835F50">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ED1A64" w:rsidRDefault="00835F50">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ED1A64" w:rsidRDefault="00835F50">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ED1A64" w:rsidRDefault="00835F5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D1A64" w:rsidRDefault="00835F5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ED1A64" w:rsidRDefault="00835F5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6C" w:rsidRDefault="0005696C">
      <w:r>
        <w:separator/>
      </w:r>
    </w:p>
  </w:endnote>
  <w:endnote w:type="continuationSeparator" w:id="0">
    <w:p w:rsidR="0005696C" w:rsidRDefault="0005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ED1A64">
      <w:rPr>
        <w:kern w:val="0"/>
        <w:szCs w:val="21"/>
      </w:rPr>
      <w:fldChar w:fldCharType="begin"/>
    </w:r>
    <w:r>
      <w:rPr>
        <w:kern w:val="0"/>
        <w:szCs w:val="21"/>
      </w:rPr>
      <w:instrText xml:space="preserve"> PAGE </w:instrText>
    </w:r>
    <w:r w:rsidR="00ED1A64">
      <w:rPr>
        <w:kern w:val="0"/>
        <w:szCs w:val="21"/>
      </w:rPr>
      <w:fldChar w:fldCharType="separate"/>
    </w:r>
    <w:r w:rsidR="0052189E">
      <w:rPr>
        <w:noProof/>
        <w:kern w:val="0"/>
        <w:szCs w:val="21"/>
      </w:rPr>
      <w:t>9</w:t>
    </w:r>
    <w:r w:rsidR="00ED1A64">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ED1A64">
      <w:rPr>
        <w:rFonts w:hint="eastAsia"/>
        <w:kern w:val="0"/>
        <w:szCs w:val="21"/>
      </w:rPr>
      <w:fldChar w:fldCharType="begin"/>
    </w:r>
    <w:r>
      <w:rPr>
        <w:kern w:val="0"/>
        <w:szCs w:val="21"/>
      </w:rPr>
      <w:instrText xml:space="preserve"> NUMPAGES </w:instrText>
    </w:r>
    <w:r w:rsidR="00ED1A64">
      <w:rPr>
        <w:rFonts w:hint="eastAsia"/>
        <w:kern w:val="0"/>
        <w:szCs w:val="21"/>
      </w:rPr>
      <w:fldChar w:fldCharType="separate"/>
    </w:r>
    <w:r w:rsidR="0052189E">
      <w:rPr>
        <w:noProof/>
        <w:kern w:val="0"/>
        <w:szCs w:val="21"/>
      </w:rPr>
      <w:t>13</w:t>
    </w:r>
    <w:r w:rsidR="00ED1A64">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6C" w:rsidRDefault="0005696C">
      <w:r>
        <w:separator/>
      </w:r>
    </w:p>
  </w:footnote>
  <w:footnote w:type="continuationSeparator" w:id="0">
    <w:p w:rsidR="0005696C" w:rsidRDefault="00056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696C"/>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85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189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B6487"/>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5F50"/>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84"/>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451"/>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A64"/>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855DFE65-9661-423E-BC70-F0E0DFE2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73808A4-C089-43C0-A3CF-6CF3637D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13</Pages>
  <Words>1042</Words>
  <Characters>5941</Characters>
  <Application>Microsoft Office Word</Application>
  <DocSecurity>0</DocSecurity>
  <Lines>49</Lines>
  <Paragraphs>13</Paragraphs>
  <ScaleCrop>false</ScaleCrop>
  <Company>jysld</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315</cp:revision>
  <cp:lastPrinted>2009-01-22T10:11:00Z</cp:lastPrinted>
  <dcterms:created xsi:type="dcterms:W3CDTF">2012-11-21T05:49:00Z</dcterms:created>
  <dcterms:modified xsi:type="dcterms:W3CDTF">2016-07-19T06:53:00Z</dcterms:modified>
</cp:coreProperties>
</file>