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交银施罗德消费新驱动股票型证券投资基金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二〇一六年七月二十一日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5F2E25" w:rsidRDefault="003A323F">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F2E25" w:rsidRDefault="003A323F">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2016</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F2E25" w:rsidRDefault="003A323F">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F2E25" w:rsidRDefault="003A323F">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F2E25" w:rsidRDefault="003A323F">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交银消费新驱动股票</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519714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519714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519715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2015</w:t>
            </w:r>
            <w:r w:rsidRPr="00414345">
              <w:rPr>
                <w:color w:val="000000"/>
                <w:kern w:val="0"/>
                <w:sz w:val="24"/>
                <w:szCs w:val="24"/>
              </w:rPr>
              <w:t>年</w:t>
            </w:r>
            <w:r w:rsidRPr="00414345">
              <w:rPr>
                <w:color w:val="000000"/>
                <w:kern w:val="0"/>
                <w:sz w:val="24"/>
                <w:szCs w:val="24"/>
              </w:rPr>
              <w:t>7</w:t>
            </w:r>
            <w:r w:rsidRPr="00414345">
              <w:rPr>
                <w:color w:val="000000"/>
                <w:kern w:val="0"/>
                <w:sz w:val="24"/>
                <w:szCs w:val="24"/>
              </w:rPr>
              <w:t>月</w:t>
            </w:r>
            <w:r w:rsidRPr="00414345">
              <w:rPr>
                <w:color w:val="000000"/>
                <w:kern w:val="0"/>
                <w:sz w:val="24"/>
                <w:szCs w:val="24"/>
              </w:rPr>
              <w:t>1</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40,971,880.82</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本基金通过重点投资于与消费服务相关的优质企业，把握经济转型背景下中国消费升级蕴含的投资机会，在控制风险并保持基金资产良好的流动性的前提下，力争实现基金资产的长期稳定增值。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研究优势，将严谨、规范化的选股方法与积极主动的投资风格相结合，在经济转型大背景下，深入研究消费服务行业的发展趋势，积极挖掘不同子行业和子行业景气度新变化下的个股投资机会，通过团队对个股深入的基本面研究和细致的实地调研，精选个股，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85%×</w:t>
            </w:r>
            <w:r w:rsidRPr="00414345">
              <w:rPr>
                <w:color w:val="000000"/>
                <w:kern w:val="0"/>
                <w:sz w:val="24"/>
                <w:szCs w:val="24"/>
              </w:rPr>
              <w:t>中证内地消费主题指数</w:t>
            </w:r>
            <w:r w:rsidRPr="00414345">
              <w:rPr>
                <w:color w:val="000000"/>
                <w:kern w:val="0"/>
                <w:sz w:val="24"/>
                <w:szCs w:val="24"/>
              </w:rPr>
              <w:t>+15%×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本基金是一只股票型基金，其预期风险与预期收益高</w:t>
            </w:r>
            <w:r w:rsidRPr="00414345">
              <w:rPr>
                <w:color w:val="000000"/>
                <w:kern w:val="0"/>
                <w:sz w:val="24"/>
                <w:szCs w:val="24"/>
              </w:rPr>
              <w:lastRenderedPageBreak/>
              <w:t>于混合型基金、债券型基金和货币市场基金，属于承担较高预期风险、预期收益较高的证券投资基金品种。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7A5AD6" w:rsidRPr="00414345" w:rsidTr="007A5AD6">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7A5AD6" w:rsidRPr="00414345" w:rsidTr="007A5AD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-187,819.12</w:t>
            </w:r>
          </w:p>
        </w:tc>
      </w:tr>
      <w:tr w:rsidR="007A5AD6" w:rsidRPr="00414345" w:rsidTr="007A5AD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1,977,768.78</w:t>
            </w:r>
          </w:p>
        </w:tc>
      </w:tr>
      <w:tr w:rsidR="007A5AD6" w:rsidRPr="00414345" w:rsidTr="007A5AD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0.0480</w:t>
            </w:r>
          </w:p>
        </w:tc>
      </w:tr>
      <w:tr w:rsidR="007A5AD6" w:rsidRPr="00414345" w:rsidTr="007A5AD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37,121,321.80</w:t>
            </w:r>
          </w:p>
        </w:tc>
      </w:tr>
      <w:tr w:rsidR="007A5AD6" w:rsidRPr="00414345" w:rsidTr="007A5AD6">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0.906</w:t>
            </w:r>
          </w:p>
        </w:tc>
      </w:tr>
    </w:tbl>
    <w:p w:rsidR="005F2E25" w:rsidRDefault="003A323F">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5F2E25">
        <w:trPr>
          <w:jc w:val="center"/>
        </w:trPr>
        <w:tc>
          <w:tcPr>
            <w:tcW w:w="1701" w:type="dxa"/>
            <w:vAlign w:val="center"/>
          </w:tcPr>
          <w:p w:rsidR="005F2E25" w:rsidRDefault="003A323F">
            <w:pPr>
              <w:jc w:val="left"/>
            </w:pPr>
            <w:r>
              <w:rPr>
                <w:color w:val="000000"/>
                <w:sz w:val="24"/>
                <w:szCs w:val="24"/>
              </w:rPr>
              <w:t>过去三个月</w:t>
            </w:r>
          </w:p>
        </w:tc>
        <w:tc>
          <w:tcPr>
            <w:tcW w:w="1045" w:type="dxa"/>
            <w:vAlign w:val="center"/>
          </w:tcPr>
          <w:p w:rsidR="005F2E25" w:rsidRDefault="003A323F">
            <w:pPr>
              <w:jc w:val="center"/>
            </w:pPr>
            <w:r>
              <w:rPr>
                <w:color w:val="000000"/>
                <w:sz w:val="24"/>
                <w:szCs w:val="24"/>
              </w:rPr>
              <w:t>5.59%</w:t>
            </w:r>
          </w:p>
        </w:tc>
        <w:tc>
          <w:tcPr>
            <w:tcW w:w="1344" w:type="dxa"/>
            <w:vAlign w:val="center"/>
          </w:tcPr>
          <w:p w:rsidR="005F2E25" w:rsidRDefault="003A323F">
            <w:pPr>
              <w:jc w:val="center"/>
            </w:pPr>
            <w:r>
              <w:rPr>
                <w:color w:val="000000"/>
                <w:sz w:val="24"/>
                <w:szCs w:val="24"/>
              </w:rPr>
              <w:t>1.17%</w:t>
            </w:r>
          </w:p>
        </w:tc>
        <w:tc>
          <w:tcPr>
            <w:tcW w:w="1194" w:type="dxa"/>
            <w:vAlign w:val="center"/>
          </w:tcPr>
          <w:p w:rsidR="005F2E25" w:rsidRDefault="003A323F">
            <w:pPr>
              <w:jc w:val="center"/>
            </w:pPr>
            <w:r>
              <w:rPr>
                <w:color w:val="000000"/>
                <w:sz w:val="24"/>
                <w:szCs w:val="24"/>
              </w:rPr>
              <w:t>1.38%</w:t>
            </w:r>
          </w:p>
        </w:tc>
        <w:tc>
          <w:tcPr>
            <w:tcW w:w="1492" w:type="dxa"/>
            <w:vAlign w:val="center"/>
          </w:tcPr>
          <w:p w:rsidR="005F2E25" w:rsidRDefault="003A323F">
            <w:pPr>
              <w:jc w:val="center"/>
            </w:pPr>
            <w:r>
              <w:rPr>
                <w:color w:val="000000"/>
                <w:sz w:val="24"/>
                <w:szCs w:val="24"/>
              </w:rPr>
              <w:t>0.99%</w:t>
            </w:r>
          </w:p>
        </w:tc>
        <w:tc>
          <w:tcPr>
            <w:tcW w:w="1194" w:type="dxa"/>
            <w:vAlign w:val="center"/>
          </w:tcPr>
          <w:p w:rsidR="005F2E25" w:rsidRDefault="003A323F">
            <w:pPr>
              <w:jc w:val="center"/>
            </w:pPr>
            <w:r>
              <w:rPr>
                <w:color w:val="000000"/>
                <w:sz w:val="24"/>
                <w:szCs w:val="24"/>
              </w:rPr>
              <w:t>4.21%</w:t>
            </w:r>
          </w:p>
        </w:tc>
        <w:tc>
          <w:tcPr>
            <w:tcW w:w="898" w:type="dxa"/>
            <w:vAlign w:val="center"/>
          </w:tcPr>
          <w:p w:rsidR="005F2E25" w:rsidRDefault="003A323F">
            <w:pPr>
              <w:jc w:val="center"/>
            </w:pPr>
            <w:r>
              <w:rPr>
                <w:color w:val="000000"/>
                <w:sz w:val="24"/>
                <w:szCs w:val="24"/>
              </w:rPr>
              <w:t>0.18%</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“85%×</w:t>
      </w:r>
      <w:r w:rsidRPr="00414345">
        <w:rPr>
          <w:color w:val="000000"/>
          <w:sz w:val="24"/>
          <w:szCs w:val="24"/>
        </w:rPr>
        <w:t>中证内地消费主题指数</w:t>
      </w:r>
      <w:r w:rsidRPr="00414345">
        <w:rPr>
          <w:color w:val="000000"/>
          <w:sz w:val="24"/>
          <w:szCs w:val="24"/>
        </w:rPr>
        <w:t>+15%×</w:t>
      </w:r>
      <w:r w:rsidRPr="00414345">
        <w:rPr>
          <w:color w:val="000000"/>
          <w:sz w:val="24"/>
          <w:szCs w:val="24"/>
        </w:rPr>
        <w:t>中信标普全债指数</w:t>
      </w:r>
      <w:r w:rsidRPr="00414345">
        <w:rPr>
          <w:color w:val="000000"/>
          <w:sz w:val="24"/>
          <w:szCs w:val="24"/>
        </w:rPr>
        <w:t>”</w:t>
      </w:r>
      <w:r w:rsidRPr="00414345">
        <w:rPr>
          <w:color w:val="000000"/>
          <w:sz w:val="24"/>
          <w:szCs w:val="24"/>
        </w:rPr>
        <w:t>变更为</w:t>
      </w:r>
      <w:r w:rsidRPr="00414345">
        <w:rPr>
          <w:color w:val="000000"/>
          <w:sz w:val="24"/>
          <w:szCs w:val="24"/>
        </w:rPr>
        <w:t>“85%×</w:t>
      </w:r>
      <w:r w:rsidRPr="00414345">
        <w:rPr>
          <w:color w:val="000000"/>
          <w:sz w:val="24"/>
          <w:szCs w:val="24"/>
        </w:rPr>
        <w:t>中证内地消费主题指数</w:t>
      </w:r>
      <w:r w:rsidRPr="00414345">
        <w:rPr>
          <w:color w:val="000000"/>
          <w:sz w:val="24"/>
          <w:szCs w:val="24"/>
        </w:rPr>
        <w:t>+15%×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w:t>
      </w:r>
      <w:bookmarkStart w:id="0" w:name="_GoBack"/>
      <w:r w:rsidR="00EA2329">
        <w:rPr>
          <w:rFonts w:hint="eastAsia"/>
          <w:b/>
          <w:bCs/>
          <w:color w:val="000000"/>
          <w:kern w:val="0"/>
          <w:sz w:val="24"/>
          <w:szCs w:val="24"/>
        </w:rPr>
        <w:t>合同生效</w:t>
      </w:r>
      <w:bookmarkEnd w:id="0"/>
      <w:r w:rsidR="000824E7" w:rsidRPr="00F81917">
        <w:rPr>
          <w:rFonts w:hint="eastAsia"/>
          <w:b/>
          <w:bCs/>
          <w:color w:val="000000"/>
          <w:kern w:val="0"/>
          <w:sz w:val="24"/>
          <w:szCs w:val="24"/>
        </w:rPr>
        <w:t>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w:t>
      </w:r>
      <w:r w:rsidR="00C6002A" w:rsidRPr="00414345">
        <w:rPr>
          <w:b/>
          <w:bCs/>
          <w:color w:val="000000"/>
          <w:sz w:val="24"/>
        </w:rPr>
        <w:lastRenderedPageBreak/>
        <w:t>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交银施罗德消费新驱动股票型证券投资基金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2015</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7</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注：本基金由交银施罗德沪深</w:t>
      </w:r>
      <w:r w:rsidRPr="00414345">
        <w:rPr>
          <w:color w:val="000000"/>
          <w:sz w:val="24"/>
          <w:szCs w:val="24"/>
        </w:rPr>
        <w:t>300</w:t>
      </w:r>
      <w:r w:rsidRPr="00414345">
        <w:rPr>
          <w:color w:val="000000"/>
          <w:sz w:val="24"/>
          <w:szCs w:val="24"/>
        </w:rPr>
        <w:t>行业分层等权重指数证券投资基金转型而来。基金转型日为</w:t>
      </w:r>
      <w:r w:rsidRPr="00414345">
        <w:rPr>
          <w:color w:val="000000"/>
          <w:sz w:val="24"/>
          <w:szCs w:val="24"/>
        </w:rPr>
        <w:t>2015</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日。本基金的投资转型期为交银施罗德沪深</w:t>
      </w:r>
      <w:r w:rsidRPr="00414345">
        <w:rPr>
          <w:color w:val="000000"/>
          <w:sz w:val="24"/>
          <w:szCs w:val="24"/>
        </w:rPr>
        <w:t>300</w:t>
      </w:r>
      <w:r w:rsidRPr="00414345">
        <w:rPr>
          <w:color w:val="000000"/>
          <w:sz w:val="24"/>
          <w:szCs w:val="24"/>
        </w:rPr>
        <w:t>行业分层等权重指数证券投资基金转型实施日（即</w:t>
      </w:r>
      <w:r w:rsidRPr="00414345">
        <w:rPr>
          <w:color w:val="000000"/>
          <w:sz w:val="24"/>
          <w:szCs w:val="24"/>
        </w:rPr>
        <w:t>2015</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日）起的</w:t>
      </w:r>
      <w:r w:rsidRPr="00414345">
        <w:rPr>
          <w:color w:val="000000"/>
          <w:sz w:val="24"/>
          <w:szCs w:val="24"/>
        </w:rPr>
        <w:t>6</w:t>
      </w:r>
      <w:r w:rsidRPr="00414345">
        <w:rPr>
          <w:color w:val="000000"/>
          <w:sz w:val="24"/>
          <w:szCs w:val="24"/>
        </w:rPr>
        <w:t>个月。截至投资转型期结束，本基金各项资产配置比例符合基金合同及招募说明书有关投资比例的约定。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5F2E25">
        <w:trPr>
          <w:jc w:val="center"/>
        </w:trPr>
        <w:tc>
          <w:tcPr>
            <w:tcW w:w="846" w:type="dxa"/>
            <w:vAlign w:val="center"/>
          </w:tcPr>
          <w:p w:rsidR="005F2E25" w:rsidRDefault="003A323F">
            <w:pPr>
              <w:jc w:val="center"/>
            </w:pPr>
            <w:r>
              <w:rPr>
                <w:color w:val="000000"/>
                <w:sz w:val="24"/>
                <w:szCs w:val="24"/>
              </w:rPr>
              <w:t>盖婷婷</w:t>
            </w:r>
          </w:p>
        </w:tc>
        <w:tc>
          <w:tcPr>
            <w:tcW w:w="845" w:type="dxa"/>
            <w:vAlign w:val="center"/>
          </w:tcPr>
          <w:p w:rsidR="005F2E25" w:rsidRDefault="003A323F">
            <w:pPr>
              <w:jc w:val="center"/>
            </w:pPr>
            <w:r>
              <w:rPr>
                <w:color w:val="000000"/>
                <w:sz w:val="24"/>
                <w:szCs w:val="24"/>
              </w:rPr>
              <w:t>交银消费新驱动股票的基金经理</w:t>
            </w:r>
          </w:p>
        </w:tc>
        <w:tc>
          <w:tcPr>
            <w:tcW w:w="1549" w:type="dxa"/>
            <w:vAlign w:val="center"/>
          </w:tcPr>
          <w:p w:rsidR="005F2E25" w:rsidRDefault="003A323F">
            <w:pPr>
              <w:jc w:val="center"/>
            </w:pPr>
            <w:r>
              <w:rPr>
                <w:color w:val="000000"/>
                <w:sz w:val="24"/>
                <w:szCs w:val="24"/>
              </w:rPr>
              <w:t>2015-07-01</w:t>
            </w:r>
          </w:p>
        </w:tc>
        <w:tc>
          <w:tcPr>
            <w:tcW w:w="1548" w:type="dxa"/>
            <w:vAlign w:val="center"/>
          </w:tcPr>
          <w:p w:rsidR="005F2E25" w:rsidRDefault="003A323F">
            <w:pPr>
              <w:jc w:val="center"/>
            </w:pPr>
            <w:r>
              <w:rPr>
                <w:color w:val="000000"/>
                <w:sz w:val="24"/>
                <w:szCs w:val="24"/>
              </w:rPr>
              <w:t>-</w:t>
            </w:r>
          </w:p>
        </w:tc>
        <w:tc>
          <w:tcPr>
            <w:tcW w:w="1407" w:type="dxa"/>
            <w:vAlign w:val="center"/>
          </w:tcPr>
          <w:p w:rsidR="005F2E25" w:rsidRDefault="003A323F">
            <w:pPr>
              <w:jc w:val="center"/>
            </w:pPr>
            <w:r>
              <w:rPr>
                <w:color w:val="000000"/>
                <w:sz w:val="24"/>
                <w:szCs w:val="24"/>
              </w:rPr>
              <w:t>10</w:t>
            </w:r>
            <w:r>
              <w:rPr>
                <w:color w:val="000000"/>
                <w:sz w:val="24"/>
                <w:szCs w:val="24"/>
              </w:rPr>
              <w:t>年</w:t>
            </w:r>
          </w:p>
        </w:tc>
        <w:tc>
          <w:tcPr>
            <w:tcW w:w="2673" w:type="dxa"/>
            <w:vAlign w:val="center"/>
          </w:tcPr>
          <w:p w:rsidR="005F2E25" w:rsidRDefault="003A323F">
            <w:r>
              <w:rPr>
                <w:color w:val="000000"/>
                <w:sz w:val="24"/>
                <w:szCs w:val="24"/>
              </w:rPr>
              <w:t>盖婷婷女士，上海交通大学硕士。历任信诚基金管理有限公司分析师、研究总监助理。</w:t>
            </w:r>
            <w:r>
              <w:rPr>
                <w:color w:val="000000"/>
                <w:sz w:val="24"/>
                <w:szCs w:val="24"/>
              </w:rPr>
              <w:t>2011</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5F2E25" w:rsidRDefault="003A323F">
      <w:pPr>
        <w:spacing w:before="29" w:line="288" w:lineRule="auto"/>
        <w:ind w:firstLineChars="200" w:firstLine="480"/>
        <w:rPr>
          <w:color w:val="000000"/>
          <w:sz w:val="24"/>
          <w:szCs w:val="24"/>
        </w:rPr>
      </w:pPr>
      <w:r>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中国证监会于</w:t>
      </w:r>
      <w:r w:rsidRPr="00414345">
        <w:rPr>
          <w:color w:val="000000"/>
          <w:sz w:val="24"/>
          <w:szCs w:val="24"/>
        </w:rPr>
        <w:t>2015</w:t>
      </w:r>
      <w:r w:rsidRPr="00414345">
        <w:rPr>
          <w:color w:val="000000"/>
          <w:sz w:val="24"/>
          <w:szCs w:val="24"/>
        </w:rPr>
        <w:t>年对公司进行了</w:t>
      </w:r>
      <w:r w:rsidRPr="00414345">
        <w:rPr>
          <w:color w:val="000000"/>
          <w:sz w:val="24"/>
          <w:szCs w:val="24"/>
        </w:rPr>
        <w:t>“</w:t>
      </w:r>
      <w:r w:rsidRPr="00414345">
        <w:rPr>
          <w:color w:val="000000"/>
          <w:sz w:val="24"/>
          <w:szCs w:val="24"/>
        </w:rPr>
        <w:t>两加强两遏制</w:t>
      </w:r>
      <w:r w:rsidRPr="00414345">
        <w:rPr>
          <w:color w:val="000000"/>
          <w:sz w:val="24"/>
          <w:szCs w:val="24"/>
        </w:rPr>
        <w:t>”</w:t>
      </w:r>
      <w:r w:rsidRPr="00414345">
        <w:rPr>
          <w:color w:val="000000"/>
          <w:sz w:val="24"/>
          <w:szCs w:val="24"/>
        </w:rPr>
        <w:t>检查，后续并就公司内部控制提出了相应改进意见及采取责令改正的行政监管措施。公司已经完成了相关问题的整改，并已向监管部门上报了专项报告。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5F2E25" w:rsidRDefault="003A323F">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5F2E25" w:rsidRDefault="003A323F">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5F2E25" w:rsidRDefault="003A323F">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7A5AD6" w:rsidRPr="00414345" w:rsidRDefault="007A5AD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次，是由于投资组合被动超标的合规调整需要而发生同日反向交易，未发现不公平交易和利益输送的情况。本基金与本公司管理的其他投资组合在不同时间窗下（如日内、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5F2E25" w:rsidRDefault="003A323F">
      <w:pPr>
        <w:spacing w:before="29" w:line="288" w:lineRule="auto"/>
        <w:ind w:firstLineChars="200" w:firstLine="480"/>
        <w:rPr>
          <w:color w:val="000000"/>
          <w:sz w:val="24"/>
          <w:szCs w:val="24"/>
        </w:rPr>
      </w:pPr>
      <w:r>
        <w:rPr>
          <w:color w:val="000000"/>
          <w:sz w:val="24"/>
          <w:szCs w:val="24"/>
        </w:rPr>
        <w:t>2016</w:t>
      </w:r>
      <w:r>
        <w:rPr>
          <w:color w:val="000000"/>
          <w:sz w:val="24"/>
          <w:szCs w:val="24"/>
        </w:rPr>
        <w:t>年二季度汇率风险和信用风险暂时被市场消化，市场风险偏好有所上升，上证综指和创业板都迎来反弹，尤其是新能源为首的主题板块上涨幅度较大。本基金也在</w:t>
      </w:r>
      <w:r>
        <w:rPr>
          <w:color w:val="000000"/>
          <w:sz w:val="24"/>
          <w:szCs w:val="24"/>
        </w:rPr>
        <w:t>2016</w:t>
      </w:r>
      <w:r>
        <w:rPr>
          <w:color w:val="000000"/>
          <w:sz w:val="24"/>
          <w:szCs w:val="24"/>
        </w:rPr>
        <w:t>年二季度参与反弹，但配置主题性板块的仓位相对较少，主要配置食品饮料、家电等稳定增长板块，因此净值平稳增长。</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2016</w:t>
      </w:r>
      <w:r w:rsidRPr="00414345">
        <w:rPr>
          <w:color w:val="000000"/>
          <w:sz w:val="24"/>
          <w:szCs w:val="24"/>
        </w:rPr>
        <w:t>年三季度对于市场反弹高度持谨慎态度，整体上涨缺乏基本面的支撑，而消费白马股的估值具有安全边际，业绩和资产质量都在改善，因此本基金计划仍然主要配置消费白马股。</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0.906</w:t>
      </w:r>
      <w:r w:rsidRPr="00414345">
        <w:rPr>
          <w:color w:val="000000"/>
          <w:sz w:val="24"/>
          <w:szCs w:val="24"/>
        </w:rPr>
        <w:t>元，本报告期份额净值增长率为</w:t>
      </w:r>
      <w:r w:rsidRPr="00414345">
        <w:rPr>
          <w:color w:val="000000"/>
          <w:sz w:val="24"/>
          <w:szCs w:val="24"/>
        </w:rPr>
        <w:t>5.59%</w:t>
      </w:r>
      <w:r w:rsidRPr="00414345">
        <w:rPr>
          <w:color w:val="000000"/>
          <w:sz w:val="24"/>
          <w:szCs w:val="24"/>
        </w:rPr>
        <w:t>，同期业绩比较基准增长率为</w:t>
      </w:r>
      <w:r w:rsidRPr="00414345">
        <w:rPr>
          <w:color w:val="000000"/>
          <w:sz w:val="24"/>
          <w:szCs w:val="24"/>
        </w:rPr>
        <w:t>1.38%</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截至本报告期末，本基金已经连续六十个工作日以上出现基金资产净值低于五千万元的情形，基金管理人拟加大营销力度，提升基金规模。</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30,682,105.53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81.50</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30,682,105.53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81.50</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4,863,516.52</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12.92</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2,101,494.28</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5.58</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37,647,116.33</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380,730.00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1.03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1,000,632.00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2.70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18,314,989.63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49.34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800,514.00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374,670.00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2,681,632.00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7.22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702,520.00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872,376.00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2,357,989.50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6.35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2,568,270.00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6.92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627,782.40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30,682,105.53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82.65</w:t>
            </w:r>
          </w:p>
        </w:tc>
      </w:tr>
    </w:tbl>
    <w:p w:rsidR="007A5AD6" w:rsidRDefault="007A5AD6"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5F2E25">
        <w:trPr>
          <w:jc w:val="center"/>
        </w:trPr>
        <w:tc>
          <w:tcPr>
            <w:tcW w:w="855" w:type="dxa"/>
            <w:vAlign w:val="center"/>
          </w:tcPr>
          <w:p w:rsidR="005F2E25" w:rsidRDefault="003A323F">
            <w:pPr>
              <w:jc w:val="center"/>
            </w:pPr>
            <w:r>
              <w:rPr>
                <w:color w:val="000000"/>
                <w:sz w:val="24"/>
                <w:szCs w:val="24"/>
              </w:rPr>
              <w:t>1</w:t>
            </w:r>
          </w:p>
        </w:tc>
        <w:tc>
          <w:tcPr>
            <w:tcW w:w="1334" w:type="dxa"/>
            <w:vAlign w:val="center"/>
          </w:tcPr>
          <w:p w:rsidR="005F2E25" w:rsidRDefault="003A323F">
            <w:pPr>
              <w:jc w:val="center"/>
            </w:pPr>
            <w:r>
              <w:rPr>
                <w:color w:val="000000"/>
                <w:sz w:val="24"/>
                <w:szCs w:val="24"/>
              </w:rPr>
              <w:t>300347</w:t>
            </w:r>
          </w:p>
        </w:tc>
        <w:tc>
          <w:tcPr>
            <w:tcW w:w="1777" w:type="dxa"/>
            <w:vAlign w:val="center"/>
          </w:tcPr>
          <w:p w:rsidR="005F2E25" w:rsidRDefault="003A323F">
            <w:pPr>
              <w:jc w:val="center"/>
            </w:pPr>
            <w:r>
              <w:rPr>
                <w:color w:val="000000"/>
                <w:sz w:val="24"/>
                <w:szCs w:val="24"/>
              </w:rPr>
              <w:t>泰格医药</w:t>
            </w:r>
          </w:p>
        </w:tc>
        <w:tc>
          <w:tcPr>
            <w:tcW w:w="1334" w:type="dxa"/>
            <w:vAlign w:val="center"/>
          </w:tcPr>
          <w:p w:rsidR="005F2E25" w:rsidRDefault="003A323F">
            <w:pPr>
              <w:jc w:val="right"/>
            </w:pPr>
            <w:r>
              <w:rPr>
                <w:color w:val="000000"/>
                <w:sz w:val="24"/>
                <w:szCs w:val="24"/>
              </w:rPr>
              <w:t>88,500</w:t>
            </w:r>
          </w:p>
        </w:tc>
        <w:tc>
          <w:tcPr>
            <w:tcW w:w="1924" w:type="dxa"/>
            <w:vAlign w:val="center"/>
          </w:tcPr>
          <w:p w:rsidR="005F2E25" w:rsidRDefault="003A323F">
            <w:pPr>
              <w:jc w:val="right"/>
            </w:pPr>
            <w:r>
              <w:rPr>
                <w:color w:val="000000"/>
                <w:sz w:val="24"/>
                <w:szCs w:val="24"/>
              </w:rPr>
              <w:t>2,568,270.00</w:t>
            </w:r>
          </w:p>
        </w:tc>
        <w:tc>
          <w:tcPr>
            <w:tcW w:w="1644" w:type="dxa"/>
            <w:vAlign w:val="center"/>
          </w:tcPr>
          <w:p w:rsidR="005F2E25" w:rsidRDefault="003A323F">
            <w:pPr>
              <w:jc w:val="right"/>
            </w:pPr>
            <w:r>
              <w:rPr>
                <w:color w:val="000000"/>
                <w:sz w:val="24"/>
                <w:szCs w:val="24"/>
              </w:rPr>
              <w:t>6.92</w:t>
            </w:r>
          </w:p>
        </w:tc>
      </w:tr>
      <w:tr w:rsidR="005F2E25">
        <w:trPr>
          <w:jc w:val="center"/>
        </w:trPr>
        <w:tc>
          <w:tcPr>
            <w:tcW w:w="855" w:type="dxa"/>
            <w:vAlign w:val="center"/>
          </w:tcPr>
          <w:p w:rsidR="005F2E25" w:rsidRDefault="003A323F">
            <w:pPr>
              <w:jc w:val="center"/>
            </w:pPr>
            <w:r>
              <w:rPr>
                <w:color w:val="000000"/>
                <w:sz w:val="24"/>
                <w:szCs w:val="24"/>
              </w:rPr>
              <w:t>2</w:t>
            </w:r>
          </w:p>
        </w:tc>
        <w:tc>
          <w:tcPr>
            <w:tcW w:w="1334" w:type="dxa"/>
            <w:vAlign w:val="center"/>
          </w:tcPr>
          <w:p w:rsidR="005F2E25" w:rsidRDefault="003A323F">
            <w:pPr>
              <w:jc w:val="center"/>
            </w:pPr>
            <w:r>
              <w:rPr>
                <w:color w:val="000000"/>
                <w:sz w:val="24"/>
                <w:szCs w:val="24"/>
              </w:rPr>
              <w:t>600054</w:t>
            </w:r>
          </w:p>
        </w:tc>
        <w:tc>
          <w:tcPr>
            <w:tcW w:w="1777" w:type="dxa"/>
            <w:vAlign w:val="center"/>
          </w:tcPr>
          <w:p w:rsidR="005F2E25" w:rsidRDefault="003A323F">
            <w:pPr>
              <w:jc w:val="center"/>
            </w:pPr>
            <w:r>
              <w:rPr>
                <w:color w:val="000000"/>
                <w:sz w:val="24"/>
                <w:szCs w:val="24"/>
              </w:rPr>
              <w:t>黄山旅游</w:t>
            </w:r>
          </w:p>
        </w:tc>
        <w:tc>
          <w:tcPr>
            <w:tcW w:w="1334" w:type="dxa"/>
            <w:vAlign w:val="center"/>
          </w:tcPr>
          <w:p w:rsidR="005F2E25" w:rsidRDefault="003A323F">
            <w:pPr>
              <w:jc w:val="right"/>
            </w:pPr>
            <w:r>
              <w:rPr>
                <w:color w:val="000000"/>
                <w:sz w:val="24"/>
                <w:szCs w:val="24"/>
              </w:rPr>
              <w:t>146,550</w:t>
            </w:r>
          </w:p>
        </w:tc>
        <w:tc>
          <w:tcPr>
            <w:tcW w:w="1924" w:type="dxa"/>
            <w:vAlign w:val="center"/>
          </w:tcPr>
          <w:p w:rsidR="005F2E25" w:rsidRDefault="003A323F">
            <w:pPr>
              <w:jc w:val="right"/>
            </w:pPr>
            <w:r>
              <w:rPr>
                <w:color w:val="000000"/>
                <w:sz w:val="24"/>
                <w:szCs w:val="24"/>
              </w:rPr>
              <w:t>2,357,989.50</w:t>
            </w:r>
          </w:p>
        </w:tc>
        <w:tc>
          <w:tcPr>
            <w:tcW w:w="1644" w:type="dxa"/>
            <w:vAlign w:val="center"/>
          </w:tcPr>
          <w:p w:rsidR="005F2E25" w:rsidRDefault="003A323F">
            <w:pPr>
              <w:jc w:val="right"/>
            </w:pPr>
            <w:r>
              <w:rPr>
                <w:color w:val="000000"/>
                <w:sz w:val="24"/>
                <w:szCs w:val="24"/>
              </w:rPr>
              <w:t>6.35</w:t>
            </w:r>
          </w:p>
        </w:tc>
      </w:tr>
      <w:tr w:rsidR="005F2E25">
        <w:trPr>
          <w:jc w:val="center"/>
        </w:trPr>
        <w:tc>
          <w:tcPr>
            <w:tcW w:w="855" w:type="dxa"/>
            <w:vAlign w:val="center"/>
          </w:tcPr>
          <w:p w:rsidR="005F2E25" w:rsidRDefault="003A323F">
            <w:pPr>
              <w:jc w:val="center"/>
            </w:pPr>
            <w:r>
              <w:rPr>
                <w:color w:val="000000"/>
                <w:sz w:val="24"/>
                <w:szCs w:val="24"/>
              </w:rPr>
              <w:t>3</w:t>
            </w:r>
          </w:p>
        </w:tc>
        <w:tc>
          <w:tcPr>
            <w:tcW w:w="1334" w:type="dxa"/>
            <w:vAlign w:val="center"/>
          </w:tcPr>
          <w:p w:rsidR="005F2E25" w:rsidRDefault="003A323F">
            <w:pPr>
              <w:jc w:val="center"/>
            </w:pPr>
            <w:r>
              <w:rPr>
                <w:color w:val="000000"/>
                <w:sz w:val="24"/>
                <w:szCs w:val="24"/>
              </w:rPr>
              <w:t>000333</w:t>
            </w:r>
          </w:p>
        </w:tc>
        <w:tc>
          <w:tcPr>
            <w:tcW w:w="1777" w:type="dxa"/>
            <w:vAlign w:val="center"/>
          </w:tcPr>
          <w:p w:rsidR="005F2E25" w:rsidRDefault="003A323F">
            <w:pPr>
              <w:jc w:val="center"/>
            </w:pPr>
            <w:r>
              <w:rPr>
                <w:color w:val="000000"/>
                <w:sz w:val="24"/>
                <w:szCs w:val="24"/>
              </w:rPr>
              <w:t>美的集团</w:t>
            </w:r>
          </w:p>
        </w:tc>
        <w:tc>
          <w:tcPr>
            <w:tcW w:w="1334" w:type="dxa"/>
            <w:vAlign w:val="center"/>
          </w:tcPr>
          <w:p w:rsidR="005F2E25" w:rsidRDefault="003A323F">
            <w:pPr>
              <w:jc w:val="right"/>
            </w:pPr>
            <w:r>
              <w:rPr>
                <w:color w:val="000000"/>
                <w:sz w:val="24"/>
                <w:szCs w:val="24"/>
              </w:rPr>
              <w:t>81,000</w:t>
            </w:r>
          </w:p>
        </w:tc>
        <w:tc>
          <w:tcPr>
            <w:tcW w:w="1924" w:type="dxa"/>
            <w:vAlign w:val="center"/>
          </w:tcPr>
          <w:p w:rsidR="005F2E25" w:rsidRDefault="003A323F">
            <w:pPr>
              <w:jc w:val="right"/>
            </w:pPr>
            <w:r>
              <w:rPr>
                <w:color w:val="000000"/>
                <w:sz w:val="24"/>
                <w:szCs w:val="24"/>
              </w:rPr>
              <w:t>1,921,320.00</w:t>
            </w:r>
          </w:p>
        </w:tc>
        <w:tc>
          <w:tcPr>
            <w:tcW w:w="1644" w:type="dxa"/>
            <w:vAlign w:val="center"/>
          </w:tcPr>
          <w:p w:rsidR="005F2E25" w:rsidRDefault="003A323F">
            <w:pPr>
              <w:jc w:val="right"/>
            </w:pPr>
            <w:r>
              <w:rPr>
                <w:color w:val="000000"/>
                <w:sz w:val="24"/>
                <w:szCs w:val="24"/>
              </w:rPr>
              <w:t>5.18</w:t>
            </w:r>
          </w:p>
        </w:tc>
      </w:tr>
      <w:tr w:rsidR="005F2E25">
        <w:trPr>
          <w:jc w:val="center"/>
        </w:trPr>
        <w:tc>
          <w:tcPr>
            <w:tcW w:w="855" w:type="dxa"/>
            <w:vAlign w:val="center"/>
          </w:tcPr>
          <w:p w:rsidR="005F2E25" w:rsidRDefault="003A323F">
            <w:pPr>
              <w:jc w:val="center"/>
            </w:pPr>
            <w:r>
              <w:rPr>
                <w:color w:val="000000"/>
                <w:sz w:val="24"/>
                <w:szCs w:val="24"/>
              </w:rPr>
              <w:t>4</w:t>
            </w:r>
          </w:p>
        </w:tc>
        <w:tc>
          <w:tcPr>
            <w:tcW w:w="1334" w:type="dxa"/>
            <w:vAlign w:val="center"/>
          </w:tcPr>
          <w:p w:rsidR="005F2E25" w:rsidRDefault="003A323F">
            <w:pPr>
              <w:jc w:val="center"/>
            </w:pPr>
            <w:r>
              <w:rPr>
                <w:color w:val="000000"/>
                <w:sz w:val="24"/>
                <w:szCs w:val="24"/>
              </w:rPr>
              <w:t>000858</w:t>
            </w:r>
          </w:p>
        </w:tc>
        <w:tc>
          <w:tcPr>
            <w:tcW w:w="1777" w:type="dxa"/>
            <w:vAlign w:val="center"/>
          </w:tcPr>
          <w:p w:rsidR="005F2E25" w:rsidRDefault="003A323F">
            <w:pPr>
              <w:jc w:val="center"/>
            </w:pPr>
            <w:r>
              <w:rPr>
                <w:color w:val="000000"/>
                <w:sz w:val="24"/>
                <w:szCs w:val="24"/>
              </w:rPr>
              <w:t>五</w:t>
            </w:r>
            <w:r>
              <w:rPr>
                <w:color w:val="000000"/>
                <w:sz w:val="24"/>
                <w:szCs w:val="24"/>
              </w:rPr>
              <w:t xml:space="preserve"> </w:t>
            </w:r>
            <w:r>
              <w:rPr>
                <w:color w:val="000000"/>
                <w:sz w:val="24"/>
                <w:szCs w:val="24"/>
              </w:rPr>
              <w:t>粮</w:t>
            </w:r>
            <w:r>
              <w:rPr>
                <w:color w:val="000000"/>
                <w:sz w:val="24"/>
                <w:szCs w:val="24"/>
              </w:rPr>
              <w:t xml:space="preserve"> </w:t>
            </w:r>
            <w:r>
              <w:rPr>
                <w:color w:val="000000"/>
                <w:sz w:val="24"/>
                <w:szCs w:val="24"/>
              </w:rPr>
              <w:t>液</w:t>
            </w:r>
          </w:p>
        </w:tc>
        <w:tc>
          <w:tcPr>
            <w:tcW w:w="1334" w:type="dxa"/>
            <w:vAlign w:val="center"/>
          </w:tcPr>
          <w:p w:rsidR="005F2E25" w:rsidRDefault="003A323F">
            <w:pPr>
              <w:jc w:val="right"/>
            </w:pPr>
            <w:r>
              <w:rPr>
                <w:color w:val="000000"/>
                <w:sz w:val="24"/>
                <w:szCs w:val="24"/>
              </w:rPr>
              <w:t>57,523</w:t>
            </w:r>
          </w:p>
        </w:tc>
        <w:tc>
          <w:tcPr>
            <w:tcW w:w="1924" w:type="dxa"/>
            <w:vAlign w:val="center"/>
          </w:tcPr>
          <w:p w:rsidR="005F2E25" w:rsidRDefault="003A323F">
            <w:pPr>
              <w:jc w:val="right"/>
            </w:pPr>
            <w:r>
              <w:rPr>
                <w:color w:val="000000"/>
                <w:sz w:val="24"/>
                <w:szCs w:val="24"/>
              </w:rPr>
              <w:t>1,871,223.19</w:t>
            </w:r>
          </w:p>
        </w:tc>
        <w:tc>
          <w:tcPr>
            <w:tcW w:w="1644" w:type="dxa"/>
            <w:vAlign w:val="center"/>
          </w:tcPr>
          <w:p w:rsidR="005F2E25" w:rsidRDefault="003A323F">
            <w:pPr>
              <w:jc w:val="right"/>
            </w:pPr>
            <w:r>
              <w:rPr>
                <w:color w:val="000000"/>
                <w:sz w:val="24"/>
                <w:szCs w:val="24"/>
              </w:rPr>
              <w:t>5.04</w:t>
            </w:r>
          </w:p>
        </w:tc>
      </w:tr>
      <w:tr w:rsidR="005F2E25">
        <w:trPr>
          <w:jc w:val="center"/>
        </w:trPr>
        <w:tc>
          <w:tcPr>
            <w:tcW w:w="855" w:type="dxa"/>
            <w:vAlign w:val="center"/>
          </w:tcPr>
          <w:p w:rsidR="005F2E25" w:rsidRDefault="003A323F">
            <w:pPr>
              <w:jc w:val="center"/>
            </w:pPr>
            <w:r>
              <w:rPr>
                <w:color w:val="000000"/>
                <w:sz w:val="24"/>
                <w:szCs w:val="24"/>
              </w:rPr>
              <w:t>5</w:t>
            </w:r>
          </w:p>
        </w:tc>
        <w:tc>
          <w:tcPr>
            <w:tcW w:w="1334" w:type="dxa"/>
            <w:vAlign w:val="center"/>
          </w:tcPr>
          <w:p w:rsidR="005F2E25" w:rsidRDefault="003A323F">
            <w:pPr>
              <w:jc w:val="center"/>
            </w:pPr>
            <w:r>
              <w:rPr>
                <w:color w:val="000000"/>
                <w:sz w:val="24"/>
                <w:szCs w:val="24"/>
              </w:rPr>
              <w:t>600887</w:t>
            </w:r>
          </w:p>
        </w:tc>
        <w:tc>
          <w:tcPr>
            <w:tcW w:w="1777" w:type="dxa"/>
            <w:vAlign w:val="center"/>
          </w:tcPr>
          <w:p w:rsidR="005F2E25" w:rsidRDefault="003A323F">
            <w:pPr>
              <w:jc w:val="center"/>
            </w:pPr>
            <w:r>
              <w:rPr>
                <w:color w:val="000000"/>
                <w:sz w:val="24"/>
                <w:szCs w:val="24"/>
              </w:rPr>
              <w:t>伊利股份</w:t>
            </w:r>
          </w:p>
        </w:tc>
        <w:tc>
          <w:tcPr>
            <w:tcW w:w="1334" w:type="dxa"/>
            <w:vAlign w:val="center"/>
          </w:tcPr>
          <w:p w:rsidR="005F2E25" w:rsidRDefault="003A323F">
            <w:pPr>
              <w:jc w:val="right"/>
            </w:pPr>
            <w:r>
              <w:rPr>
                <w:color w:val="000000"/>
                <w:sz w:val="24"/>
                <w:szCs w:val="24"/>
              </w:rPr>
              <w:t>106,300</w:t>
            </w:r>
          </w:p>
        </w:tc>
        <w:tc>
          <w:tcPr>
            <w:tcW w:w="1924" w:type="dxa"/>
            <w:vAlign w:val="center"/>
          </w:tcPr>
          <w:p w:rsidR="005F2E25" w:rsidRDefault="003A323F">
            <w:pPr>
              <w:jc w:val="right"/>
            </w:pPr>
            <w:r>
              <w:rPr>
                <w:color w:val="000000"/>
                <w:sz w:val="24"/>
                <w:szCs w:val="24"/>
              </w:rPr>
              <w:t>1,772,021.00</w:t>
            </w:r>
          </w:p>
        </w:tc>
        <w:tc>
          <w:tcPr>
            <w:tcW w:w="1644" w:type="dxa"/>
            <w:vAlign w:val="center"/>
          </w:tcPr>
          <w:p w:rsidR="005F2E25" w:rsidRDefault="003A323F">
            <w:pPr>
              <w:jc w:val="right"/>
            </w:pPr>
            <w:r>
              <w:rPr>
                <w:color w:val="000000"/>
                <w:sz w:val="24"/>
                <w:szCs w:val="24"/>
              </w:rPr>
              <w:t>4.77</w:t>
            </w:r>
          </w:p>
        </w:tc>
      </w:tr>
      <w:tr w:rsidR="005F2E25">
        <w:trPr>
          <w:jc w:val="center"/>
        </w:trPr>
        <w:tc>
          <w:tcPr>
            <w:tcW w:w="855" w:type="dxa"/>
            <w:vAlign w:val="center"/>
          </w:tcPr>
          <w:p w:rsidR="005F2E25" w:rsidRDefault="003A323F">
            <w:pPr>
              <w:jc w:val="center"/>
            </w:pPr>
            <w:r>
              <w:rPr>
                <w:color w:val="000000"/>
                <w:sz w:val="24"/>
                <w:szCs w:val="24"/>
              </w:rPr>
              <w:t>6</w:t>
            </w:r>
          </w:p>
        </w:tc>
        <w:tc>
          <w:tcPr>
            <w:tcW w:w="1334" w:type="dxa"/>
            <w:vAlign w:val="center"/>
          </w:tcPr>
          <w:p w:rsidR="005F2E25" w:rsidRDefault="003A323F">
            <w:pPr>
              <w:jc w:val="center"/>
            </w:pPr>
            <w:r>
              <w:rPr>
                <w:color w:val="000000"/>
                <w:sz w:val="24"/>
                <w:szCs w:val="24"/>
              </w:rPr>
              <w:t>000538</w:t>
            </w:r>
          </w:p>
        </w:tc>
        <w:tc>
          <w:tcPr>
            <w:tcW w:w="1777" w:type="dxa"/>
            <w:vAlign w:val="center"/>
          </w:tcPr>
          <w:p w:rsidR="005F2E25" w:rsidRDefault="003A323F">
            <w:pPr>
              <w:jc w:val="center"/>
            </w:pPr>
            <w:r>
              <w:rPr>
                <w:color w:val="000000"/>
                <w:sz w:val="24"/>
                <w:szCs w:val="24"/>
              </w:rPr>
              <w:t>云南白药</w:t>
            </w:r>
          </w:p>
        </w:tc>
        <w:tc>
          <w:tcPr>
            <w:tcW w:w="1334" w:type="dxa"/>
            <w:vAlign w:val="center"/>
          </w:tcPr>
          <w:p w:rsidR="005F2E25" w:rsidRDefault="003A323F">
            <w:pPr>
              <w:jc w:val="right"/>
            </w:pPr>
            <w:r>
              <w:rPr>
                <w:color w:val="000000"/>
                <w:sz w:val="24"/>
                <w:szCs w:val="24"/>
              </w:rPr>
              <w:t>25,000</w:t>
            </w:r>
          </w:p>
        </w:tc>
        <w:tc>
          <w:tcPr>
            <w:tcW w:w="1924" w:type="dxa"/>
            <w:vAlign w:val="center"/>
          </w:tcPr>
          <w:p w:rsidR="005F2E25" w:rsidRDefault="003A323F">
            <w:pPr>
              <w:jc w:val="right"/>
            </w:pPr>
            <w:r>
              <w:rPr>
                <w:color w:val="000000"/>
                <w:sz w:val="24"/>
                <w:szCs w:val="24"/>
              </w:rPr>
              <w:t>1,607,500.00</w:t>
            </w:r>
          </w:p>
        </w:tc>
        <w:tc>
          <w:tcPr>
            <w:tcW w:w="1644" w:type="dxa"/>
            <w:vAlign w:val="center"/>
          </w:tcPr>
          <w:p w:rsidR="005F2E25" w:rsidRDefault="003A323F">
            <w:pPr>
              <w:jc w:val="right"/>
            </w:pPr>
            <w:r>
              <w:rPr>
                <w:color w:val="000000"/>
                <w:sz w:val="24"/>
                <w:szCs w:val="24"/>
              </w:rPr>
              <w:t>4.33</w:t>
            </w:r>
          </w:p>
        </w:tc>
      </w:tr>
      <w:tr w:rsidR="005F2E25">
        <w:trPr>
          <w:jc w:val="center"/>
        </w:trPr>
        <w:tc>
          <w:tcPr>
            <w:tcW w:w="855" w:type="dxa"/>
            <w:vAlign w:val="center"/>
          </w:tcPr>
          <w:p w:rsidR="005F2E25" w:rsidRDefault="003A323F">
            <w:pPr>
              <w:jc w:val="center"/>
            </w:pPr>
            <w:r>
              <w:rPr>
                <w:color w:val="000000"/>
                <w:sz w:val="24"/>
                <w:szCs w:val="24"/>
              </w:rPr>
              <w:t>7</w:t>
            </w:r>
          </w:p>
        </w:tc>
        <w:tc>
          <w:tcPr>
            <w:tcW w:w="1334" w:type="dxa"/>
            <w:vAlign w:val="center"/>
          </w:tcPr>
          <w:p w:rsidR="005F2E25" w:rsidRDefault="003A323F">
            <w:pPr>
              <w:jc w:val="center"/>
            </w:pPr>
            <w:r>
              <w:rPr>
                <w:color w:val="000000"/>
                <w:sz w:val="24"/>
                <w:szCs w:val="24"/>
              </w:rPr>
              <w:t>600036</w:t>
            </w:r>
          </w:p>
        </w:tc>
        <w:tc>
          <w:tcPr>
            <w:tcW w:w="1777" w:type="dxa"/>
            <w:vAlign w:val="center"/>
          </w:tcPr>
          <w:p w:rsidR="005F2E25" w:rsidRDefault="003A323F">
            <w:pPr>
              <w:jc w:val="center"/>
            </w:pPr>
            <w:r>
              <w:rPr>
                <w:color w:val="000000"/>
                <w:sz w:val="24"/>
                <w:szCs w:val="24"/>
              </w:rPr>
              <w:t>招商银行</w:t>
            </w:r>
          </w:p>
        </w:tc>
        <w:tc>
          <w:tcPr>
            <w:tcW w:w="1334" w:type="dxa"/>
            <w:vAlign w:val="center"/>
          </w:tcPr>
          <w:p w:rsidR="005F2E25" w:rsidRDefault="003A323F">
            <w:pPr>
              <w:jc w:val="right"/>
            </w:pPr>
            <w:r>
              <w:rPr>
                <w:color w:val="000000"/>
                <w:sz w:val="24"/>
                <w:szCs w:val="24"/>
              </w:rPr>
              <w:t>90,400</w:t>
            </w:r>
          </w:p>
        </w:tc>
        <w:tc>
          <w:tcPr>
            <w:tcW w:w="1924" w:type="dxa"/>
            <w:vAlign w:val="center"/>
          </w:tcPr>
          <w:p w:rsidR="005F2E25" w:rsidRDefault="003A323F">
            <w:pPr>
              <w:jc w:val="right"/>
            </w:pPr>
            <w:r>
              <w:rPr>
                <w:color w:val="000000"/>
                <w:sz w:val="24"/>
                <w:szCs w:val="24"/>
              </w:rPr>
              <w:t>1,582,000.00</w:t>
            </w:r>
          </w:p>
        </w:tc>
        <w:tc>
          <w:tcPr>
            <w:tcW w:w="1644" w:type="dxa"/>
            <w:vAlign w:val="center"/>
          </w:tcPr>
          <w:p w:rsidR="005F2E25" w:rsidRDefault="003A323F">
            <w:pPr>
              <w:jc w:val="right"/>
            </w:pPr>
            <w:r>
              <w:rPr>
                <w:color w:val="000000"/>
                <w:sz w:val="24"/>
                <w:szCs w:val="24"/>
              </w:rPr>
              <w:t>4.26</w:t>
            </w:r>
          </w:p>
        </w:tc>
      </w:tr>
      <w:tr w:rsidR="005F2E25">
        <w:trPr>
          <w:jc w:val="center"/>
        </w:trPr>
        <w:tc>
          <w:tcPr>
            <w:tcW w:w="855" w:type="dxa"/>
            <w:vAlign w:val="center"/>
          </w:tcPr>
          <w:p w:rsidR="005F2E25" w:rsidRDefault="003A323F">
            <w:pPr>
              <w:jc w:val="center"/>
            </w:pPr>
            <w:r>
              <w:rPr>
                <w:color w:val="000000"/>
                <w:sz w:val="24"/>
                <w:szCs w:val="24"/>
              </w:rPr>
              <w:t>8</w:t>
            </w:r>
          </w:p>
        </w:tc>
        <w:tc>
          <w:tcPr>
            <w:tcW w:w="1334" w:type="dxa"/>
            <w:vAlign w:val="center"/>
          </w:tcPr>
          <w:p w:rsidR="005F2E25" w:rsidRDefault="003A323F">
            <w:pPr>
              <w:jc w:val="center"/>
            </w:pPr>
            <w:r>
              <w:rPr>
                <w:color w:val="000000"/>
                <w:sz w:val="24"/>
                <w:szCs w:val="24"/>
              </w:rPr>
              <w:t>000423</w:t>
            </w:r>
          </w:p>
        </w:tc>
        <w:tc>
          <w:tcPr>
            <w:tcW w:w="1777" w:type="dxa"/>
            <w:vAlign w:val="center"/>
          </w:tcPr>
          <w:p w:rsidR="005F2E25" w:rsidRDefault="003A323F">
            <w:pPr>
              <w:jc w:val="center"/>
            </w:pPr>
            <w:r>
              <w:rPr>
                <w:color w:val="000000"/>
                <w:sz w:val="24"/>
                <w:szCs w:val="24"/>
              </w:rPr>
              <w:t>东阿阿胶</w:t>
            </w:r>
          </w:p>
        </w:tc>
        <w:tc>
          <w:tcPr>
            <w:tcW w:w="1334" w:type="dxa"/>
            <w:vAlign w:val="center"/>
          </w:tcPr>
          <w:p w:rsidR="005F2E25" w:rsidRDefault="003A323F">
            <w:pPr>
              <w:jc w:val="right"/>
            </w:pPr>
            <w:r>
              <w:rPr>
                <w:color w:val="000000"/>
                <w:sz w:val="24"/>
                <w:szCs w:val="24"/>
              </w:rPr>
              <w:t>29,200</w:t>
            </w:r>
          </w:p>
        </w:tc>
        <w:tc>
          <w:tcPr>
            <w:tcW w:w="1924" w:type="dxa"/>
            <w:vAlign w:val="center"/>
          </w:tcPr>
          <w:p w:rsidR="005F2E25" w:rsidRDefault="003A323F">
            <w:pPr>
              <w:jc w:val="right"/>
            </w:pPr>
            <w:r>
              <w:rPr>
                <w:color w:val="000000"/>
                <w:sz w:val="24"/>
                <w:szCs w:val="24"/>
              </w:rPr>
              <w:t>1,542,636.00</w:t>
            </w:r>
          </w:p>
        </w:tc>
        <w:tc>
          <w:tcPr>
            <w:tcW w:w="1644" w:type="dxa"/>
            <w:vAlign w:val="center"/>
          </w:tcPr>
          <w:p w:rsidR="005F2E25" w:rsidRDefault="003A323F">
            <w:pPr>
              <w:jc w:val="right"/>
            </w:pPr>
            <w:r>
              <w:rPr>
                <w:color w:val="000000"/>
                <w:sz w:val="24"/>
                <w:szCs w:val="24"/>
              </w:rPr>
              <w:t>4.16</w:t>
            </w:r>
          </w:p>
        </w:tc>
      </w:tr>
      <w:tr w:rsidR="005F2E25">
        <w:trPr>
          <w:jc w:val="center"/>
        </w:trPr>
        <w:tc>
          <w:tcPr>
            <w:tcW w:w="855" w:type="dxa"/>
            <w:vAlign w:val="center"/>
          </w:tcPr>
          <w:p w:rsidR="005F2E25" w:rsidRDefault="003A323F">
            <w:pPr>
              <w:jc w:val="center"/>
            </w:pPr>
            <w:r>
              <w:rPr>
                <w:color w:val="000000"/>
                <w:sz w:val="24"/>
                <w:szCs w:val="24"/>
              </w:rPr>
              <w:t>9</w:t>
            </w:r>
          </w:p>
        </w:tc>
        <w:tc>
          <w:tcPr>
            <w:tcW w:w="1334" w:type="dxa"/>
            <w:vAlign w:val="center"/>
          </w:tcPr>
          <w:p w:rsidR="005F2E25" w:rsidRDefault="003A323F">
            <w:pPr>
              <w:jc w:val="center"/>
            </w:pPr>
            <w:r>
              <w:rPr>
                <w:color w:val="000000"/>
                <w:sz w:val="24"/>
                <w:szCs w:val="24"/>
              </w:rPr>
              <w:t>600867</w:t>
            </w:r>
          </w:p>
        </w:tc>
        <w:tc>
          <w:tcPr>
            <w:tcW w:w="1777" w:type="dxa"/>
            <w:vAlign w:val="center"/>
          </w:tcPr>
          <w:p w:rsidR="005F2E25" w:rsidRDefault="003A323F">
            <w:pPr>
              <w:jc w:val="center"/>
            </w:pPr>
            <w:r>
              <w:rPr>
                <w:color w:val="000000"/>
                <w:sz w:val="24"/>
                <w:szCs w:val="24"/>
              </w:rPr>
              <w:t>通化东宝</w:t>
            </w:r>
          </w:p>
        </w:tc>
        <w:tc>
          <w:tcPr>
            <w:tcW w:w="1334" w:type="dxa"/>
            <w:vAlign w:val="center"/>
          </w:tcPr>
          <w:p w:rsidR="005F2E25" w:rsidRDefault="003A323F">
            <w:pPr>
              <w:jc w:val="right"/>
            </w:pPr>
            <w:r>
              <w:rPr>
                <w:color w:val="000000"/>
                <w:sz w:val="24"/>
                <w:szCs w:val="24"/>
              </w:rPr>
              <w:t>65,956</w:t>
            </w:r>
          </w:p>
        </w:tc>
        <w:tc>
          <w:tcPr>
            <w:tcW w:w="1924" w:type="dxa"/>
            <w:vAlign w:val="center"/>
          </w:tcPr>
          <w:p w:rsidR="005F2E25" w:rsidRDefault="003A323F">
            <w:pPr>
              <w:jc w:val="right"/>
            </w:pPr>
            <w:r>
              <w:rPr>
                <w:color w:val="000000"/>
                <w:sz w:val="24"/>
                <w:szCs w:val="24"/>
              </w:rPr>
              <w:t>1,364,629.64</w:t>
            </w:r>
          </w:p>
        </w:tc>
        <w:tc>
          <w:tcPr>
            <w:tcW w:w="1644" w:type="dxa"/>
            <w:vAlign w:val="center"/>
          </w:tcPr>
          <w:p w:rsidR="005F2E25" w:rsidRDefault="003A323F">
            <w:pPr>
              <w:jc w:val="right"/>
            </w:pPr>
            <w:r>
              <w:rPr>
                <w:color w:val="000000"/>
                <w:sz w:val="24"/>
                <w:szCs w:val="24"/>
              </w:rPr>
              <w:t>3.68</w:t>
            </w:r>
          </w:p>
        </w:tc>
      </w:tr>
      <w:tr w:rsidR="005F2E25">
        <w:trPr>
          <w:jc w:val="center"/>
        </w:trPr>
        <w:tc>
          <w:tcPr>
            <w:tcW w:w="855" w:type="dxa"/>
            <w:vAlign w:val="center"/>
          </w:tcPr>
          <w:p w:rsidR="005F2E25" w:rsidRDefault="003A323F">
            <w:pPr>
              <w:jc w:val="center"/>
            </w:pPr>
            <w:r>
              <w:rPr>
                <w:color w:val="000000"/>
                <w:sz w:val="24"/>
                <w:szCs w:val="24"/>
              </w:rPr>
              <w:t>10</w:t>
            </w:r>
          </w:p>
        </w:tc>
        <w:tc>
          <w:tcPr>
            <w:tcW w:w="1334" w:type="dxa"/>
            <w:vAlign w:val="center"/>
          </w:tcPr>
          <w:p w:rsidR="005F2E25" w:rsidRDefault="003A323F">
            <w:pPr>
              <w:jc w:val="center"/>
            </w:pPr>
            <w:r>
              <w:rPr>
                <w:color w:val="000000"/>
                <w:sz w:val="24"/>
                <w:szCs w:val="24"/>
              </w:rPr>
              <w:t>002142</w:t>
            </w:r>
          </w:p>
        </w:tc>
        <w:tc>
          <w:tcPr>
            <w:tcW w:w="1777" w:type="dxa"/>
            <w:vAlign w:val="center"/>
          </w:tcPr>
          <w:p w:rsidR="005F2E25" w:rsidRDefault="003A323F">
            <w:pPr>
              <w:jc w:val="center"/>
            </w:pPr>
            <w:r>
              <w:rPr>
                <w:color w:val="000000"/>
                <w:sz w:val="24"/>
                <w:szCs w:val="24"/>
              </w:rPr>
              <w:t>宁波银行</w:t>
            </w:r>
          </w:p>
        </w:tc>
        <w:tc>
          <w:tcPr>
            <w:tcW w:w="1334" w:type="dxa"/>
            <w:vAlign w:val="center"/>
          </w:tcPr>
          <w:p w:rsidR="005F2E25" w:rsidRDefault="003A323F">
            <w:pPr>
              <w:jc w:val="right"/>
            </w:pPr>
            <w:r>
              <w:rPr>
                <w:color w:val="000000"/>
                <w:sz w:val="24"/>
                <w:szCs w:val="24"/>
              </w:rPr>
              <w:t>74,400</w:t>
            </w:r>
          </w:p>
        </w:tc>
        <w:tc>
          <w:tcPr>
            <w:tcW w:w="1924" w:type="dxa"/>
            <w:vAlign w:val="center"/>
          </w:tcPr>
          <w:p w:rsidR="005F2E25" w:rsidRDefault="003A323F">
            <w:pPr>
              <w:jc w:val="right"/>
            </w:pPr>
            <w:r>
              <w:rPr>
                <w:color w:val="000000"/>
                <w:sz w:val="24"/>
                <w:szCs w:val="24"/>
              </w:rPr>
              <w:t>1,099,632.00</w:t>
            </w:r>
          </w:p>
        </w:tc>
        <w:tc>
          <w:tcPr>
            <w:tcW w:w="1644" w:type="dxa"/>
            <w:vAlign w:val="center"/>
          </w:tcPr>
          <w:p w:rsidR="005F2E25" w:rsidRDefault="003A323F">
            <w:pPr>
              <w:jc w:val="right"/>
            </w:pPr>
            <w:r>
              <w:rPr>
                <w:color w:val="000000"/>
                <w:sz w:val="24"/>
                <w:szCs w:val="24"/>
              </w:rPr>
              <w:t>2.96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19,174.95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2,065,678.61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1,169.54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15,471.18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2,101,494.28</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41,308,235.29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4,451,420.50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4,787,774.97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40,971,880.82</w:t>
            </w:r>
          </w:p>
        </w:tc>
      </w:tr>
    </w:tbl>
    <w:p w:rsidR="005F2E25" w:rsidRDefault="003A323F">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ED2620" w:rsidRPr="00ED2620" w:rsidRDefault="00ED2620" w:rsidP="00C15CAC">
      <w:pPr>
        <w:autoSpaceDE w:val="0"/>
        <w:autoSpaceDN w:val="0"/>
        <w:adjustRightInd w:val="0"/>
        <w:spacing w:before="29" w:line="288" w:lineRule="auto"/>
        <w:ind w:left="15"/>
        <w:jc w:val="right"/>
        <w:rPr>
          <w:rFonts w:eastAsiaTheme="minorEastAsia"/>
          <w:color w:val="000000"/>
          <w:kern w:val="0"/>
          <w:sz w:val="24"/>
        </w:rPr>
      </w:pPr>
      <w:r w:rsidRPr="00ED2620">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pStyle w:val="ad"/>
              <w:adjustRightInd w:val="0"/>
              <w:snapToGrid w:val="0"/>
              <w:spacing w:line="288" w:lineRule="auto"/>
              <w:rPr>
                <w:rFonts w:eastAsia="方正仿宋简体"/>
                <w:color w:val="000000"/>
              </w:rPr>
            </w:pPr>
            <w:r w:rsidRPr="00ED2620">
              <w:rPr>
                <w:color w:val="000000"/>
              </w:rPr>
              <w:t>报告期期初管理人持有的本基金份额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11,889,417.36</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买入</w:t>
            </w:r>
            <w:r w:rsidRPr="00ED2620">
              <w:rPr>
                <w:color w:val="000000"/>
                <w:sz w:val="24"/>
              </w:rPr>
              <w:t>/</w:t>
            </w:r>
            <w:r w:rsidRPr="00ED2620">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卖出</w:t>
            </w:r>
            <w:r w:rsidRPr="00ED2620">
              <w:rPr>
                <w:color w:val="000000"/>
                <w:sz w:val="24"/>
              </w:rPr>
              <w:t>/</w:t>
            </w:r>
            <w:r w:rsidRPr="00ED2620">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11,889,417.36</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报告期期末持有的本基金份额占基金总份额比例（</w:t>
            </w:r>
            <w:r w:rsidRPr="00ED2620">
              <w:rPr>
                <w:color w:val="000000"/>
                <w:sz w:val="24"/>
              </w:rPr>
              <w:t>%</w:t>
            </w:r>
            <w:r w:rsidRPr="00ED2620">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29.02</w:t>
            </w:r>
          </w:p>
        </w:tc>
      </w:tr>
    </w:tbl>
    <w:p w:rsidR="005F2E25" w:rsidRDefault="003A323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xml:space="preserve">    2</w:t>
      </w:r>
      <w:r w:rsidRPr="00ED2620">
        <w:rPr>
          <w:rFonts w:eastAsiaTheme="minorEastAsia"/>
          <w:color w:val="000000"/>
          <w:sz w:val="24"/>
        </w:rPr>
        <w:t>、如果本报告期间发生转换出业务，则总赎回份额中包含该业务。</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5F2E25" w:rsidRDefault="003A323F">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、中国证监会批准交银施罗德沪深</w:t>
      </w:r>
      <w:r>
        <w:rPr>
          <w:color w:val="000000"/>
          <w:sz w:val="24"/>
          <w:szCs w:val="24"/>
        </w:rPr>
        <w:t>300</w:t>
      </w:r>
      <w:r>
        <w:rPr>
          <w:color w:val="000000"/>
          <w:sz w:val="24"/>
          <w:szCs w:val="24"/>
        </w:rPr>
        <w:t>行业分层等权重指数证券投资基金募集的文件；</w:t>
      </w:r>
    </w:p>
    <w:p w:rsidR="005F2E25" w:rsidRDefault="003A323F">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、《交银施罗德消费新驱动股票型证券投资基金基金合同》；</w:t>
      </w:r>
    </w:p>
    <w:p w:rsidR="005F2E25" w:rsidRDefault="003A323F">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、《交银施罗德消费新驱动股票型证券投资基金招募说明书》；</w:t>
      </w:r>
    </w:p>
    <w:p w:rsidR="005F2E25" w:rsidRDefault="003A323F">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、《交银施罗德消费新驱动股票型证券投资基金托管协议》；</w:t>
      </w:r>
    </w:p>
    <w:p w:rsidR="005F2E25" w:rsidRDefault="003A323F">
      <w:pPr>
        <w:spacing w:before="29" w:line="288" w:lineRule="auto"/>
        <w:ind w:firstLineChars="200" w:firstLine="480"/>
        <w:rPr>
          <w:color w:val="000000"/>
          <w:sz w:val="24"/>
          <w:szCs w:val="24"/>
        </w:rPr>
      </w:pPr>
      <w:r>
        <w:rPr>
          <w:color w:val="000000"/>
          <w:sz w:val="24"/>
          <w:szCs w:val="24"/>
        </w:rPr>
        <w:t>5</w:t>
      </w:r>
      <w:r>
        <w:rPr>
          <w:color w:val="000000"/>
          <w:sz w:val="24"/>
          <w:szCs w:val="24"/>
        </w:rPr>
        <w:t>、《交银施罗德沪深</w:t>
      </w:r>
      <w:r>
        <w:rPr>
          <w:color w:val="000000"/>
          <w:sz w:val="24"/>
          <w:szCs w:val="24"/>
        </w:rPr>
        <w:t>300</w:t>
      </w:r>
      <w:r>
        <w:rPr>
          <w:color w:val="000000"/>
          <w:sz w:val="24"/>
          <w:szCs w:val="24"/>
        </w:rPr>
        <w:t>行业分层等权重指数证券投资基金基金合同》；</w:t>
      </w:r>
    </w:p>
    <w:p w:rsidR="005F2E25" w:rsidRDefault="003A323F">
      <w:pPr>
        <w:spacing w:before="29" w:line="288" w:lineRule="auto"/>
        <w:ind w:firstLineChars="200" w:firstLine="480"/>
        <w:rPr>
          <w:color w:val="000000"/>
          <w:sz w:val="24"/>
          <w:szCs w:val="24"/>
        </w:rPr>
      </w:pPr>
      <w:r>
        <w:rPr>
          <w:color w:val="000000"/>
          <w:sz w:val="24"/>
          <w:szCs w:val="24"/>
        </w:rPr>
        <w:t>6</w:t>
      </w:r>
      <w:r>
        <w:rPr>
          <w:color w:val="000000"/>
          <w:sz w:val="24"/>
          <w:szCs w:val="24"/>
        </w:rPr>
        <w:t>、《交银施罗德沪深</w:t>
      </w:r>
      <w:r>
        <w:rPr>
          <w:color w:val="000000"/>
          <w:sz w:val="24"/>
          <w:szCs w:val="24"/>
        </w:rPr>
        <w:t>300</w:t>
      </w:r>
      <w:r>
        <w:rPr>
          <w:color w:val="000000"/>
          <w:sz w:val="24"/>
          <w:szCs w:val="24"/>
        </w:rPr>
        <w:t>行业分层等权重指数证券投资基金招募说明书》；</w:t>
      </w:r>
    </w:p>
    <w:p w:rsidR="005F2E25" w:rsidRDefault="003A323F">
      <w:pPr>
        <w:spacing w:before="29" w:line="288" w:lineRule="auto"/>
        <w:ind w:firstLineChars="200" w:firstLine="480"/>
        <w:rPr>
          <w:color w:val="000000"/>
          <w:sz w:val="24"/>
          <w:szCs w:val="24"/>
        </w:rPr>
      </w:pPr>
      <w:r>
        <w:rPr>
          <w:color w:val="000000"/>
          <w:sz w:val="24"/>
          <w:szCs w:val="24"/>
        </w:rPr>
        <w:t>7</w:t>
      </w:r>
      <w:r>
        <w:rPr>
          <w:color w:val="000000"/>
          <w:sz w:val="24"/>
          <w:szCs w:val="24"/>
        </w:rPr>
        <w:t>、《交银施罗德沪深</w:t>
      </w:r>
      <w:r>
        <w:rPr>
          <w:color w:val="000000"/>
          <w:sz w:val="24"/>
          <w:szCs w:val="24"/>
        </w:rPr>
        <w:t>300</w:t>
      </w:r>
      <w:r>
        <w:rPr>
          <w:color w:val="000000"/>
          <w:sz w:val="24"/>
          <w:szCs w:val="24"/>
        </w:rPr>
        <w:t>行业分层等权重指数证券投资基金托管协议》；</w:t>
      </w:r>
    </w:p>
    <w:p w:rsidR="005F2E25" w:rsidRDefault="003A323F">
      <w:pPr>
        <w:spacing w:before="29" w:line="288" w:lineRule="auto"/>
        <w:ind w:firstLineChars="200" w:firstLine="480"/>
        <w:rPr>
          <w:color w:val="000000"/>
          <w:sz w:val="24"/>
          <w:szCs w:val="24"/>
        </w:rPr>
      </w:pPr>
      <w:r>
        <w:rPr>
          <w:color w:val="000000"/>
          <w:sz w:val="24"/>
          <w:szCs w:val="24"/>
        </w:rPr>
        <w:t>8</w:t>
      </w:r>
      <w:r>
        <w:rPr>
          <w:color w:val="000000"/>
          <w:sz w:val="24"/>
          <w:szCs w:val="24"/>
        </w:rPr>
        <w:t>、基金管理人业务资格批件、营业执照；</w:t>
      </w:r>
    </w:p>
    <w:p w:rsidR="005F2E25" w:rsidRDefault="003A323F">
      <w:pPr>
        <w:spacing w:before="29" w:line="288" w:lineRule="auto"/>
        <w:ind w:firstLineChars="200" w:firstLine="480"/>
        <w:rPr>
          <w:color w:val="000000"/>
          <w:sz w:val="24"/>
          <w:szCs w:val="24"/>
        </w:rPr>
      </w:pPr>
      <w:r>
        <w:rPr>
          <w:color w:val="000000"/>
          <w:sz w:val="24"/>
          <w:szCs w:val="24"/>
        </w:rPr>
        <w:t>9</w:t>
      </w:r>
      <w:r>
        <w:rPr>
          <w:color w:val="000000"/>
          <w:sz w:val="24"/>
          <w:szCs w:val="24"/>
        </w:rPr>
        <w:t>、基金托管人业务资格批件、营业执照；</w:t>
      </w:r>
    </w:p>
    <w:p w:rsidR="005F2E25" w:rsidRDefault="003A323F">
      <w:pPr>
        <w:spacing w:before="29" w:line="288" w:lineRule="auto"/>
        <w:ind w:firstLineChars="200" w:firstLine="480"/>
        <w:rPr>
          <w:color w:val="000000"/>
          <w:sz w:val="24"/>
          <w:szCs w:val="24"/>
        </w:rPr>
      </w:pPr>
      <w:r>
        <w:rPr>
          <w:color w:val="000000"/>
          <w:sz w:val="24"/>
          <w:szCs w:val="24"/>
        </w:rPr>
        <w:t>10</w:t>
      </w:r>
      <w:r>
        <w:rPr>
          <w:color w:val="000000"/>
          <w:sz w:val="24"/>
          <w:szCs w:val="24"/>
        </w:rPr>
        <w:t>、关于申请募集交银施罗德沪深</w:t>
      </w:r>
      <w:r>
        <w:rPr>
          <w:color w:val="000000"/>
          <w:sz w:val="24"/>
          <w:szCs w:val="24"/>
        </w:rPr>
        <w:t>300</w:t>
      </w:r>
      <w:r>
        <w:rPr>
          <w:color w:val="000000"/>
          <w:sz w:val="24"/>
          <w:szCs w:val="24"/>
        </w:rPr>
        <w:t>行业分层等权重指数证券投资基金之法律意见书；</w:t>
      </w:r>
    </w:p>
    <w:p w:rsidR="005F2E25" w:rsidRDefault="003A323F">
      <w:pPr>
        <w:spacing w:before="29" w:line="288" w:lineRule="auto"/>
        <w:ind w:firstLineChars="200" w:firstLine="480"/>
        <w:rPr>
          <w:color w:val="000000"/>
          <w:sz w:val="24"/>
          <w:szCs w:val="24"/>
        </w:rPr>
      </w:pPr>
      <w:r>
        <w:rPr>
          <w:color w:val="000000"/>
          <w:sz w:val="24"/>
          <w:szCs w:val="24"/>
        </w:rPr>
        <w:t>11</w:t>
      </w:r>
      <w:r>
        <w:rPr>
          <w:color w:val="000000"/>
          <w:sz w:val="24"/>
          <w:szCs w:val="24"/>
        </w:rPr>
        <w:t>、关于《申请交银施罗德沪深</w:t>
      </w:r>
      <w:r>
        <w:rPr>
          <w:color w:val="000000"/>
          <w:sz w:val="24"/>
          <w:szCs w:val="24"/>
        </w:rPr>
        <w:t>300</w:t>
      </w:r>
      <w:r>
        <w:rPr>
          <w:color w:val="000000"/>
          <w:sz w:val="24"/>
          <w:szCs w:val="24"/>
        </w:rPr>
        <w:t>行业分层等权重指数证券投资基金变更注册为交银施罗德消费新驱动股票型证券投资基金》的法律意见；</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12</w:t>
      </w:r>
      <w:r w:rsidRPr="00414345">
        <w:rPr>
          <w:color w:val="000000"/>
          <w:sz w:val="24"/>
          <w:szCs w:val="24"/>
        </w:rPr>
        <w:t>、报告期内交银施罗德消费新驱动股票型证券投资基金、交银施罗德沪深</w:t>
      </w:r>
      <w:r w:rsidRPr="00414345">
        <w:rPr>
          <w:color w:val="000000"/>
          <w:sz w:val="24"/>
          <w:szCs w:val="24"/>
        </w:rPr>
        <w:t>300</w:t>
      </w:r>
      <w:r w:rsidRPr="00414345">
        <w:rPr>
          <w:color w:val="000000"/>
          <w:sz w:val="24"/>
          <w:szCs w:val="24"/>
        </w:rPr>
        <w:t>行业分层等权重指数证券投资基金在指定报刊上各项公告的原稿。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5F2E25" w:rsidRDefault="003A323F">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23F" w:rsidRDefault="003A323F" w:rsidP="00876D65">
      <w:r>
        <w:separator/>
      </w:r>
    </w:p>
  </w:endnote>
  <w:endnote w:type="continuationSeparator" w:id="0">
    <w:p w:rsidR="003A323F" w:rsidRDefault="003A323F"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宋体"/>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0521D2">
      <w:rPr>
        <w:noProof/>
        <w:kern w:val="0"/>
        <w:szCs w:val="21"/>
      </w:rPr>
      <w:t>3</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0521D2">
      <w:rPr>
        <w:noProof/>
        <w:kern w:val="0"/>
        <w:szCs w:val="21"/>
      </w:rPr>
      <w:t>11</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23F" w:rsidRDefault="003A323F" w:rsidP="00876D65">
      <w:r>
        <w:separator/>
      </w:r>
    </w:p>
  </w:footnote>
  <w:footnote w:type="continuationSeparator" w:id="0">
    <w:p w:rsidR="003A323F" w:rsidRDefault="003A323F"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521D2"/>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323F"/>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2E25"/>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A5AD6"/>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2329"/>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E5C64-4AA6-4E3B-A23D-E5657080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11</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564</cp:revision>
  <dcterms:created xsi:type="dcterms:W3CDTF">2012-10-16T06:07:00Z</dcterms:created>
  <dcterms:modified xsi:type="dcterms:W3CDTF">2016-07-19T06:52:00Z</dcterms:modified>
</cp:coreProperties>
</file>