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2016年第2季度报告</w:t>
      </w:r>
    </w:p>
    <w:p w:rsidR="004061AC" w:rsidRPr="0081286B" w:rsidRDefault="00655CD8" w:rsidP="00C15CAC">
      <w:pPr>
        <w:spacing w:before="29" w:line="288" w:lineRule="auto"/>
        <w:jc w:val="center"/>
        <w:rPr>
          <w:b/>
          <w:sz w:val="36"/>
          <w:szCs w:val="36"/>
        </w:rPr>
      </w:pPr>
      <w:r w:rsidRPr="0081286B">
        <w:rPr>
          <w:b/>
          <w:sz w:val="36"/>
          <w:szCs w:val="36"/>
        </w:rPr>
        <w:t>2016年6月30日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基金托管人中国建设银行股份有限公司根据本基金合同规定，于2016年7月20日复核了本报告中的财务指标、净值表现和投资组合报告等内容，保证复核内容不存在虚假记载、误导性陈述或者重大遗漏。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 xml:space="preserve">本报告中财务资料未经审计。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本报告期自2016年4月1日起至6月30日止。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52,788,270.72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(2016年4月1日-2016年6月30日)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7,220,792.24</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7,230,209.99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0.1365</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108,529,222.43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2.056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7.03%</w:t>
            </w:r>
          </w:p>
        </w:tc>
        <w:tc>
          <w:tcPr>
            <w:vAlign w:val="center"/>
          </w:tcPr>
          <w:p>
            <w:pPr>
              <w:jc w:val="center"/>
            </w:pPr>
            <w:r>
              <w:rPr>
                <w:color w:val="000000"/>
                <w:sz w:val="24"/>
                <w:szCs w:val="24"/>
              </w:rPr>
              <w:t>1.44%</w:t>
            </w:r>
          </w:p>
        </w:tc>
        <w:tc>
          <w:tcPr>
            <w:vAlign w:val="center"/>
          </w:tcPr>
          <w:p>
            <w:pPr>
              <w:jc w:val="center"/>
            </w:pPr>
            <w:r>
              <w:rPr>
                <w:color w:val="000000"/>
                <w:sz w:val="24"/>
                <w:szCs w:val="24"/>
              </w:rPr>
              <w:t>-1.34%</w:t>
            </w:r>
          </w:p>
        </w:tc>
        <w:tc>
          <w:tcPr>
            <w:vAlign w:val="center"/>
          </w:tcPr>
          <w:p>
            <w:pPr>
              <w:jc w:val="center"/>
            </w:pPr>
            <w:r>
              <w:rPr>
                <w:color w:val="000000"/>
                <w:sz w:val="24"/>
                <w:szCs w:val="24"/>
              </w:rPr>
              <w:t>0.76%</w:t>
            </w:r>
          </w:p>
        </w:tc>
        <w:tc>
          <w:tcPr>
            <w:vAlign w:val="center"/>
          </w:tcPr>
          <w:p>
            <w:pPr>
              <w:jc w:val="center"/>
            </w:pPr>
            <w:r>
              <w:rPr>
                <w:color w:val="000000"/>
                <w:sz w:val="24"/>
                <w:szCs w:val="24"/>
              </w:rPr>
              <w:t>8.37%</w:t>
            </w:r>
          </w:p>
        </w:tc>
        <w:tc>
          <w:tcPr>
            <w:vAlign w:val="center"/>
          </w:tcPr>
          <w:p>
            <w:pPr>
              <w:jc w:val="center"/>
            </w:pPr>
            <w:r>
              <w:rPr>
                <w:color w:val="000000"/>
                <w:sz w:val="24"/>
                <w:szCs w:val="24"/>
              </w:rPr>
              <w:t>0.68%</w:t>
            </w:r>
          </w:p>
        </w:tc>
      </w:tr>
    </w:tbl>
    <w:p w:rsidR="004061AC" w:rsidRPr="00414345" w:rsidRDefault="003F39DF"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2012年8月3日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2016年6月30日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中国证监会于2015年对公司进行了“两加强两遏制”检查，后续并就公司内部控制提出了相应改进意见及采取责令改正的行政监管措施。公司已经完成了相关问题的整改，并已向监管部门上报了专项报告。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由于投资组合被动超标的合规调整需要而发生同日反向交易，未发现不公平交易和利益输送的情况。本基金与本公司管理的其他投资组合在不同时间窗下（如日内、3日内、5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2016年二季度，经济环境波动加大，美国非农数据意外低于预期及英国“脱欧”事件，使得经济不确定性增强。同时监管层对于资本市场并购重组等监管力度加强，对于各类“杠杆”非常谨慎。市场整体处于振荡格局，各类热点主题活跃。2016年二季度上证指数下跌2.47%，而创业板指下跌0.47%。</w:t>
      </w:r>
    </w:p>
    <w:p>
      <w:pPr>
        <w:spacing w:before="29" w:line="288" w:lineRule="auto"/>
        <w:ind w:firstLineChars="200" w:firstLine="480"/>
        <w:rPr>
          <w:color w:val="000000"/>
          <w:sz w:val="24"/>
          <w:szCs w:val="24"/>
        </w:rPr>
      </w:pPr>
      <w:r>
        <w:rPr>
          <w:color w:val="000000"/>
          <w:sz w:val="24"/>
          <w:szCs w:val="24"/>
        </w:rPr>
        <w:t>2016年二季度部分细分行业表现活跃，比如新能源汽车产业链、物联网、电子元器件产业链等。本基金在二季度超配了电子元器件行业，在二季度明显跑赢了业绩比较基准。</w:t>
      </w:r>
    </w:p>
    <w:p>
      <w:pPr>
        <w:spacing w:before="29" w:line="288" w:lineRule="auto"/>
        <w:ind w:firstLineChars="200" w:firstLine="480"/>
        <w:rPr>
          <w:color w:val="000000"/>
          <w:sz w:val="24"/>
          <w:szCs w:val="24"/>
        </w:rPr>
      </w:pPr>
      <w:r>
        <w:rPr>
          <w:color w:val="000000"/>
          <w:sz w:val="24"/>
          <w:szCs w:val="24"/>
        </w:rPr>
        <w:t>展望2016年三季度，市场存在较大的不确定性。由于经济潜在增长率下降，经济增速下行的压力并未改变。“脱欧”等衍生风险并未清晰，外围环境不稳定。而国内大幅宽松及经济刺激的可能性不大。6月份后大小非减持公告明显增加，我们预计资本市场较难存在系统性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2016年三季度，仍将聚焦优选新兴成长行业，特别是上半年市场关注度不高的可持续成长行业，比如传媒、旅游等。发掘未来2-3年有实质性成长空间和潜力的细分行业，并集中配置，争取为投资人获得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截至2016年6月30日，本基金份额净值为2.056元，本报告期份额净值增长率为7.03%，同期业绩比较基准增长率为-1.34%。</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81,276,190.36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81,276,190.36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90,067.60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90,067.60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26,356,162.17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23.79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3,045,140.88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110,767,561.01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rFonts w:hint="eastAsia"/>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895,207.60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172,730.00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34,776,091.55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635,700.00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5,623,788.00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328,568.00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4,675,056.36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4,393,140.00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1,224,632.00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1,763,555.40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9,892,496.45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7,896,342.00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8,998,883.00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81,276,190.36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74.89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2" w:name="_GoBack"/>
      <w:bookmarkEnd w:id="2"/>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600054</w:t>
            </w:r>
          </w:p>
        </w:tc>
        <w:tc>
          <w:tcPr>
            <w:vAlign w:val="center"/>
          </w:tcPr>
          <w:p>
            <w:pPr>
              <w:jc w:val="center"/>
            </w:pPr>
            <w:r>
              <w:rPr>
                <w:color w:val="000000"/>
                <w:sz w:val="24"/>
                <w:szCs w:val="24"/>
              </w:rPr>
              <w:t>黄山旅游</w:t>
            </w:r>
          </w:p>
        </w:tc>
        <w:tc>
          <w:tcPr>
            <w:vAlign w:val="center"/>
          </w:tcPr>
          <w:p>
            <w:pPr>
              <w:jc w:val="right"/>
            </w:pPr>
            <w:r>
              <w:rPr>
                <w:color w:val="000000"/>
                <w:sz w:val="24"/>
                <w:szCs w:val="24"/>
              </w:rPr>
              <w:t>605,585</w:t>
            </w:r>
          </w:p>
        </w:tc>
        <w:tc>
          <w:tcPr>
            <w:vAlign w:val="center"/>
          </w:tcPr>
          <w:p>
            <w:pPr>
              <w:jc w:val="right"/>
            </w:pPr>
            <w:r>
              <w:rPr>
                <w:color w:val="000000"/>
                <w:sz w:val="24"/>
                <w:szCs w:val="24"/>
              </w:rPr>
              <w:t>9,743,862.65</w:t>
            </w:r>
          </w:p>
        </w:tc>
        <w:tc>
          <w:tcPr>
            <w:vAlign w:val="center"/>
          </w:tcPr>
          <w:p>
            <w:pPr>
              <w:jc w:val="right"/>
            </w:pPr>
            <w:r>
              <w:rPr>
                <w:color w:val="000000"/>
                <w:sz w:val="24"/>
                <w:szCs w:val="24"/>
              </w:rPr>
              <w:t>8.98</w:t>
            </w:r>
          </w:p>
        </w:tc>
      </w:tr>
      <w:tr>
        <w:tc>
          <w:tcPr>
            <w:vAlign w:val="center"/>
          </w:tcPr>
          <w:p>
            <w:pPr>
              <w:jc w:val="center"/>
            </w:pPr>
            <w:r>
              <w:rPr>
                <w:color w:val="000000"/>
                <w:sz w:val="24"/>
                <w:szCs w:val="24"/>
              </w:rPr>
              <w:t>2</w:t>
            </w:r>
          </w:p>
        </w:tc>
        <w:tc>
          <w:tcPr>
            <w:vAlign w:val="center"/>
          </w:tcPr>
          <w:p>
            <w:pPr>
              <w:jc w:val="center"/>
            </w:pPr>
            <w:r>
              <w:rPr>
                <w:color w:val="000000"/>
                <w:sz w:val="24"/>
                <w:szCs w:val="24"/>
              </w:rPr>
              <w:t>300347</w:t>
            </w:r>
          </w:p>
        </w:tc>
        <w:tc>
          <w:tcPr>
            <w:vAlign w:val="center"/>
          </w:tcPr>
          <w:p>
            <w:pPr>
              <w:jc w:val="center"/>
            </w:pPr>
            <w:r>
              <w:rPr>
                <w:color w:val="000000"/>
                <w:sz w:val="24"/>
                <w:szCs w:val="24"/>
              </w:rPr>
              <w:t>泰格医药</w:t>
            </w:r>
          </w:p>
        </w:tc>
        <w:tc>
          <w:tcPr>
            <w:vAlign w:val="center"/>
          </w:tcPr>
          <w:p>
            <w:pPr>
              <w:jc w:val="right"/>
            </w:pPr>
            <w:r>
              <w:rPr>
                <w:color w:val="000000"/>
                <w:sz w:val="24"/>
                <w:szCs w:val="24"/>
              </w:rPr>
              <w:t>272,100</w:t>
            </w:r>
          </w:p>
        </w:tc>
        <w:tc>
          <w:tcPr>
            <w:vAlign w:val="center"/>
          </w:tcPr>
          <w:p>
            <w:pPr>
              <w:jc w:val="right"/>
            </w:pPr>
            <w:r>
              <w:rPr>
                <w:color w:val="000000"/>
                <w:sz w:val="24"/>
                <w:szCs w:val="24"/>
              </w:rPr>
              <w:t>7,896,342.00</w:t>
            </w:r>
          </w:p>
        </w:tc>
        <w:tc>
          <w:tcPr>
            <w:vAlign w:val="center"/>
          </w:tcPr>
          <w:p>
            <w:pPr>
              <w:jc w:val="right"/>
            </w:pPr>
            <w:r>
              <w:rPr>
                <w:color w:val="000000"/>
                <w:sz w:val="24"/>
                <w:szCs w:val="24"/>
              </w:rPr>
              <w:t>7.28</w:t>
            </w:r>
          </w:p>
        </w:tc>
      </w:tr>
      <w:tr>
        <w:tc>
          <w:tcPr>
            <w:vAlign w:val="center"/>
          </w:tcPr>
          <w:p>
            <w:pPr>
              <w:jc w:val="center"/>
            </w:pPr>
            <w:r>
              <w:rPr>
                <w:color w:val="000000"/>
                <w:sz w:val="24"/>
                <w:szCs w:val="24"/>
              </w:rPr>
              <w:t>3</w:t>
            </w:r>
          </w:p>
        </w:tc>
        <w:tc>
          <w:tcPr>
            <w:vAlign w:val="center"/>
          </w:tcPr>
          <w:p>
            <w:pPr>
              <w:jc w:val="center"/>
            </w:pPr>
            <w:r>
              <w:rPr>
                <w:color w:val="000000"/>
                <w:sz w:val="24"/>
                <w:szCs w:val="24"/>
              </w:rPr>
              <w:t>000821</w:t>
            </w:r>
          </w:p>
        </w:tc>
        <w:tc>
          <w:tcPr>
            <w:vAlign w:val="center"/>
          </w:tcPr>
          <w:p>
            <w:pPr>
              <w:jc w:val="center"/>
            </w:pPr>
            <w:r>
              <w:rPr>
                <w:color w:val="000000"/>
                <w:sz w:val="24"/>
                <w:szCs w:val="24"/>
              </w:rPr>
              <w:t>京山轻机</w:t>
            </w:r>
          </w:p>
        </w:tc>
        <w:tc>
          <w:tcPr>
            <w:vAlign w:val="center"/>
          </w:tcPr>
          <w:p>
            <w:pPr>
              <w:jc w:val="right"/>
            </w:pPr>
            <w:r>
              <w:rPr>
                <w:color w:val="000000"/>
                <w:sz w:val="24"/>
                <w:szCs w:val="24"/>
              </w:rPr>
              <w:t>442,100</w:t>
            </w:r>
          </w:p>
        </w:tc>
        <w:tc>
          <w:tcPr>
            <w:vAlign w:val="center"/>
          </w:tcPr>
          <w:p>
            <w:pPr>
              <w:jc w:val="right"/>
            </w:pPr>
            <w:r>
              <w:rPr>
                <w:color w:val="000000"/>
                <w:sz w:val="24"/>
                <w:szCs w:val="24"/>
              </w:rPr>
              <w:t>7,789,802.00</w:t>
            </w:r>
          </w:p>
        </w:tc>
        <w:tc>
          <w:tcPr>
            <w:vAlign w:val="center"/>
          </w:tcPr>
          <w:p>
            <w:pPr>
              <w:jc w:val="right"/>
            </w:pPr>
            <w:r>
              <w:rPr>
                <w:color w:val="000000"/>
                <w:sz w:val="24"/>
                <w:szCs w:val="24"/>
              </w:rPr>
              <w:t>7.18</w:t>
            </w:r>
          </w:p>
        </w:tc>
      </w:tr>
      <w:tr>
        <w:tc>
          <w:tcPr>
            <w:vAlign w:val="center"/>
          </w:tcPr>
          <w:p>
            <w:pPr>
              <w:jc w:val="center"/>
            </w:pPr>
            <w:r>
              <w:rPr>
                <w:color w:val="000000"/>
                <w:sz w:val="24"/>
                <w:szCs w:val="24"/>
              </w:rPr>
              <w:t>4</w:t>
            </w:r>
          </w:p>
        </w:tc>
        <w:tc>
          <w:tcPr>
            <w:vAlign w:val="center"/>
          </w:tcPr>
          <w:p>
            <w:pPr>
              <w:jc w:val="center"/>
            </w:pPr>
            <w:r>
              <w:rPr>
                <w:color w:val="000000"/>
                <w:sz w:val="24"/>
                <w:szCs w:val="24"/>
              </w:rPr>
              <w:t>002375</w:t>
            </w:r>
          </w:p>
        </w:tc>
        <w:tc>
          <w:tcPr>
            <w:vAlign w:val="center"/>
          </w:tcPr>
          <w:p>
            <w:pPr>
              <w:jc w:val="center"/>
            </w:pPr>
            <w:r>
              <w:rPr>
                <w:color w:val="000000"/>
                <w:sz w:val="24"/>
                <w:szCs w:val="24"/>
              </w:rPr>
              <w:t>亚厦股份</w:t>
            </w:r>
          </w:p>
        </w:tc>
        <w:tc>
          <w:tcPr>
            <w:vAlign w:val="center"/>
          </w:tcPr>
          <w:p>
            <w:pPr>
              <w:jc w:val="right"/>
            </w:pPr>
            <w:r>
              <w:rPr>
                <w:color w:val="000000"/>
                <w:sz w:val="24"/>
                <w:szCs w:val="24"/>
              </w:rPr>
              <w:t>462,800</w:t>
            </w:r>
          </w:p>
        </w:tc>
        <w:tc>
          <w:tcPr>
            <w:vAlign w:val="center"/>
          </w:tcPr>
          <w:p>
            <w:pPr>
              <w:jc w:val="right"/>
            </w:pPr>
            <w:r>
              <w:rPr>
                <w:color w:val="000000"/>
                <w:sz w:val="24"/>
                <w:szCs w:val="24"/>
              </w:rPr>
              <w:t>5,229,640.00</w:t>
            </w:r>
          </w:p>
        </w:tc>
        <w:tc>
          <w:tcPr>
            <w:vAlign w:val="center"/>
          </w:tcPr>
          <w:p>
            <w:pPr>
              <w:jc w:val="right"/>
            </w:pPr>
            <w:r>
              <w:rPr>
                <w:color w:val="000000"/>
                <w:sz w:val="24"/>
                <w:szCs w:val="24"/>
              </w:rPr>
              <w:t>4.82</w:t>
            </w:r>
          </w:p>
        </w:tc>
      </w:tr>
      <w:tr>
        <w:tc>
          <w:tcPr>
            <w:vAlign w:val="center"/>
          </w:tcPr>
          <w:p>
            <w:pPr>
              <w:jc w:val="center"/>
            </w:pPr>
            <w:r>
              <w:rPr>
                <w:color w:val="000000"/>
                <w:sz w:val="24"/>
                <w:szCs w:val="24"/>
              </w:rPr>
              <w:t>5</w:t>
            </w:r>
          </w:p>
        </w:tc>
        <w:tc>
          <w:tcPr>
            <w:vAlign w:val="center"/>
          </w:tcPr>
          <w:p>
            <w:pPr>
              <w:jc w:val="center"/>
            </w:pPr>
            <w:r>
              <w:rPr>
                <w:color w:val="000000"/>
                <w:sz w:val="24"/>
                <w:szCs w:val="24"/>
              </w:rPr>
              <w:t>002463</w:t>
            </w:r>
          </w:p>
        </w:tc>
        <w:tc>
          <w:tcPr>
            <w:vAlign w:val="center"/>
          </w:tcPr>
          <w:p>
            <w:pPr>
              <w:jc w:val="center"/>
            </w:pPr>
            <w:r>
              <w:rPr>
                <w:color w:val="000000"/>
                <w:sz w:val="24"/>
                <w:szCs w:val="24"/>
              </w:rPr>
              <w:t>沪电股份</w:t>
            </w:r>
          </w:p>
        </w:tc>
        <w:tc>
          <w:tcPr>
            <w:vAlign w:val="center"/>
          </w:tcPr>
          <w:p>
            <w:pPr>
              <w:jc w:val="right"/>
            </w:pPr>
            <w:r>
              <w:rPr>
                <w:color w:val="000000"/>
                <w:sz w:val="24"/>
                <w:szCs w:val="24"/>
              </w:rPr>
              <w:t>895,241</w:t>
            </w:r>
          </w:p>
        </w:tc>
        <w:tc>
          <w:tcPr>
            <w:vAlign w:val="center"/>
          </w:tcPr>
          <w:p>
            <w:pPr>
              <w:jc w:val="right"/>
            </w:pPr>
            <w:r>
              <w:rPr>
                <w:color w:val="000000"/>
                <w:sz w:val="24"/>
                <w:szCs w:val="24"/>
              </w:rPr>
              <w:t>4,726,872.48</w:t>
            </w:r>
          </w:p>
        </w:tc>
        <w:tc>
          <w:tcPr>
            <w:vAlign w:val="center"/>
          </w:tcPr>
          <w:p>
            <w:pPr>
              <w:jc w:val="right"/>
            </w:pPr>
            <w:r>
              <w:rPr>
                <w:color w:val="000000"/>
                <w:sz w:val="24"/>
                <w:szCs w:val="24"/>
              </w:rPr>
              <w:t>4.36</w:t>
            </w:r>
          </w:p>
        </w:tc>
      </w:tr>
      <w:tr>
        <w:tc>
          <w:tcPr>
            <w:vAlign w:val="center"/>
          </w:tcPr>
          <w:p>
            <w:pPr>
              <w:jc w:val="center"/>
            </w:pPr>
            <w:r>
              <w:rPr>
                <w:color w:val="000000"/>
                <w:sz w:val="24"/>
                <w:szCs w:val="24"/>
              </w:rPr>
              <w:t>6</w:t>
            </w:r>
          </w:p>
        </w:tc>
        <w:tc>
          <w:tcPr>
            <w:vAlign w:val="center"/>
          </w:tcPr>
          <w:p>
            <w:pPr>
              <w:jc w:val="center"/>
            </w:pPr>
            <w:r>
              <w:rPr>
                <w:color w:val="000000"/>
                <w:sz w:val="24"/>
                <w:szCs w:val="24"/>
              </w:rPr>
              <w:t>002624</w:t>
            </w:r>
          </w:p>
        </w:tc>
        <w:tc>
          <w:tcPr>
            <w:vAlign w:val="center"/>
          </w:tcPr>
          <w:p>
            <w:pPr>
              <w:jc w:val="center"/>
            </w:pPr>
            <w:r>
              <w:rPr>
                <w:color w:val="000000"/>
                <w:sz w:val="24"/>
                <w:szCs w:val="24"/>
              </w:rPr>
              <w:t>完美环球</w:t>
            </w:r>
          </w:p>
        </w:tc>
        <w:tc>
          <w:tcPr>
            <w:vAlign w:val="center"/>
          </w:tcPr>
          <w:p>
            <w:pPr>
              <w:jc w:val="right"/>
            </w:pPr>
            <w:r>
              <w:rPr>
                <w:color w:val="000000"/>
                <w:sz w:val="24"/>
                <w:szCs w:val="24"/>
              </w:rPr>
              <w:t>124,124</w:t>
            </w:r>
          </w:p>
        </w:tc>
        <w:tc>
          <w:tcPr>
            <w:vAlign w:val="center"/>
          </w:tcPr>
          <w:p>
            <w:pPr>
              <w:jc w:val="right"/>
            </w:pPr>
            <w:r>
              <w:rPr>
                <w:color w:val="000000"/>
                <w:sz w:val="24"/>
                <w:szCs w:val="24"/>
              </w:rPr>
              <w:t>4,685,681.00</w:t>
            </w:r>
          </w:p>
        </w:tc>
        <w:tc>
          <w:tcPr>
            <w:vAlign w:val="center"/>
          </w:tcPr>
          <w:p>
            <w:pPr>
              <w:jc w:val="right"/>
            </w:pPr>
            <w:r>
              <w:rPr>
                <w:color w:val="000000"/>
                <w:sz w:val="24"/>
                <w:szCs w:val="24"/>
              </w:rPr>
              <w:t>4.32</w:t>
            </w:r>
          </w:p>
        </w:tc>
      </w:tr>
      <w:tr>
        <w:tc>
          <w:tcPr>
            <w:vAlign w:val="center"/>
          </w:tcPr>
          <w:p>
            <w:pPr>
              <w:jc w:val="center"/>
            </w:pPr>
            <w:r>
              <w:rPr>
                <w:color w:val="000000"/>
                <w:sz w:val="24"/>
                <w:szCs w:val="24"/>
              </w:rPr>
              <w:t>7</w:t>
            </w:r>
          </w:p>
        </w:tc>
        <w:tc>
          <w:tcPr>
            <w:vAlign w:val="center"/>
          </w:tcPr>
          <w:p>
            <w:pPr>
              <w:jc w:val="center"/>
            </w:pPr>
            <w:r>
              <w:rPr>
                <w:color w:val="000000"/>
                <w:sz w:val="24"/>
                <w:szCs w:val="24"/>
              </w:rPr>
              <w:t>002343</w:t>
            </w:r>
          </w:p>
        </w:tc>
        <w:tc>
          <w:tcPr>
            <w:vAlign w:val="center"/>
          </w:tcPr>
          <w:p>
            <w:pPr>
              <w:jc w:val="center"/>
            </w:pPr>
            <w:r>
              <w:rPr>
                <w:color w:val="000000"/>
                <w:sz w:val="24"/>
                <w:szCs w:val="24"/>
              </w:rPr>
              <w:t>慈文传媒</w:t>
            </w:r>
          </w:p>
        </w:tc>
        <w:tc>
          <w:tcPr>
            <w:vAlign w:val="center"/>
          </w:tcPr>
          <w:p>
            <w:pPr>
              <w:jc w:val="right"/>
            </w:pPr>
            <w:r>
              <w:rPr>
                <w:color w:val="000000"/>
                <w:sz w:val="24"/>
                <w:szCs w:val="24"/>
              </w:rPr>
              <w:t>88,932</w:t>
            </w:r>
          </w:p>
        </w:tc>
        <w:tc>
          <w:tcPr>
            <w:vAlign w:val="center"/>
          </w:tcPr>
          <w:p>
            <w:pPr>
              <w:jc w:val="right"/>
            </w:pPr>
            <w:r>
              <w:rPr>
                <w:color w:val="000000"/>
                <w:sz w:val="24"/>
                <w:szCs w:val="24"/>
              </w:rPr>
              <w:t>4,313,202.00</w:t>
            </w:r>
          </w:p>
        </w:tc>
        <w:tc>
          <w:tcPr>
            <w:vAlign w:val="center"/>
          </w:tcPr>
          <w:p>
            <w:pPr>
              <w:jc w:val="right"/>
            </w:pPr>
            <w:r>
              <w:rPr>
                <w:color w:val="000000"/>
                <w:sz w:val="24"/>
                <w:szCs w:val="24"/>
              </w:rPr>
              <w:t>3.97</w:t>
            </w:r>
          </w:p>
        </w:tc>
      </w:tr>
      <w:tr>
        <w:tc>
          <w:tcPr>
            <w:vAlign w:val="center"/>
          </w:tcPr>
          <w:p>
            <w:pPr>
              <w:jc w:val="center"/>
            </w:pPr>
            <w:r>
              <w:rPr>
                <w:color w:val="000000"/>
                <w:sz w:val="24"/>
                <w:szCs w:val="24"/>
              </w:rPr>
              <w:t>8</w:t>
            </w:r>
          </w:p>
        </w:tc>
        <w:tc>
          <w:tcPr>
            <w:vAlign w:val="center"/>
          </w:tcPr>
          <w:p>
            <w:pPr>
              <w:jc w:val="center"/>
            </w:pPr>
            <w:r>
              <w:rPr>
                <w:color w:val="000000"/>
                <w:sz w:val="24"/>
                <w:szCs w:val="24"/>
              </w:rPr>
              <w:t>300367</w:t>
            </w:r>
          </w:p>
        </w:tc>
        <w:tc>
          <w:tcPr>
            <w:vAlign w:val="center"/>
          </w:tcPr>
          <w:p>
            <w:pPr>
              <w:jc w:val="center"/>
            </w:pPr>
            <w:r>
              <w:rPr>
                <w:color w:val="000000"/>
                <w:sz w:val="24"/>
                <w:szCs w:val="24"/>
              </w:rPr>
              <w:t>东方网力</w:t>
            </w:r>
          </w:p>
        </w:tc>
        <w:tc>
          <w:tcPr>
            <w:vAlign w:val="center"/>
          </w:tcPr>
          <w:p>
            <w:pPr>
              <w:jc w:val="right"/>
            </w:pPr>
            <w:r>
              <w:rPr>
                <w:color w:val="000000"/>
                <w:sz w:val="24"/>
                <w:szCs w:val="24"/>
              </w:rPr>
              <w:t>149,289</w:t>
            </w:r>
          </w:p>
        </w:tc>
        <w:tc>
          <w:tcPr>
            <w:vAlign w:val="center"/>
          </w:tcPr>
          <w:p>
            <w:pPr>
              <w:jc w:val="right"/>
            </w:pPr>
            <w:r>
              <w:rPr>
                <w:color w:val="000000"/>
                <w:sz w:val="24"/>
                <w:szCs w:val="24"/>
              </w:rPr>
              <w:t>3,706,845.87</w:t>
            </w:r>
          </w:p>
        </w:tc>
        <w:tc>
          <w:tcPr>
            <w:vAlign w:val="center"/>
          </w:tcPr>
          <w:p>
            <w:pPr>
              <w:jc w:val="right"/>
            </w:pPr>
            <w:r>
              <w:rPr>
                <w:color w:val="000000"/>
                <w:sz w:val="24"/>
                <w:szCs w:val="24"/>
              </w:rPr>
              <w:t>3.42</w:t>
            </w:r>
          </w:p>
        </w:tc>
      </w:tr>
      <w:tr>
        <w:tc>
          <w:tcPr>
            <w:vAlign w:val="center"/>
          </w:tcPr>
          <w:p>
            <w:pPr>
              <w:jc w:val="center"/>
            </w:pPr>
            <w:r>
              <w:rPr>
                <w:color w:val="000000"/>
                <w:sz w:val="24"/>
                <w:szCs w:val="24"/>
              </w:rPr>
              <w:t>9</w:t>
            </w:r>
          </w:p>
        </w:tc>
        <w:tc>
          <w:tcPr>
            <w:vAlign w:val="center"/>
          </w:tcPr>
          <w:p>
            <w:pPr>
              <w:jc w:val="center"/>
            </w:pPr>
            <w:r>
              <w:rPr>
                <w:color w:val="000000"/>
                <w:sz w:val="24"/>
                <w:szCs w:val="24"/>
              </w:rPr>
              <w:t>002131</w:t>
            </w:r>
          </w:p>
        </w:tc>
        <w:tc>
          <w:tcPr>
            <w:vAlign w:val="center"/>
          </w:tcPr>
          <w:p>
            <w:pPr>
              <w:jc w:val="center"/>
            </w:pPr>
            <w:r>
              <w:rPr>
                <w:color w:val="000000"/>
                <w:sz w:val="24"/>
                <w:szCs w:val="24"/>
              </w:rPr>
              <w:t>利欧股份</w:t>
            </w:r>
          </w:p>
        </w:tc>
        <w:tc>
          <w:tcPr>
            <w:vAlign w:val="center"/>
          </w:tcPr>
          <w:p>
            <w:pPr>
              <w:jc w:val="right"/>
            </w:pPr>
            <w:r>
              <w:rPr>
                <w:color w:val="000000"/>
                <w:sz w:val="24"/>
                <w:szCs w:val="24"/>
              </w:rPr>
              <w:t>174,504</w:t>
            </w:r>
          </w:p>
        </w:tc>
        <w:tc>
          <w:tcPr>
            <w:vAlign w:val="center"/>
          </w:tcPr>
          <w:p>
            <w:pPr>
              <w:jc w:val="right"/>
            </w:pPr>
            <w:r>
              <w:rPr>
                <w:color w:val="000000"/>
                <w:sz w:val="24"/>
                <w:szCs w:val="24"/>
              </w:rPr>
              <w:t>2,982,273.36</w:t>
            </w:r>
          </w:p>
        </w:tc>
        <w:tc>
          <w:tcPr>
            <w:vAlign w:val="center"/>
          </w:tcPr>
          <w:p>
            <w:pPr>
              <w:jc w:val="right"/>
            </w:pPr>
            <w:r>
              <w:rPr>
                <w:color w:val="000000"/>
                <w:sz w:val="24"/>
                <w:szCs w:val="24"/>
              </w:rPr>
              <w:t>2.75</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600559</w:t>
            </w:r>
          </w:p>
        </w:tc>
        <w:tc>
          <w:tcPr>
            <w:vAlign w:val="center"/>
          </w:tcPr>
          <w:p>
            <w:pPr>
              <w:jc w:val="center"/>
            </w:pPr>
            <w:r>
              <w:rPr>
                <w:color w:val="000000"/>
                <w:sz w:val="24"/>
                <w:szCs w:val="24"/>
              </w:rPr>
              <w:t>老白干酒</w:t>
            </w:r>
          </w:p>
        </w:tc>
        <w:tc>
          <w:tcPr>
            <w:vAlign w:val="center"/>
          </w:tcPr>
          <w:p>
            <w:pPr>
              <w:jc w:val="right"/>
            </w:pPr>
            <w:r>
              <w:rPr>
                <w:color w:val="000000"/>
                <w:sz w:val="24"/>
                <w:szCs w:val="24"/>
              </w:rPr>
              <w:t>112,450</w:t>
            </w:r>
          </w:p>
        </w:tc>
        <w:tc>
          <w:tcPr>
            <w:vAlign w:val="center"/>
          </w:tcPr>
          <w:p>
            <w:pPr>
              <w:jc w:val="right"/>
            </w:pPr>
            <w:r>
              <w:rPr>
                <w:color w:val="000000"/>
                <w:sz w:val="24"/>
                <w:szCs w:val="24"/>
              </w:rPr>
              <w:t>2,694,302.00</w:t>
            </w:r>
          </w:p>
        </w:tc>
        <w:tc>
          <w:tcPr>
            <w:vAlign w:val="center"/>
          </w:tcPr>
          <w:p>
            <w:pPr>
              <w:jc w:val="right"/>
            </w:pPr>
            <w:r>
              <w:rPr>
                <w:color w:val="000000"/>
                <w:sz w:val="24"/>
                <w:szCs w:val="24"/>
              </w:rPr>
              <w:t>2.48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lastRenderedPageBreak/>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90,067.60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90,067.60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110035</w:t>
            </w:r>
          </w:p>
        </w:tc>
        <w:tc>
          <w:tcPr>
            <w:vAlign w:val="center"/>
          </w:tcPr>
          <w:p>
            <w:pPr>
              <w:jc w:val="center"/>
            </w:pPr>
            <w:r>
              <w:rPr>
                <w:color w:val="000000"/>
                <w:sz w:val="24"/>
                <w:szCs w:val="24"/>
              </w:rPr>
              <w:t>白云转债</w:t>
            </w:r>
          </w:p>
        </w:tc>
        <w:tc>
          <w:tcPr>
            <w:vAlign w:val="center"/>
          </w:tcPr>
          <w:p>
            <w:pPr>
              <w:jc w:val="right"/>
            </w:pPr>
            <w:r>
              <w:rPr>
                <w:color w:val="000000"/>
                <w:sz w:val="24"/>
                <w:szCs w:val="24"/>
              </w:rPr>
              <w:t>760</w:t>
            </w:r>
          </w:p>
        </w:tc>
        <w:tc>
          <w:tcPr>
            <w:vAlign w:val="center"/>
          </w:tcPr>
          <w:p>
            <w:pPr>
              <w:jc w:val="right"/>
            </w:pPr>
            <w:r>
              <w:rPr>
                <w:color w:val="000000"/>
                <w:sz w:val="24"/>
                <w:szCs w:val="24"/>
              </w:rPr>
              <w:t>90,067.60</w:t>
            </w:r>
          </w:p>
        </w:tc>
        <w:tc>
          <w:tcPr>
            <w:vAlign w:val="center"/>
          </w:tcPr>
          <w:p>
            <w:pPr>
              <w:jc w:val="right"/>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154,021.52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2,880,785.85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4,051.26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6,282.25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3,045,140.88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53,006,438.38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2,384,279.81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2,602,447.47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52,788,270.72</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AB6E79">
      <w:pPr>
        <w:pStyle w:val="1"/>
        <w:tabs>
          <w:tab w:val="center" w:pos="4156"/>
          <w:tab w:val="right" w:pos="8312"/>
        </w:tabs>
        <w:spacing w:beforeLines="100" w:before="312" w:afterLines="100" w:after="312"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
            </w:r>
            <w:r w:rsidRPr="00ED2620">
              <w:rPr>
                <w:rFonts w:eastAsiaTheme="minorEastAsia"/>
                <w:color w:val="000000"/>
                <w:sz w:val="24"/>
              </w:rPr>
              <w:lastRenderedPageBreak/>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lastRenderedPageBreak/>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37.90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xml:space="preserve">    2、如果本报告期间发生转换出业务，则总赎回份额中包含该业务。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Chars="200" w:firstLine="480"/>
        <w:rPr>
          <w:color w:val="000000"/>
          <w:sz w:val="24"/>
          <w:szCs w:val="24"/>
        </w:rPr>
      </w:pPr>
      <w:r>
        <w:rPr>
          <w:color w:val="000000"/>
          <w:sz w:val="24"/>
          <w:szCs w:val="24"/>
        </w:rPr>
        <w:t xml:space="preserve">2、《交银施罗德阿尔法核心混合型证券投资基金基金合同》； </w:t>
      </w:r>
    </w:p>
    <w:p>
      <w:pPr>
        <w:spacing w:before="29" w:line="288" w:lineRule="auto"/>
        <w:ind w:firstLineChars="200" w:firstLine="48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Chars="200" w:firstLine="480"/>
        <w:rPr>
          <w:color w:val="000000"/>
          <w:sz w:val="24"/>
          <w:szCs w:val="24"/>
        </w:rPr>
      </w:pPr>
      <w:r>
        <w:rPr>
          <w:color w:val="000000"/>
          <w:sz w:val="24"/>
          <w:szCs w:val="24"/>
        </w:rPr>
        <w:t>4、《交银施罗德阿尔法核心混合型证券投资基金托管协议》；</w:t>
      </w:r>
    </w:p>
    <w:p>
      <w:pPr>
        <w:spacing w:before="29" w:line="288" w:lineRule="auto"/>
        <w:ind w:firstLineChars="200" w:firstLine="480"/>
        <w:rPr>
          <w:color w:val="000000"/>
          <w:sz w:val="24"/>
          <w:szCs w:val="24"/>
        </w:rPr>
      </w:pPr>
      <w:r>
        <w:rPr>
          <w:color w:val="000000"/>
          <w:sz w:val="24"/>
          <w:szCs w:val="24"/>
        </w:rPr>
        <w:t>5、关于募集交银施罗德阿尔法核心股票型证券投资基金之法律意见书；</w:t>
      </w:r>
    </w:p>
    <w:p>
      <w:pPr>
        <w:spacing w:before="29" w:line="288" w:lineRule="auto"/>
        <w:ind w:firstLineChars="200" w:firstLine="480"/>
        <w:rPr>
          <w:color w:val="000000"/>
          <w:sz w:val="24"/>
          <w:szCs w:val="24"/>
        </w:rPr>
      </w:pPr>
      <w:r>
        <w:rPr>
          <w:color w:val="000000"/>
          <w:sz w:val="24"/>
          <w:szCs w:val="24"/>
        </w:rPr>
        <w:t>6、基金管理人业务资格批件、营业执照；</w:t>
      </w:r>
    </w:p>
    <w:p>
      <w:pPr>
        <w:spacing w:before="29" w:line="288" w:lineRule="auto"/>
        <w:ind w:firstLineChars="200" w:firstLine="480"/>
        <w:rPr>
          <w:color w:val="000000"/>
          <w:sz w:val="24"/>
          <w:szCs w:val="24"/>
        </w:rPr>
      </w:pPr>
      <w:r>
        <w:rPr>
          <w:color w:val="000000"/>
          <w:sz w:val="24"/>
          <w:szCs w:val="24"/>
        </w:rPr>
        <w:t>7、基金托管人业务资格批件、营业执照；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F51C4E">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F51C4E">
      <w:rPr>
        <w:noProof/>
        <w:kern w:val="0"/>
        <w:szCs w:val="21"/>
      </w:rPr>
      <w:t>23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3FAA-22E8-4556-8A2F-410B1498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23</Pages>
  <Words>3253</Words>
  <Characters>18544</Characters>
  <Application>Microsoft Office Word</Application>
  <DocSecurity>0</DocSecurity>
  <Lines>154</Lines>
  <Paragraphs>43</Paragraphs>
  <ScaleCrop>false</ScaleCrop>
  <Company/>
  <LinksUpToDate>false</LinksUpToDate>
  <CharactersWithSpaces>21754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lastModifiedBy>airks</lastModifiedBy>
  <dcterms:modified xsi:type="dcterms:W3CDTF">2016-01-18T02:54:00Z</dcterms:modified>
  <revision>561</revision>
</coreProperties>
</file>