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5130F" w:rsidRDefault="00D8044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5130F" w:rsidRDefault="00D8044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5130F" w:rsidRDefault="00D8044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5130F" w:rsidRDefault="00D8044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5130F" w:rsidRDefault="00D8044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106,644,181.75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A2D9F" w:rsidRPr="00414345" w:rsidTr="00FA2D9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A2D9F" w:rsidRPr="00414345" w:rsidTr="00FA2D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1,559,555.87</w:t>
            </w:r>
          </w:p>
        </w:tc>
      </w:tr>
      <w:tr w:rsidR="00FA2D9F" w:rsidRPr="00414345" w:rsidTr="00FA2D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-344,055.97</w:t>
            </w:r>
          </w:p>
        </w:tc>
      </w:tr>
      <w:tr w:rsidR="00FA2D9F" w:rsidRPr="00414345" w:rsidTr="00FA2D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-0.0029</w:t>
            </w:r>
          </w:p>
        </w:tc>
      </w:tr>
      <w:tr w:rsidR="00FA2D9F" w:rsidRPr="00414345" w:rsidTr="00FA2D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143,045,967.26</w:t>
            </w:r>
          </w:p>
        </w:tc>
      </w:tr>
      <w:tr w:rsidR="00FA2D9F" w:rsidRPr="00414345" w:rsidTr="00FA2D9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1.341</w:t>
            </w:r>
          </w:p>
        </w:tc>
      </w:tr>
    </w:tbl>
    <w:p w:rsidR="00E5130F" w:rsidRDefault="00D8044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FA2D9F">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5130F" w:rsidTr="00FA2D9F">
        <w:trPr>
          <w:jc w:val="center"/>
        </w:trPr>
        <w:tc>
          <w:tcPr>
            <w:tcW w:w="1701" w:type="dxa"/>
            <w:vAlign w:val="center"/>
          </w:tcPr>
          <w:p w:rsidR="00E5130F" w:rsidRDefault="00D8044E">
            <w:pPr>
              <w:jc w:val="left"/>
            </w:pPr>
            <w:r>
              <w:rPr>
                <w:color w:val="000000"/>
                <w:sz w:val="24"/>
                <w:szCs w:val="24"/>
              </w:rPr>
              <w:t>过去三个月</w:t>
            </w:r>
          </w:p>
        </w:tc>
        <w:tc>
          <w:tcPr>
            <w:tcW w:w="1045" w:type="dxa"/>
            <w:vAlign w:val="center"/>
          </w:tcPr>
          <w:p w:rsidR="00E5130F" w:rsidRDefault="00D8044E">
            <w:pPr>
              <w:jc w:val="center"/>
            </w:pPr>
            <w:r>
              <w:rPr>
                <w:color w:val="000000"/>
                <w:sz w:val="24"/>
                <w:szCs w:val="24"/>
              </w:rPr>
              <w:t>-0.07%</w:t>
            </w:r>
          </w:p>
        </w:tc>
        <w:tc>
          <w:tcPr>
            <w:tcW w:w="1344" w:type="dxa"/>
            <w:vAlign w:val="center"/>
          </w:tcPr>
          <w:p w:rsidR="00E5130F" w:rsidRDefault="00D8044E">
            <w:pPr>
              <w:jc w:val="center"/>
            </w:pPr>
            <w:r>
              <w:rPr>
                <w:color w:val="000000"/>
                <w:sz w:val="24"/>
                <w:szCs w:val="24"/>
              </w:rPr>
              <w:t>0.08%</w:t>
            </w:r>
          </w:p>
        </w:tc>
        <w:tc>
          <w:tcPr>
            <w:tcW w:w="1194" w:type="dxa"/>
            <w:vAlign w:val="center"/>
          </w:tcPr>
          <w:p w:rsidR="00E5130F" w:rsidRDefault="00D8044E">
            <w:pPr>
              <w:jc w:val="center"/>
            </w:pPr>
            <w:r>
              <w:rPr>
                <w:color w:val="000000"/>
                <w:sz w:val="24"/>
                <w:szCs w:val="24"/>
              </w:rPr>
              <w:t>-1.93%</w:t>
            </w:r>
          </w:p>
        </w:tc>
        <w:tc>
          <w:tcPr>
            <w:tcW w:w="1492" w:type="dxa"/>
            <w:vAlign w:val="center"/>
          </w:tcPr>
          <w:p w:rsidR="00E5130F" w:rsidRDefault="00D8044E">
            <w:pPr>
              <w:jc w:val="center"/>
            </w:pPr>
            <w:r>
              <w:rPr>
                <w:color w:val="000000"/>
                <w:sz w:val="24"/>
                <w:szCs w:val="24"/>
              </w:rPr>
              <w:t>0.10%</w:t>
            </w:r>
          </w:p>
        </w:tc>
        <w:tc>
          <w:tcPr>
            <w:tcW w:w="1194" w:type="dxa"/>
            <w:vAlign w:val="center"/>
          </w:tcPr>
          <w:p w:rsidR="00E5130F" w:rsidRDefault="00D8044E">
            <w:pPr>
              <w:jc w:val="center"/>
            </w:pPr>
            <w:r>
              <w:rPr>
                <w:color w:val="000000"/>
                <w:sz w:val="24"/>
                <w:szCs w:val="24"/>
              </w:rPr>
              <w:t>1.86%</w:t>
            </w:r>
          </w:p>
        </w:tc>
        <w:tc>
          <w:tcPr>
            <w:tcW w:w="1023" w:type="dxa"/>
            <w:vAlign w:val="center"/>
          </w:tcPr>
          <w:p w:rsidR="00E5130F" w:rsidRDefault="00D8044E">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5130F">
        <w:trPr>
          <w:jc w:val="center"/>
        </w:trPr>
        <w:tc>
          <w:tcPr>
            <w:tcW w:w="846" w:type="dxa"/>
            <w:vAlign w:val="center"/>
          </w:tcPr>
          <w:p w:rsidR="00E5130F" w:rsidRDefault="00D8044E">
            <w:pPr>
              <w:jc w:val="center"/>
            </w:pPr>
            <w:r>
              <w:rPr>
                <w:color w:val="000000"/>
                <w:sz w:val="24"/>
                <w:szCs w:val="24"/>
              </w:rPr>
              <w:t>唐赟</w:t>
            </w:r>
          </w:p>
        </w:tc>
        <w:tc>
          <w:tcPr>
            <w:tcW w:w="845" w:type="dxa"/>
            <w:vAlign w:val="center"/>
          </w:tcPr>
          <w:p w:rsidR="00E5130F" w:rsidRDefault="00D8044E">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、交银双利债券、交银双轮动债券、交银荣和保本混合的基金经理</w:t>
            </w:r>
          </w:p>
        </w:tc>
        <w:tc>
          <w:tcPr>
            <w:tcW w:w="1549" w:type="dxa"/>
            <w:vAlign w:val="center"/>
          </w:tcPr>
          <w:p w:rsidR="00E5130F" w:rsidRDefault="00D8044E">
            <w:pPr>
              <w:jc w:val="center"/>
            </w:pPr>
            <w:r>
              <w:rPr>
                <w:color w:val="000000"/>
                <w:sz w:val="24"/>
                <w:szCs w:val="24"/>
              </w:rPr>
              <w:t>2015-08-04</w:t>
            </w:r>
          </w:p>
        </w:tc>
        <w:tc>
          <w:tcPr>
            <w:tcW w:w="1548" w:type="dxa"/>
            <w:vAlign w:val="center"/>
          </w:tcPr>
          <w:p w:rsidR="00E5130F" w:rsidRDefault="00D8044E">
            <w:pPr>
              <w:jc w:val="center"/>
            </w:pPr>
            <w:r>
              <w:rPr>
                <w:color w:val="000000"/>
                <w:sz w:val="24"/>
                <w:szCs w:val="24"/>
              </w:rPr>
              <w:t>-</w:t>
            </w:r>
          </w:p>
        </w:tc>
        <w:tc>
          <w:tcPr>
            <w:tcW w:w="1407" w:type="dxa"/>
            <w:vAlign w:val="center"/>
          </w:tcPr>
          <w:p w:rsidR="00E5130F" w:rsidRDefault="00D8044E">
            <w:pPr>
              <w:jc w:val="center"/>
            </w:pPr>
            <w:r>
              <w:rPr>
                <w:color w:val="000000"/>
                <w:sz w:val="24"/>
                <w:szCs w:val="24"/>
              </w:rPr>
              <w:t>4</w:t>
            </w:r>
            <w:r>
              <w:rPr>
                <w:color w:val="000000"/>
                <w:sz w:val="24"/>
                <w:szCs w:val="24"/>
              </w:rPr>
              <w:t>年</w:t>
            </w:r>
          </w:p>
        </w:tc>
        <w:tc>
          <w:tcPr>
            <w:tcW w:w="2673" w:type="dxa"/>
            <w:vAlign w:val="center"/>
          </w:tcPr>
          <w:p w:rsidR="00E5130F" w:rsidRDefault="00D8044E">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E5130F" w:rsidRDefault="00D8044E">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5130F" w:rsidRDefault="00D8044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5130F" w:rsidRDefault="00D8044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w:t>
      </w:r>
      <w:r>
        <w:rPr>
          <w:color w:val="000000"/>
          <w:sz w:val="24"/>
          <w:szCs w:val="24"/>
        </w:rPr>
        <w:lastRenderedPageBreak/>
        <w:t>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5130F" w:rsidRDefault="00D8044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563A0E" w:rsidRPr="00414345" w:rsidRDefault="00563A0E" w:rsidP="00C15CAC">
      <w:pPr>
        <w:spacing w:before="29" w:line="288" w:lineRule="auto"/>
        <w:ind w:firstLineChars="200" w:firstLine="480"/>
        <w:rPr>
          <w:rFonts w:hint="eastAsia"/>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5130F" w:rsidRDefault="00D8044E">
      <w:pPr>
        <w:spacing w:before="29" w:line="288" w:lineRule="auto"/>
        <w:ind w:firstLineChars="200" w:firstLine="480"/>
        <w:rPr>
          <w:color w:val="000000"/>
          <w:sz w:val="24"/>
          <w:szCs w:val="24"/>
        </w:rPr>
      </w:pPr>
      <w:r>
        <w:rPr>
          <w:color w:val="000000"/>
          <w:sz w:val="24"/>
          <w:szCs w:val="24"/>
        </w:rPr>
        <w:t>本报告期内，债券市场并未延续</w:t>
      </w:r>
      <w:r>
        <w:rPr>
          <w:color w:val="000000"/>
          <w:sz w:val="24"/>
          <w:szCs w:val="24"/>
        </w:rPr>
        <w:t>2014</w:t>
      </w:r>
      <w:r>
        <w:rPr>
          <w:color w:val="000000"/>
          <w:sz w:val="24"/>
          <w:szCs w:val="24"/>
        </w:rPr>
        <w:t>年以来的牛市行情，而是转为横向震荡。债券市场在</w:t>
      </w:r>
      <w:r>
        <w:rPr>
          <w:color w:val="000000"/>
          <w:sz w:val="24"/>
          <w:szCs w:val="24"/>
        </w:rPr>
        <w:t>2016</w:t>
      </w:r>
      <w:r>
        <w:rPr>
          <w:color w:val="000000"/>
          <w:sz w:val="24"/>
          <w:szCs w:val="24"/>
        </w:rPr>
        <w:t>年</w:t>
      </w:r>
      <w:r>
        <w:rPr>
          <w:color w:val="000000"/>
          <w:sz w:val="24"/>
          <w:szCs w:val="24"/>
        </w:rPr>
        <w:t>4</w:t>
      </w:r>
      <w:r>
        <w:rPr>
          <w:color w:val="000000"/>
          <w:sz w:val="24"/>
          <w:szCs w:val="24"/>
        </w:rPr>
        <w:t>月份出现了一波快速下跌，随后在</w:t>
      </w:r>
      <w:r>
        <w:rPr>
          <w:color w:val="000000"/>
          <w:sz w:val="24"/>
          <w:szCs w:val="24"/>
        </w:rPr>
        <w:t>5</w:t>
      </w:r>
      <w:r>
        <w:rPr>
          <w:color w:val="000000"/>
          <w:sz w:val="24"/>
          <w:szCs w:val="24"/>
        </w:rPr>
        <w:t>月份、</w:t>
      </w:r>
      <w:r>
        <w:rPr>
          <w:color w:val="000000"/>
          <w:sz w:val="24"/>
          <w:szCs w:val="24"/>
        </w:rPr>
        <w:t>6</w:t>
      </w:r>
      <w:r>
        <w:rPr>
          <w:color w:val="000000"/>
          <w:sz w:val="24"/>
          <w:szCs w:val="24"/>
        </w:rPr>
        <w:t>月份逐步稳定并小幅回升。</w:t>
      </w:r>
    </w:p>
    <w:p w:rsidR="00E5130F" w:rsidRDefault="00D8044E">
      <w:pPr>
        <w:spacing w:before="29" w:line="288" w:lineRule="auto"/>
        <w:ind w:firstLineChars="200" w:firstLine="480"/>
        <w:rPr>
          <w:color w:val="000000"/>
          <w:sz w:val="24"/>
          <w:szCs w:val="24"/>
        </w:rPr>
      </w:pPr>
      <w:r>
        <w:rPr>
          <w:color w:val="000000"/>
          <w:sz w:val="24"/>
          <w:szCs w:val="24"/>
        </w:rPr>
        <w:t>本报告期内，本基金操作偏向防御，组合整体在</w:t>
      </w:r>
      <w:r>
        <w:rPr>
          <w:color w:val="000000"/>
          <w:sz w:val="24"/>
          <w:szCs w:val="24"/>
        </w:rPr>
        <w:t>2016</w:t>
      </w:r>
      <w:r>
        <w:rPr>
          <w:color w:val="000000"/>
          <w:sz w:val="24"/>
          <w:szCs w:val="24"/>
        </w:rPr>
        <w:t>年</w:t>
      </w:r>
      <w:r>
        <w:rPr>
          <w:color w:val="000000"/>
          <w:sz w:val="24"/>
          <w:szCs w:val="24"/>
        </w:rPr>
        <w:t>6</w:t>
      </w:r>
      <w:r>
        <w:rPr>
          <w:color w:val="000000"/>
          <w:sz w:val="24"/>
          <w:szCs w:val="24"/>
        </w:rPr>
        <w:t>月份之前都维持低杠杆、中短久期的策略，有效控制了债券市场回调带来的净值回撤。转债则以较低仓位参与反弹。</w:t>
      </w:r>
    </w:p>
    <w:p w:rsidR="00E5130F" w:rsidRDefault="00D8044E">
      <w:pPr>
        <w:spacing w:before="29" w:line="288" w:lineRule="auto"/>
        <w:ind w:firstLineChars="200" w:firstLine="480"/>
        <w:rPr>
          <w:color w:val="000000"/>
          <w:sz w:val="24"/>
          <w:szCs w:val="24"/>
        </w:rPr>
      </w:pPr>
      <w:r>
        <w:rPr>
          <w:color w:val="000000"/>
          <w:sz w:val="24"/>
          <w:szCs w:val="24"/>
        </w:rPr>
        <w:t>展望</w:t>
      </w:r>
      <w:r>
        <w:rPr>
          <w:color w:val="000000"/>
          <w:sz w:val="24"/>
          <w:szCs w:val="24"/>
        </w:rPr>
        <w:t>2016</w:t>
      </w:r>
      <w:r>
        <w:rPr>
          <w:color w:val="000000"/>
          <w:sz w:val="24"/>
          <w:szCs w:val="24"/>
        </w:rPr>
        <w:t>年下半年，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w:t>
      </w:r>
      <w:r>
        <w:rPr>
          <w:color w:val="000000"/>
          <w:sz w:val="24"/>
          <w:szCs w:val="24"/>
        </w:rPr>
        <w:t>2016</w:t>
      </w:r>
      <w:r>
        <w:rPr>
          <w:color w:val="000000"/>
          <w:sz w:val="24"/>
          <w:szCs w:val="24"/>
        </w:rPr>
        <w:t>年下半年将向着有利于债券市场的方向发展。但考虑到目前相对较为平坦的利率曲线，债券趋势性的上涨行情仍然需要货币政策进一步放松、短端资金价格下行空间打开的配合。整体而言我们认为</w:t>
      </w:r>
      <w:r>
        <w:rPr>
          <w:color w:val="000000"/>
          <w:sz w:val="24"/>
          <w:szCs w:val="24"/>
        </w:rPr>
        <w:t>2016</w:t>
      </w:r>
      <w:r>
        <w:rPr>
          <w:color w:val="000000"/>
          <w:sz w:val="24"/>
          <w:szCs w:val="24"/>
        </w:rPr>
        <w:t>年下半年债券市场的机会大于</w:t>
      </w:r>
      <w:r>
        <w:rPr>
          <w:color w:val="000000"/>
          <w:sz w:val="24"/>
          <w:szCs w:val="24"/>
        </w:rPr>
        <w:t>2016</w:t>
      </w:r>
      <w:r>
        <w:rPr>
          <w:color w:val="000000"/>
          <w:sz w:val="24"/>
          <w:szCs w:val="24"/>
        </w:rPr>
        <w:t>年上半年。另外，随着</w:t>
      </w:r>
      <w:r>
        <w:rPr>
          <w:color w:val="000000"/>
          <w:sz w:val="24"/>
          <w:szCs w:val="24"/>
        </w:rPr>
        <w:t>“</w:t>
      </w:r>
      <w:r>
        <w:rPr>
          <w:color w:val="000000"/>
          <w:sz w:val="24"/>
          <w:szCs w:val="24"/>
        </w:rPr>
        <w:t>刚兑</w:t>
      </w:r>
      <w:r>
        <w:rPr>
          <w:color w:val="000000"/>
          <w:sz w:val="24"/>
          <w:szCs w:val="24"/>
        </w:rPr>
        <w:t>”</w:t>
      </w:r>
      <w:r>
        <w:rPr>
          <w:color w:val="000000"/>
          <w:sz w:val="24"/>
          <w:szCs w:val="24"/>
        </w:rPr>
        <w:t>的不断打破，债券市场的信用风险不断加大，能否有效规避潜在的信用风险，将对债券组合的收益产生较为重大的影响。本基金将适度增加组合久期，择机增配长端利率债，并提高组合整体信用等级以降低组合的信用风险敞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对于权益资产，我们认为目前风险偏好驱动大类资产价格的走势较为明显，市场内部的不稳定因素显著的增加，</w:t>
      </w:r>
      <w:r w:rsidRPr="00414345">
        <w:rPr>
          <w:color w:val="000000"/>
          <w:sz w:val="24"/>
          <w:szCs w:val="24"/>
        </w:rPr>
        <w:t>2016</w:t>
      </w:r>
      <w:r w:rsidRPr="00414345">
        <w:rPr>
          <w:color w:val="000000"/>
          <w:sz w:val="24"/>
          <w:szCs w:val="24"/>
        </w:rPr>
        <w:t>年下半年全球风险偏好预计仍将出现较大的波动。</w:t>
      </w:r>
      <w:r w:rsidRPr="00414345">
        <w:rPr>
          <w:color w:val="000000"/>
          <w:sz w:val="24"/>
          <w:szCs w:val="24"/>
        </w:rPr>
        <w:lastRenderedPageBreak/>
        <w:t>作为债券型基金，更需要注重控制市场震荡带来的回撤风险。转债市场短期内可能仍存在估值相对较高的问题，除非权益市场再次出现一波趋势性的牛市，否则大规模配置转债的意义有限。</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1.341</w:t>
      </w:r>
      <w:r w:rsidRPr="00414345">
        <w:rPr>
          <w:color w:val="000000"/>
          <w:sz w:val="24"/>
          <w:szCs w:val="24"/>
        </w:rPr>
        <w:t>元，本报告期份额净值增长率为</w:t>
      </w:r>
      <w:r w:rsidRPr="00414345">
        <w:rPr>
          <w:color w:val="000000"/>
          <w:sz w:val="24"/>
          <w:szCs w:val="24"/>
        </w:rPr>
        <w:t>-0.07%</w:t>
      </w:r>
      <w:r w:rsidRPr="00414345">
        <w:rPr>
          <w:color w:val="000000"/>
          <w:sz w:val="24"/>
          <w:szCs w:val="24"/>
        </w:rPr>
        <w:t>，同期业绩比较基准增长率为</w:t>
      </w:r>
      <w:r w:rsidRPr="00414345">
        <w:rPr>
          <w:color w:val="000000"/>
          <w:sz w:val="24"/>
          <w:szCs w:val="24"/>
        </w:rPr>
        <w:t>-1.93%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166,819,489.53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166,819,489.53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1,837,491.00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3,354,779.98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172,011,760.51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563A0E" w:rsidRPr="00414345" w:rsidRDefault="00563A0E" w:rsidP="00C15CAC">
      <w:pPr>
        <w:autoSpaceDE w:val="0"/>
        <w:autoSpaceDN w:val="0"/>
        <w:adjustRightInd w:val="0"/>
        <w:spacing w:before="29" w:line="288" w:lineRule="auto"/>
        <w:jc w:val="left"/>
        <w:rPr>
          <w:rFonts w:hint="eastAsia"/>
          <w:color w:val="000000"/>
          <w:sz w:val="24"/>
          <w:szCs w:val="24"/>
        </w:rPr>
      </w:pPr>
      <w:bookmarkStart w:id="0" w:name="_GoBack"/>
      <w:bookmarkEnd w:id="0"/>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89,530,799.20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62.59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20,075,000.00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14.03</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30,362,000.00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21.23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16,851,690.33</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11.78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166,819,489.53</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116.62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2416"/>
        <w:gridCol w:w="1134"/>
        <w:gridCol w:w="1756"/>
        <w:gridCol w:w="1237"/>
      </w:tblGrid>
      <w:tr w:rsidR="00D57B7C" w:rsidRPr="00414345" w:rsidTr="00D8044E">
        <w:trPr>
          <w:jc w:val="center"/>
        </w:trPr>
        <w:tc>
          <w:tcPr>
            <w:tcW w:w="8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241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1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17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5130F" w:rsidTr="00D8044E">
        <w:trPr>
          <w:jc w:val="center"/>
        </w:trPr>
        <w:tc>
          <w:tcPr>
            <w:tcW w:w="850" w:type="dxa"/>
            <w:vAlign w:val="center"/>
          </w:tcPr>
          <w:p w:rsidR="00E5130F" w:rsidRDefault="00D8044E">
            <w:pPr>
              <w:jc w:val="center"/>
            </w:pPr>
            <w:r>
              <w:rPr>
                <w:color w:val="000000"/>
                <w:sz w:val="24"/>
                <w:szCs w:val="24"/>
              </w:rPr>
              <w:t>1</w:t>
            </w:r>
          </w:p>
        </w:tc>
        <w:tc>
          <w:tcPr>
            <w:tcW w:w="1475" w:type="dxa"/>
            <w:vAlign w:val="center"/>
          </w:tcPr>
          <w:p w:rsidR="00E5130F" w:rsidRDefault="00D8044E">
            <w:pPr>
              <w:jc w:val="center"/>
            </w:pPr>
            <w:r>
              <w:rPr>
                <w:color w:val="000000"/>
                <w:sz w:val="24"/>
                <w:szCs w:val="24"/>
              </w:rPr>
              <w:t>1382136</w:t>
            </w:r>
          </w:p>
        </w:tc>
        <w:tc>
          <w:tcPr>
            <w:tcW w:w="2416" w:type="dxa"/>
            <w:vAlign w:val="center"/>
          </w:tcPr>
          <w:p w:rsidR="00E5130F" w:rsidRDefault="00D8044E">
            <w:pPr>
              <w:jc w:val="center"/>
            </w:pPr>
            <w:r>
              <w:rPr>
                <w:color w:val="000000"/>
                <w:sz w:val="24"/>
                <w:szCs w:val="24"/>
              </w:rPr>
              <w:t>13</w:t>
            </w:r>
            <w:r>
              <w:rPr>
                <w:color w:val="000000"/>
                <w:sz w:val="24"/>
                <w:szCs w:val="24"/>
              </w:rPr>
              <w:t>乌兰煤</w:t>
            </w:r>
            <w:r>
              <w:rPr>
                <w:color w:val="000000"/>
                <w:sz w:val="24"/>
                <w:szCs w:val="24"/>
              </w:rPr>
              <w:t>MTN1</w:t>
            </w:r>
          </w:p>
        </w:tc>
        <w:tc>
          <w:tcPr>
            <w:tcW w:w="1134" w:type="dxa"/>
            <w:vAlign w:val="center"/>
          </w:tcPr>
          <w:p w:rsidR="00E5130F" w:rsidRDefault="00D8044E">
            <w:pPr>
              <w:jc w:val="right"/>
            </w:pPr>
            <w:r>
              <w:rPr>
                <w:color w:val="000000"/>
                <w:sz w:val="24"/>
                <w:szCs w:val="24"/>
              </w:rPr>
              <w:t>200,000</w:t>
            </w:r>
          </w:p>
        </w:tc>
        <w:tc>
          <w:tcPr>
            <w:tcW w:w="1756" w:type="dxa"/>
            <w:vAlign w:val="center"/>
          </w:tcPr>
          <w:p w:rsidR="00E5130F" w:rsidRDefault="00D8044E">
            <w:pPr>
              <w:jc w:val="right"/>
            </w:pPr>
            <w:r>
              <w:rPr>
                <w:color w:val="000000"/>
                <w:sz w:val="24"/>
                <w:szCs w:val="24"/>
              </w:rPr>
              <w:t>19,962,000.00</w:t>
            </w:r>
          </w:p>
        </w:tc>
        <w:tc>
          <w:tcPr>
            <w:tcW w:w="1237" w:type="dxa"/>
            <w:vAlign w:val="center"/>
          </w:tcPr>
          <w:p w:rsidR="00E5130F" w:rsidRDefault="00D8044E">
            <w:pPr>
              <w:jc w:val="right"/>
            </w:pPr>
            <w:r>
              <w:rPr>
                <w:color w:val="000000"/>
                <w:sz w:val="24"/>
                <w:szCs w:val="24"/>
              </w:rPr>
              <w:t>13.95</w:t>
            </w:r>
          </w:p>
        </w:tc>
      </w:tr>
      <w:tr w:rsidR="00E5130F" w:rsidTr="00D8044E">
        <w:trPr>
          <w:jc w:val="center"/>
        </w:trPr>
        <w:tc>
          <w:tcPr>
            <w:tcW w:w="850" w:type="dxa"/>
            <w:vAlign w:val="center"/>
          </w:tcPr>
          <w:p w:rsidR="00E5130F" w:rsidRDefault="00D8044E">
            <w:pPr>
              <w:jc w:val="center"/>
            </w:pPr>
            <w:r>
              <w:rPr>
                <w:color w:val="000000"/>
                <w:sz w:val="24"/>
                <w:szCs w:val="24"/>
              </w:rPr>
              <w:t>2</w:t>
            </w:r>
          </w:p>
        </w:tc>
        <w:tc>
          <w:tcPr>
            <w:tcW w:w="1475" w:type="dxa"/>
            <w:vAlign w:val="center"/>
          </w:tcPr>
          <w:p w:rsidR="00E5130F" w:rsidRDefault="00D8044E">
            <w:pPr>
              <w:jc w:val="center"/>
            </w:pPr>
            <w:r>
              <w:rPr>
                <w:color w:val="000000"/>
                <w:sz w:val="24"/>
                <w:szCs w:val="24"/>
              </w:rPr>
              <w:t>1480142</w:t>
            </w:r>
          </w:p>
        </w:tc>
        <w:tc>
          <w:tcPr>
            <w:tcW w:w="2416" w:type="dxa"/>
            <w:vAlign w:val="center"/>
          </w:tcPr>
          <w:p w:rsidR="00E5130F" w:rsidRDefault="00D8044E">
            <w:pPr>
              <w:jc w:val="center"/>
            </w:pPr>
            <w:r>
              <w:rPr>
                <w:color w:val="000000"/>
                <w:sz w:val="24"/>
                <w:szCs w:val="24"/>
              </w:rPr>
              <w:t>13</w:t>
            </w:r>
            <w:r>
              <w:rPr>
                <w:color w:val="000000"/>
                <w:sz w:val="24"/>
                <w:szCs w:val="24"/>
              </w:rPr>
              <w:t>武清国投债</w:t>
            </w:r>
            <w:r>
              <w:rPr>
                <w:color w:val="000000"/>
                <w:sz w:val="24"/>
                <w:szCs w:val="24"/>
              </w:rPr>
              <w:t>02</w:t>
            </w:r>
          </w:p>
        </w:tc>
        <w:tc>
          <w:tcPr>
            <w:tcW w:w="1134" w:type="dxa"/>
            <w:vAlign w:val="center"/>
          </w:tcPr>
          <w:p w:rsidR="00E5130F" w:rsidRDefault="00D8044E">
            <w:pPr>
              <w:jc w:val="right"/>
            </w:pPr>
            <w:r>
              <w:rPr>
                <w:color w:val="000000"/>
                <w:sz w:val="24"/>
                <w:szCs w:val="24"/>
              </w:rPr>
              <w:t>100,000</w:t>
            </w:r>
          </w:p>
        </w:tc>
        <w:tc>
          <w:tcPr>
            <w:tcW w:w="1756" w:type="dxa"/>
            <w:vAlign w:val="center"/>
          </w:tcPr>
          <w:p w:rsidR="00E5130F" w:rsidRDefault="00D8044E">
            <w:pPr>
              <w:jc w:val="right"/>
            </w:pPr>
            <w:r>
              <w:rPr>
                <w:color w:val="000000"/>
                <w:sz w:val="24"/>
                <w:szCs w:val="24"/>
              </w:rPr>
              <w:t>10,905,000.00</w:t>
            </w:r>
          </w:p>
        </w:tc>
        <w:tc>
          <w:tcPr>
            <w:tcW w:w="1237" w:type="dxa"/>
            <w:vAlign w:val="center"/>
          </w:tcPr>
          <w:p w:rsidR="00E5130F" w:rsidRDefault="00D8044E">
            <w:pPr>
              <w:jc w:val="right"/>
            </w:pPr>
            <w:r>
              <w:rPr>
                <w:color w:val="000000"/>
                <w:sz w:val="24"/>
                <w:szCs w:val="24"/>
              </w:rPr>
              <w:t>7.62</w:t>
            </w:r>
          </w:p>
        </w:tc>
      </w:tr>
      <w:tr w:rsidR="00E5130F" w:rsidTr="00D8044E">
        <w:trPr>
          <w:jc w:val="center"/>
        </w:trPr>
        <w:tc>
          <w:tcPr>
            <w:tcW w:w="850" w:type="dxa"/>
            <w:vAlign w:val="center"/>
          </w:tcPr>
          <w:p w:rsidR="00E5130F" w:rsidRDefault="00D8044E">
            <w:pPr>
              <w:jc w:val="center"/>
            </w:pPr>
            <w:r>
              <w:rPr>
                <w:color w:val="000000"/>
                <w:sz w:val="24"/>
                <w:szCs w:val="24"/>
              </w:rPr>
              <w:t>3</w:t>
            </w:r>
          </w:p>
        </w:tc>
        <w:tc>
          <w:tcPr>
            <w:tcW w:w="1475" w:type="dxa"/>
            <w:vAlign w:val="center"/>
          </w:tcPr>
          <w:p w:rsidR="00E5130F" w:rsidRDefault="00D8044E">
            <w:pPr>
              <w:jc w:val="center"/>
            </w:pPr>
            <w:r>
              <w:rPr>
                <w:color w:val="000000"/>
                <w:sz w:val="24"/>
                <w:szCs w:val="24"/>
              </w:rPr>
              <w:t>124508</w:t>
            </w:r>
          </w:p>
        </w:tc>
        <w:tc>
          <w:tcPr>
            <w:tcW w:w="2416" w:type="dxa"/>
            <w:vAlign w:val="center"/>
          </w:tcPr>
          <w:p w:rsidR="00E5130F" w:rsidRDefault="00D8044E">
            <w:pPr>
              <w:jc w:val="center"/>
            </w:pPr>
            <w:r>
              <w:rPr>
                <w:color w:val="000000"/>
                <w:sz w:val="24"/>
                <w:szCs w:val="24"/>
              </w:rPr>
              <w:t>14</w:t>
            </w:r>
            <w:r>
              <w:rPr>
                <w:color w:val="000000"/>
                <w:sz w:val="24"/>
                <w:szCs w:val="24"/>
              </w:rPr>
              <w:t>滕州</w:t>
            </w:r>
            <w:r>
              <w:rPr>
                <w:color w:val="000000"/>
                <w:sz w:val="24"/>
                <w:szCs w:val="24"/>
              </w:rPr>
              <w:t>02</w:t>
            </w:r>
          </w:p>
        </w:tc>
        <w:tc>
          <w:tcPr>
            <w:tcW w:w="1134" w:type="dxa"/>
            <w:vAlign w:val="center"/>
          </w:tcPr>
          <w:p w:rsidR="00E5130F" w:rsidRDefault="00D8044E">
            <w:pPr>
              <w:jc w:val="right"/>
            </w:pPr>
            <w:r>
              <w:rPr>
                <w:color w:val="000000"/>
                <w:sz w:val="24"/>
                <w:szCs w:val="24"/>
              </w:rPr>
              <w:t>100,000</w:t>
            </w:r>
          </w:p>
        </w:tc>
        <w:tc>
          <w:tcPr>
            <w:tcW w:w="1756" w:type="dxa"/>
            <w:vAlign w:val="center"/>
          </w:tcPr>
          <w:p w:rsidR="00E5130F" w:rsidRDefault="00D8044E">
            <w:pPr>
              <w:jc w:val="right"/>
            </w:pPr>
            <w:r>
              <w:rPr>
                <w:color w:val="000000"/>
                <w:sz w:val="24"/>
                <w:szCs w:val="24"/>
              </w:rPr>
              <w:t>10,773,000.00</w:t>
            </w:r>
          </w:p>
        </w:tc>
        <w:tc>
          <w:tcPr>
            <w:tcW w:w="1237" w:type="dxa"/>
            <w:vAlign w:val="center"/>
          </w:tcPr>
          <w:p w:rsidR="00E5130F" w:rsidRDefault="00D8044E">
            <w:pPr>
              <w:jc w:val="right"/>
            </w:pPr>
            <w:r>
              <w:rPr>
                <w:color w:val="000000"/>
                <w:sz w:val="24"/>
                <w:szCs w:val="24"/>
              </w:rPr>
              <w:t>7.53</w:t>
            </w:r>
          </w:p>
        </w:tc>
      </w:tr>
      <w:tr w:rsidR="00E5130F" w:rsidTr="00D8044E">
        <w:trPr>
          <w:jc w:val="center"/>
        </w:trPr>
        <w:tc>
          <w:tcPr>
            <w:tcW w:w="850" w:type="dxa"/>
            <w:vAlign w:val="center"/>
          </w:tcPr>
          <w:p w:rsidR="00E5130F" w:rsidRDefault="00D8044E">
            <w:pPr>
              <w:jc w:val="center"/>
            </w:pPr>
            <w:r>
              <w:rPr>
                <w:color w:val="000000"/>
                <w:sz w:val="24"/>
                <w:szCs w:val="24"/>
              </w:rPr>
              <w:t>4</w:t>
            </w:r>
          </w:p>
        </w:tc>
        <w:tc>
          <w:tcPr>
            <w:tcW w:w="1475" w:type="dxa"/>
            <w:vAlign w:val="center"/>
          </w:tcPr>
          <w:p w:rsidR="00E5130F" w:rsidRDefault="00D8044E">
            <w:pPr>
              <w:jc w:val="center"/>
            </w:pPr>
            <w:r>
              <w:rPr>
                <w:color w:val="000000"/>
                <w:sz w:val="24"/>
                <w:szCs w:val="24"/>
              </w:rPr>
              <w:t>101580004</w:t>
            </w:r>
          </w:p>
        </w:tc>
        <w:tc>
          <w:tcPr>
            <w:tcW w:w="2416" w:type="dxa"/>
            <w:vAlign w:val="center"/>
          </w:tcPr>
          <w:p w:rsidR="00E5130F" w:rsidRDefault="00D8044E">
            <w:pPr>
              <w:jc w:val="center"/>
            </w:pPr>
            <w:r>
              <w:rPr>
                <w:color w:val="000000"/>
                <w:sz w:val="24"/>
                <w:szCs w:val="24"/>
              </w:rPr>
              <w:t>15</w:t>
            </w:r>
            <w:r>
              <w:rPr>
                <w:color w:val="000000"/>
                <w:sz w:val="24"/>
                <w:szCs w:val="24"/>
              </w:rPr>
              <w:t>营口沿海</w:t>
            </w:r>
            <w:r>
              <w:rPr>
                <w:color w:val="000000"/>
                <w:sz w:val="24"/>
                <w:szCs w:val="24"/>
              </w:rPr>
              <w:t>MTN001</w:t>
            </w:r>
          </w:p>
        </w:tc>
        <w:tc>
          <w:tcPr>
            <w:tcW w:w="1134" w:type="dxa"/>
            <w:vAlign w:val="center"/>
          </w:tcPr>
          <w:p w:rsidR="00E5130F" w:rsidRDefault="00D8044E">
            <w:pPr>
              <w:jc w:val="right"/>
            </w:pPr>
            <w:r>
              <w:rPr>
                <w:color w:val="000000"/>
                <w:sz w:val="24"/>
                <w:szCs w:val="24"/>
              </w:rPr>
              <w:t>100,000</w:t>
            </w:r>
          </w:p>
        </w:tc>
        <w:tc>
          <w:tcPr>
            <w:tcW w:w="1756" w:type="dxa"/>
            <w:vAlign w:val="center"/>
          </w:tcPr>
          <w:p w:rsidR="00E5130F" w:rsidRDefault="00D8044E">
            <w:pPr>
              <w:jc w:val="right"/>
            </w:pPr>
            <w:r>
              <w:rPr>
                <w:color w:val="000000"/>
                <w:sz w:val="24"/>
                <w:szCs w:val="24"/>
              </w:rPr>
              <w:t>10,400,000.00</w:t>
            </w:r>
          </w:p>
        </w:tc>
        <w:tc>
          <w:tcPr>
            <w:tcW w:w="1237" w:type="dxa"/>
            <w:vAlign w:val="center"/>
          </w:tcPr>
          <w:p w:rsidR="00E5130F" w:rsidRDefault="00D8044E">
            <w:pPr>
              <w:jc w:val="right"/>
            </w:pPr>
            <w:r>
              <w:rPr>
                <w:color w:val="000000"/>
                <w:sz w:val="24"/>
                <w:szCs w:val="24"/>
              </w:rPr>
              <w:t>7.27</w:t>
            </w:r>
          </w:p>
        </w:tc>
      </w:tr>
      <w:tr w:rsidR="00E5130F" w:rsidTr="00D8044E">
        <w:trPr>
          <w:jc w:val="center"/>
        </w:trPr>
        <w:tc>
          <w:tcPr>
            <w:tcW w:w="850" w:type="dxa"/>
            <w:vAlign w:val="center"/>
          </w:tcPr>
          <w:p w:rsidR="00E5130F" w:rsidRDefault="00D8044E">
            <w:pPr>
              <w:jc w:val="center"/>
            </w:pPr>
            <w:r>
              <w:rPr>
                <w:color w:val="000000"/>
                <w:sz w:val="24"/>
                <w:szCs w:val="24"/>
              </w:rPr>
              <w:t>5</w:t>
            </w:r>
          </w:p>
        </w:tc>
        <w:tc>
          <w:tcPr>
            <w:tcW w:w="1475" w:type="dxa"/>
            <w:vAlign w:val="center"/>
          </w:tcPr>
          <w:p w:rsidR="00E5130F" w:rsidRDefault="00D8044E">
            <w:pPr>
              <w:jc w:val="center"/>
            </w:pPr>
            <w:r>
              <w:rPr>
                <w:color w:val="000000"/>
                <w:sz w:val="24"/>
                <w:szCs w:val="24"/>
              </w:rPr>
              <w:t>124386</w:t>
            </w:r>
          </w:p>
        </w:tc>
        <w:tc>
          <w:tcPr>
            <w:tcW w:w="2416" w:type="dxa"/>
            <w:vAlign w:val="center"/>
          </w:tcPr>
          <w:p w:rsidR="00E5130F" w:rsidRDefault="00D8044E">
            <w:pPr>
              <w:jc w:val="center"/>
            </w:pPr>
            <w:r>
              <w:rPr>
                <w:color w:val="000000"/>
                <w:sz w:val="24"/>
                <w:szCs w:val="24"/>
              </w:rPr>
              <w:t>13</w:t>
            </w:r>
            <w:r>
              <w:rPr>
                <w:color w:val="000000"/>
                <w:sz w:val="24"/>
                <w:szCs w:val="24"/>
              </w:rPr>
              <w:t>新沂债</w:t>
            </w:r>
          </w:p>
        </w:tc>
        <w:tc>
          <w:tcPr>
            <w:tcW w:w="1134" w:type="dxa"/>
            <w:vAlign w:val="center"/>
          </w:tcPr>
          <w:p w:rsidR="00E5130F" w:rsidRDefault="00D8044E">
            <w:pPr>
              <w:jc w:val="right"/>
            </w:pPr>
            <w:r>
              <w:rPr>
                <w:color w:val="000000"/>
                <w:sz w:val="24"/>
                <w:szCs w:val="24"/>
              </w:rPr>
              <w:t>99,970</w:t>
            </w:r>
          </w:p>
        </w:tc>
        <w:tc>
          <w:tcPr>
            <w:tcW w:w="1756" w:type="dxa"/>
            <w:vAlign w:val="center"/>
          </w:tcPr>
          <w:p w:rsidR="00E5130F" w:rsidRDefault="00D8044E">
            <w:pPr>
              <w:jc w:val="right"/>
            </w:pPr>
            <w:r>
              <w:rPr>
                <w:color w:val="000000"/>
                <w:sz w:val="24"/>
                <w:szCs w:val="24"/>
              </w:rPr>
              <w:t>10,332,899.20</w:t>
            </w:r>
          </w:p>
        </w:tc>
        <w:tc>
          <w:tcPr>
            <w:tcW w:w="1237" w:type="dxa"/>
            <w:vAlign w:val="center"/>
          </w:tcPr>
          <w:p w:rsidR="00E5130F" w:rsidRDefault="00D8044E">
            <w:pPr>
              <w:jc w:val="right"/>
            </w:pPr>
            <w:r>
              <w:rPr>
                <w:color w:val="000000"/>
                <w:sz w:val="24"/>
                <w:szCs w:val="24"/>
              </w:rPr>
              <w:t>7.22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18,453.41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675,672.97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2,659,943.77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709.83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3,354,779.98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817C82">
        <w:trPr>
          <w:jc w:val="center"/>
        </w:trPr>
        <w:tc>
          <w:tcPr>
            <w:tcW w:w="18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8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2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7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8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E5130F">
        <w:trPr>
          <w:jc w:val="center"/>
        </w:trPr>
        <w:tc>
          <w:tcPr>
            <w:tcW w:w="1883" w:type="dxa"/>
            <w:vAlign w:val="center"/>
          </w:tcPr>
          <w:p w:rsidR="00E5130F" w:rsidRDefault="00D8044E">
            <w:pPr>
              <w:jc w:val="center"/>
            </w:pPr>
            <w:r>
              <w:rPr>
                <w:color w:val="000000"/>
                <w:sz w:val="24"/>
                <w:szCs w:val="24"/>
              </w:rPr>
              <w:t>1</w:t>
            </w:r>
          </w:p>
        </w:tc>
        <w:tc>
          <w:tcPr>
            <w:tcW w:w="1801" w:type="dxa"/>
            <w:vAlign w:val="center"/>
          </w:tcPr>
          <w:p w:rsidR="00E5130F" w:rsidRDefault="00D8044E">
            <w:pPr>
              <w:jc w:val="center"/>
            </w:pPr>
            <w:r>
              <w:rPr>
                <w:color w:val="000000"/>
                <w:sz w:val="24"/>
                <w:szCs w:val="24"/>
              </w:rPr>
              <w:t>113008</w:t>
            </w:r>
          </w:p>
        </w:tc>
        <w:tc>
          <w:tcPr>
            <w:tcW w:w="1727" w:type="dxa"/>
            <w:vAlign w:val="center"/>
          </w:tcPr>
          <w:p w:rsidR="00E5130F" w:rsidRDefault="00D8044E">
            <w:pPr>
              <w:jc w:val="center"/>
            </w:pPr>
            <w:r>
              <w:rPr>
                <w:color w:val="000000"/>
                <w:sz w:val="24"/>
                <w:szCs w:val="24"/>
              </w:rPr>
              <w:t>电气转债</w:t>
            </w:r>
          </w:p>
        </w:tc>
        <w:tc>
          <w:tcPr>
            <w:tcW w:w="1768" w:type="dxa"/>
            <w:vAlign w:val="center"/>
          </w:tcPr>
          <w:p w:rsidR="00E5130F" w:rsidRDefault="00D8044E">
            <w:pPr>
              <w:jc w:val="right"/>
            </w:pPr>
            <w:r>
              <w:rPr>
                <w:color w:val="000000"/>
                <w:sz w:val="24"/>
                <w:szCs w:val="24"/>
              </w:rPr>
              <w:t>2,702,750.00</w:t>
            </w:r>
          </w:p>
        </w:tc>
        <w:tc>
          <w:tcPr>
            <w:tcW w:w="1689" w:type="dxa"/>
            <w:vAlign w:val="center"/>
          </w:tcPr>
          <w:p w:rsidR="00E5130F" w:rsidRDefault="00D8044E">
            <w:pPr>
              <w:jc w:val="right"/>
            </w:pPr>
            <w:r>
              <w:rPr>
                <w:color w:val="000000"/>
                <w:sz w:val="24"/>
                <w:szCs w:val="24"/>
              </w:rPr>
              <w:t>1.89</w:t>
            </w:r>
          </w:p>
        </w:tc>
      </w:tr>
      <w:tr w:rsidR="00E5130F">
        <w:trPr>
          <w:jc w:val="center"/>
        </w:trPr>
        <w:tc>
          <w:tcPr>
            <w:tcW w:w="1883" w:type="dxa"/>
            <w:vAlign w:val="center"/>
          </w:tcPr>
          <w:p w:rsidR="00E5130F" w:rsidRDefault="00D8044E">
            <w:pPr>
              <w:jc w:val="center"/>
            </w:pPr>
            <w:r>
              <w:rPr>
                <w:color w:val="000000"/>
                <w:sz w:val="24"/>
                <w:szCs w:val="24"/>
              </w:rPr>
              <w:lastRenderedPageBreak/>
              <w:t>2</w:t>
            </w:r>
          </w:p>
        </w:tc>
        <w:tc>
          <w:tcPr>
            <w:tcW w:w="1801" w:type="dxa"/>
            <w:vAlign w:val="center"/>
          </w:tcPr>
          <w:p w:rsidR="00E5130F" w:rsidRDefault="00D8044E">
            <w:pPr>
              <w:jc w:val="center"/>
            </w:pPr>
            <w:r>
              <w:rPr>
                <w:color w:val="000000"/>
                <w:sz w:val="24"/>
                <w:szCs w:val="24"/>
              </w:rPr>
              <w:t>128009</w:t>
            </w:r>
          </w:p>
        </w:tc>
        <w:tc>
          <w:tcPr>
            <w:tcW w:w="1727" w:type="dxa"/>
            <w:vAlign w:val="center"/>
          </w:tcPr>
          <w:p w:rsidR="00E5130F" w:rsidRDefault="00D8044E">
            <w:pPr>
              <w:jc w:val="center"/>
            </w:pPr>
            <w:r>
              <w:rPr>
                <w:color w:val="000000"/>
                <w:sz w:val="24"/>
                <w:szCs w:val="24"/>
              </w:rPr>
              <w:t>歌尔转债</w:t>
            </w:r>
          </w:p>
        </w:tc>
        <w:tc>
          <w:tcPr>
            <w:tcW w:w="1768" w:type="dxa"/>
            <w:vAlign w:val="center"/>
          </w:tcPr>
          <w:p w:rsidR="00E5130F" w:rsidRDefault="00D8044E">
            <w:pPr>
              <w:jc w:val="right"/>
            </w:pPr>
            <w:r>
              <w:rPr>
                <w:color w:val="000000"/>
                <w:sz w:val="24"/>
                <w:szCs w:val="24"/>
              </w:rPr>
              <w:t>1,545,222.42</w:t>
            </w:r>
          </w:p>
        </w:tc>
        <w:tc>
          <w:tcPr>
            <w:tcW w:w="1689" w:type="dxa"/>
            <w:vAlign w:val="center"/>
          </w:tcPr>
          <w:p w:rsidR="00E5130F" w:rsidRDefault="00D8044E">
            <w:pPr>
              <w:jc w:val="right"/>
            </w:pPr>
            <w:r>
              <w:rPr>
                <w:color w:val="000000"/>
                <w:sz w:val="24"/>
                <w:szCs w:val="24"/>
              </w:rPr>
              <w:t>1.08</w:t>
            </w:r>
          </w:p>
        </w:tc>
      </w:tr>
      <w:tr w:rsidR="00817C82" w:rsidTr="009437F7">
        <w:trPr>
          <w:jc w:val="center"/>
        </w:trPr>
        <w:tc>
          <w:tcPr>
            <w:tcW w:w="1883" w:type="dxa"/>
          </w:tcPr>
          <w:p w:rsidR="00817C82" w:rsidRPr="00817C82" w:rsidRDefault="00817C82" w:rsidP="00817C82">
            <w:pPr>
              <w:jc w:val="center"/>
              <w:rPr>
                <w:color w:val="000000"/>
                <w:sz w:val="24"/>
                <w:szCs w:val="24"/>
              </w:rPr>
            </w:pPr>
            <w:r w:rsidRPr="00817C82">
              <w:rPr>
                <w:rFonts w:hint="eastAsia"/>
                <w:color w:val="000000"/>
                <w:sz w:val="24"/>
                <w:szCs w:val="24"/>
              </w:rPr>
              <w:t>3</w:t>
            </w:r>
          </w:p>
        </w:tc>
        <w:tc>
          <w:tcPr>
            <w:tcW w:w="1801" w:type="dxa"/>
          </w:tcPr>
          <w:p w:rsidR="00817C82" w:rsidRPr="00817C82" w:rsidRDefault="00817C82" w:rsidP="00817C82">
            <w:pPr>
              <w:jc w:val="center"/>
              <w:rPr>
                <w:color w:val="000000"/>
                <w:sz w:val="24"/>
                <w:szCs w:val="24"/>
              </w:rPr>
            </w:pPr>
            <w:r w:rsidRPr="00817C82">
              <w:rPr>
                <w:rFonts w:hint="eastAsia"/>
                <w:color w:val="000000"/>
                <w:sz w:val="24"/>
                <w:szCs w:val="24"/>
              </w:rPr>
              <w:t>132001</w:t>
            </w:r>
          </w:p>
        </w:tc>
        <w:tc>
          <w:tcPr>
            <w:tcW w:w="1727" w:type="dxa"/>
          </w:tcPr>
          <w:p w:rsidR="00817C82" w:rsidRPr="00817C82" w:rsidRDefault="00817C82" w:rsidP="00817C82">
            <w:pPr>
              <w:jc w:val="center"/>
              <w:rPr>
                <w:color w:val="000000"/>
                <w:sz w:val="24"/>
                <w:szCs w:val="24"/>
              </w:rPr>
            </w:pPr>
            <w:r w:rsidRPr="00817C82">
              <w:rPr>
                <w:rFonts w:hint="eastAsia"/>
                <w:color w:val="000000"/>
                <w:sz w:val="24"/>
                <w:szCs w:val="24"/>
              </w:rPr>
              <w:t>14</w:t>
            </w:r>
            <w:r w:rsidRPr="00817C82">
              <w:rPr>
                <w:rFonts w:hint="eastAsia"/>
                <w:color w:val="000000"/>
                <w:sz w:val="24"/>
                <w:szCs w:val="24"/>
              </w:rPr>
              <w:t>宝钢</w:t>
            </w:r>
            <w:r w:rsidRPr="00817C82">
              <w:rPr>
                <w:rFonts w:hint="eastAsia"/>
                <w:color w:val="000000"/>
                <w:sz w:val="24"/>
                <w:szCs w:val="24"/>
              </w:rPr>
              <w:t>EB</w:t>
            </w:r>
          </w:p>
        </w:tc>
        <w:tc>
          <w:tcPr>
            <w:tcW w:w="1768" w:type="dxa"/>
          </w:tcPr>
          <w:p w:rsidR="00817C82" w:rsidRPr="00817C82" w:rsidRDefault="00817C82" w:rsidP="00817C82">
            <w:pPr>
              <w:jc w:val="right"/>
              <w:rPr>
                <w:color w:val="000000"/>
                <w:sz w:val="24"/>
                <w:szCs w:val="24"/>
              </w:rPr>
            </w:pPr>
            <w:r w:rsidRPr="00817C82">
              <w:rPr>
                <w:rFonts w:hint="eastAsia"/>
                <w:color w:val="000000"/>
                <w:sz w:val="24"/>
                <w:szCs w:val="24"/>
              </w:rPr>
              <w:t>921,600.00</w:t>
            </w:r>
          </w:p>
        </w:tc>
        <w:tc>
          <w:tcPr>
            <w:tcW w:w="1689" w:type="dxa"/>
          </w:tcPr>
          <w:p w:rsidR="00817C82" w:rsidRPr="00817C82" w:rsidRDefault="00817C82" w:rsidP="00817C82">
            <w:pPr>
              <w:jc w:val="right"/>
              <w:rPr>
                <w:color w:val="000000"/>
                <w:sz w:val="24"/>
                <w:szCs w:val="24"/>
              </w:rPr>
            </w:pPr>
            <w:r w:rsidRPr="00817C82">
              <w:rPr>
                <w:rFonts w:hint="eastAsia"/>
                <w:color w:val="000000"/>
                <w:sz w:val="24"/>
                <w:szCs w:val="24"/>
              </w:rPr>
              <w:t>0.64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134,173,693.68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7,523,260.88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35,052,772.81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106,644,181.75</w:t>
            </w:r>
          </w:p>
        </w:tc>
      </w:tr>
    </w:tbl>
    <w:p w:rsidR="00E5130F" w:rsidRDefault="00D8044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5130F" w:rsidRDefault="00D8044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E5130F" w:rsidRDefault="00D8044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E5130F" w:rsidRDefault="00D8044E">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、《交银施罗德信用添利债券证券投资基金招募说明书》；</w:t>
      </w:r>
      <w:r>
        <w:rPr>
          <w:color w:val="000000"/>
          <w:sz w:val="24"/>
          <w:szCs w:val="24"/>
        </w:rPr>
        <w:t xml:space="preserve"> </w:t>
      </w:r>
    </w:p>
    <w:p w:rsidR="00E5130F" w:rsidRDefault="00D8044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E5130F" w:rsidRDefault="00D8044E">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E5130F" w:rsidRDefault="00D8044E">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E5130F" w:rsidRDefault="00D8044E">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5130F" w:rsidRDefault="00D8044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0F" w:rsidRDefault="00D94F0F" w:rsidP="00876D65">
      <w:r>
        <w:separator/>
      </w:r>
    </w:p>
  </w:endnote>
  <w:endnote w:type="continuationSeparator" w:id="0">
    <w:p w:rsidR="00D94F0F" w:rsidRDefault="00D94F0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563A0E">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563A0E">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0F" w:rsidRDefault="00D94F0F" w:rsidP="00876D65">
      <w:r>
        <w:separator/>
      </w:r>
    </w:p>
  </w:footnote>
  <w:footnote w:type="continuationSeparator" w:id="0">
    <w:p w:rsidR="00D94F0F" w:rsidRDefault="00D94F0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3A0E"/>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17C82"/>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44E"/>
    <w:rsid w:val="00D8099B"/>
    <w:rsid w:val="00D866A8"/>
    <w:rsid w:val="00D91E06"/>
    <w:rsid w:val="00D94B8D"/>
    <w:rsid w:val="00D94F0F"/>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130F"/>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2D9F"/>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16AF-1B00-4F63-BFF0-83288081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11</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孙艳</cp:lastModifiedBy>
  <cp:revision>565</cp:revision>
  <dcterms:created xsi:type="dcterms:W3CDTF">2012-10-16T06:07:00Z</dcterms:created>
  <dcterms:modified xsi:type="dcterms:W3CDTF">2016-07-15T12:06:00Z</dcterms:modified>
</cp:coreProperties>
</file>