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上证</w:t>
      </w:r>
      <w:r w:rsidRPr="00BD3DFE">
        <w:rPr>
          <w:b/>
          <w:sz w:val="36"/>
          <w:szCs w:val="36"/>
        </w:rPr>
        <w:t>180</w:t>
      </w:r>
      <w:r w:rsidRPr="00BD3DFE">
        <w:rPr>
          <w:b/>
          <w:sz w:val="36"/>
          <w:szCs w:val="36"/>
        </w:rPr>
        <w:t>公司治理交易型开放式指数证券投资基金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2016</w:t>
      </w:r>
      <w:r w:rsidRPr="00BD3DFE">
        <w:rPr>
          <w:b/>
          <w:sz w:val="36"/>
          <w:szCs w:val="36"/>
        </w:rPr>
        <w:t>年第</w:t>
      </w:r>
      <w:r w:rsidRPr="00BD3DFE">
        <w:rPr>
          <w:b/>
          <w:sz w:val="36"/>
          <w:szCs w:val="36"/>
        </w:rPr>
        <w:t>2</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2016</w:t>
      </w:r>
      <w:r w:rsidRPr="00BD3DFE">
        <w:rPr>
          <w:b/>
          <w:sz w:val="36"/>
          <w:szCs w:val="36"/>
        </w:rPr>
        <w:t>年</w:t>
      </w:r>
      <w:r w:rsidRPr="00BD3DFE">
        <w:rPr>
          <w:b/>
          <w:sz w:val="36"/>
          <w:szCs w:val="36"/>
        </w:rPr>
        <w:t>6</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二〇一六年七月二十一日</w:t>
      </w:r>
    </w:p>
    <w:p w:rsidR="00220542" w:rsidRPr="0036023B" w:rsidRDefault="00220542" w:rsidP="00F36DF3">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BB00AF" w:rsidRDefault="0051147F">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BB00AF" w:rsidRDefault="0051147F">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2016</w:t>
      </w:r>
      <w:r>
        <w:rPr>
          <w:color w:val="000000"/>
          <w:sz w:val="24"/>
        </w:rPr>
        <w:t>年</w:t>
      </w:r>
      <w:r>
        <w:rPr>
          <w:color w:val="000000"/>
          <w:sz w:val="24"/>
        </w:rPr>
        <w:t>7</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BB00AF" w:rsidRDefault="0051147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B00AF" w:rsidRDefault="0051147F">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BB00AF" w:rsidRDefault="0051147F">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2016</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6</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交银上证</w:t>
            </w:r>
            <w:r w:rsidRPr="0036023B">
              <w:rPr>
                <w:color w:val="000000"/>
                <w:kern w:val="0"/>
                <w:sz w:val="24"/>
              </w:rPr>
              <w:t>180</w:t>
            </w:r>
            <w:r w:rsidRPr="0036023B">
              <w:rPr>
                <w:color w:val="000000"/>
                <w:kern w:val="0"/>
                <w:sz w:val="24"/>
              </w:rPr>
              <w:t>公司治理</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治理</w:t>
            </w:r>
            <w:r>
              <w:rPr>
                <w:color w:val="000000"/>
                <w:kern w:val="0"/>
                <w:sz w:val="24"/>
              </w:rPr>
              <w:t>ETF</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510010</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510010</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2009</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25</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745,524,362</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本基金采用完全复制法，跟踪上证</w:t>
            </w:r>
            <w:r w:rsidRPr="0036023B">
              <w:rPr>
                <w:color w:val="000000"/>
                <w:kern w:val="0"/>
                <w:sz w:val="24"/>
              </w:rPr>
              <w:t>180</w:t>
            </w:r>
            <w:r w:rsidRPr="0036023B">
              <w:rPr>
                <w:color w:val="000000"/>
                <w:kern w:val="0"/>
                <w:sz w:val="24"/>
              </w:rPr>
              <w:t>公司治理指数，以完全按照标的指数成份</w:t>
            </w:r>
            <w:proofErr w:type="gramStart"/>
            <w:r w:rsidRPr="0036023B">
              <w:rPr>
                <w:color w:val="000000"/>
                <w:kern w:val="0"/>
                <w:sz w:val="24"/>
              </w:rPr>
              <w:t>股组成</w:t>
            </w:r>
            <w:proofErr w:type="gramEnd"/>
            <w:r w:rsidRPr="0036023B">
              <w:rPr>
                <w:color w:val="000000"/>
                <w:kern w:val="0"/>
                <w:sz w:val="24"/>
              </w:rPr>
              <w:t>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上证</w:t>
            </w:r>
            <w:r w:rsidRPr="0036023B">
              <w:rPr>
                <w:color w:val="000000"/>
                <w:kern w:val="0"/>
                <w:sz w:val="24"/>
              </w:rPr>
              <w:t>180</w:t>
            </w:r>
            <w:r w:rsidRPr="0036023B">
              <w:rPr>
                <w:color w:val="000000"/>
                <w:kern w:val="0"/>
                <w:sz w:val="24"/>
              </w:rPr>
              <w:t>公司治理指数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w:t>
            </w:r>
            <w:proofErr w:type="gramStart"/>
            <w:r w:rsidRPr="0036023B">
              <w:rPr>
                <w:color w:val="000000"/>
                <w:kern w:val="0"/>
                <w:sz w:val="24"/>
              </w:rPr>
              <w:t>属股票</w:t>
            </w:r>
            <w:proofErr w:type="gramEnd"/>
            <w:r w:rsidRPr="0036023B">
              <w:rPr>
                <w:color w:val="000000"/>
                <w:kern w:val="0"/>
                <w:sz w:val="24"/>
              </w:rPr>
              <w:t>基金，风险与收益高于混合基金、债券</w:t>
            </w:r>
            <w:r w:rsidRPr="0036023B">
              <w:rPr>
                <w:color w:val="000000"/>
                <w:kern w:val="0"/>
                <w:sz w:val="24"/>
              </w:rPr>
              <w:lastRenderedPageBreak/>
              <w:t>基金与货币市场基金。本基金为指数型基金，紧密跟踪标的指数，具有和标的指数所代表的股票市场相似的风险收益特征，属于证券投资基金中风险较高、收益较高的品种。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注：本表所列的基金主代码</w:t>
      </w:r>
      <w:r w:rsidRPr="0036023B">
        <w:rPr>
          <w:color w:val="000000"/>
          <w:sz w:val="24"/>
        </w:rPr>
        <w:t>510010</w:t>
      </w:r>
      <w:r w:rsidRPr="0036023B">
        <w:rPr>
          <w:color w:val="000000"/>
          <w:sz w:val="24"/>
        </w:rPr>
        <w:t>为本基金二级市场交易代码，本基金一级市场申购赎回代码为</w:t>
      </w:r>
      <w:r w:rsidRPr="0036023B">
        <w:rPr>
          <w:color w:val="000000"/>
          <w:sz w:val="24"/>
        </w:rPr>
        <w:t>510011</w:t>
      </w:r>
      <w:r w:rsidRPr="0036023B">
        <w:rPr>
          <w:color w:val="000000"/>
          <w:sz w:val="24"/>
        </w:rPr>
        <w:t>。</w:t>
      </w:r>
    </w:p>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B7F84" w:rsidRPr="0036023B" w:rsidTr="00CB7F84">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(2016</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w:t>
            </w:r>
            <w:r w:rsidRPr="0036023B">
              <w:rPr>
                <w:color w:val="000000"/>
                <w:sz w:val="24"/>
              </w:rPr>
              <w:t>-2016</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CB7F84" w:rsidRPr="0036023B" w:rsidTr="00CB7F84">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7,563,440.95</w:t>
            </w:r>
          </w:p>
        </w:tc>
      </w:tr>
      <w:tr w:rsidR="00CB7F84" w:rsidRPr="0036023B" w:rsidTr="00CB7F84">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-16,377,174.85</w:t>
            </w:r>
          </w:p>
        </w:tc>
      </w:tr>
      <w:tr w:rsidR="00CB7F84" w:rsidRPr="0036023B" w:rsidTr="00CB7F84">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-0.0220</w:t>
            </w:r>
          </w:p>
        </w:tc>
      </w:tr>
      <w:tr w:rsidR="00CB7F84" w:rsidRPr="0036023B" w:rsidTr="00CB7F84">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651,760,464.18</w:t>
            </w:r>
          </w:p>
        </w:tc>
      </w:tr>
      <w:tr w:rsidR="00CB7F84" w:rsidRPr="0036023B" w:rsidTr="00CB7F84">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0.874</w:t>
            </w:r>
          </w:p>
        </w:tc>
      </w:tr>
    </w:tbl>
    <w:p w:rsidR="00BB00AF" w:rsidRDefault="0051147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w:t>
      </w:r>
      <w:proofErr w:type="gramStart"/>
      <w:r w:rsidRPr="0036023B">
        <w:rPr>
          <w:b/>
          <w:color w:val="000000"/>
          <w:kern w:val="0"/>
          <w:sz w:val="24"/>
        </w:rPr>
        <w:t>期基金</w:t>
      </w:r>
      <w:proofErr w:type="gramEnd"/>
      <w:r w:rsidRPr="0036023B">
        <w:rPr>
          <w:b/>
          <w:color w:val="000000"/>
          <w:kern w:val="0"/>
          <w:sz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BB00AF">
        <w:trPr>
          <w:jc w:val="center"/>
        </w:trPr>
        <w:tc>
          <w:tcPr>
            <w:tcW w:w="1469" w:type="dxa"/>
            <w:vAlign w:val="center"/>
          </w:tcPr>
          <w:p w:rsidR="00BB00AF" w:rsidRDefault="0051147F">
            <w:pPr>
              <w:jc w:val="left"/>
            </w:pPr>
            <w:r>
              <w:rPr>
                <w:color w:val="000000"/>
                <w:sz w:val="24"/>
              </w:rPr>
              <w:t>过去三个月</w:t>
            </w:r>
          </w:p>
        </w:tc>
        <w:tc>
          <w:tcPr>
            <w:tcW w:w="1150" w:type="dxa"/>
            <w:vAlign w:val="center"/>
          </w:tcPr>
          <w:p w:rsidR="00BB00AF" w:rsidRDefault="0051147F">
            <w:pPr>
              <w:jc w:val="center"/>
            </w:pPr>
            <w:r>
              <w:rPr>
                <w:color w:val="000000"/>
                <w:sz w:val="24"/>
              </w:rPr>
              <w:t>-2.35%</w:t>
            </w:r>
          </w:p>
        </w:tc>
        <w:tc>
          <w:tcPr>
            <w:tcW w:w="1223" w:type="dxa"/>
            <w:vAlign w:val="center"/>
          </w:tcPr>
          <w:p w:rsidR="00BB00AF" w:rsidRDefault="0051147F">
            <w:pPr>
              <w:jc w:val="center"/>
            </w:pPr>
            <w:r>
              <w:rPr>
                <w:color w:val="000000"/>
                <w:sz w:val="24"/>
              </w:rPr>
              <w:t>0.90%</w:t>
            </w:r>
          </w:p>
        </w:tc>
        <w:tc>
          <w:tcPr>
            <w:tcW w:w="1244" w:type="dxa"/>
            <w:vAlign w:val="center"/>
          </w:tcPr>
          <w:p w:rsidR="00BB00AF" w:rsidRDefault="0051147F">
            <w:pPr>
              <w:jc w:val="center"/>
            </w:pPr>
            <w:r>
              <w:rPr>
                <w:color w:val="000000"/>
                <w:sz w:val="24"/>
              </w:rPr>
              <w:t>-3.17%</w:t>
            </w:r>
          </w:p>
        </w:tc>
        <w:tc>
          <w:tcPr>
            <w:tcW w:w="1251" w:type="dxa"/>
            <w:vAlign w:val="center"/>
          </w:tcPr>
          <w:p w:rsidR="00BB00AF" w:rsidRDefault="0051147F">
            <w:pPr>
              <w:jc w:val="center"/>
            </w:pPr>
            <w:r>
              <w:rPr>
                <w:color w:val="000000"/>
                <w:sz w:val="24"/>
              </w:rPr>
              <w:t>0.90%</w:t>
            </w:r>
          </w:p>
        </w:tc>
        <w:tc>
          <w:tcPr>
            <w:tcW w:w="1263" w:type="dxa"/>
            <w:vAlign w:val="center"/>
          </w:tcPr>
          <w:p w:rsidR="00BB00AF" w:rsidRDefault="0051147F">
            <w:pPr>
              <w:jc w:val="center"/>
            </w:pPr>
            <w:r>
              <w:rPr>
                <w:color w:val="000000"/>
                <w:sz w:val="24"/>
              </w:rPr>
              <w:t>0.82%</w:t>
            </w:r>
          </w:p>
        </w:tc>
        <w:tc>
          <w:tcPr>
            <w:tcW w:w="1268" w:type="dxa"/>
            <w:vAlign w:val="center"/>
          </w:tcPr>
          <w:p w:rsidR="00BB00AF" w:rsidRDefault="0051147F">
            <w:pPr>
              <w:jc w:val="center"/>
            </w:pPr>
            <w:r>
              <w:rPr>
                <w:color w:val="000000"/>
                <w:sz w:val="24"/>
              </w:rPr>
              <w:t>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lastRenderedPageBreak/>
        <w:t>3.2.</w:t>
      </w:r>
      <w:r w:rsidR="003149AB" w:rsidRPr="0036023B">
        <w:rPr>
          <w:b/>
          <w:color w:val="000000"/>
          <w:kern w:val="0"/>
          <w:sz w:val="24"/>
        </w:rPr>
        <w:t>2</w:t>
      </w:r>
      <w:r w:rsidR="00471291">
        <w:rPr>
          <w:rFonts w:hint="eastAsia"/>
          <w:b/>
          <w:color w:val="000000"/>
          <w:kern w:val="0"/>
          <w:sz w:val="24"/>
        </w:rPr>
        <w:t xml:space="preserve"> </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上证</w:t>
      </w:r>
      <w:r w:rsidRPr="0036023B">
        <w:rPr>
          <w:sz w:val="24"/>
        </w:rPr>
        <w:t>180</w:t>
      </w:r>
      <w:r w:rsidRPr="0036023B">
        <w:rPr>
          <w:sz w:val="24"/>
        </w:rPr>
        <w:t>公司治理交易型开放式指数证券投资基金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2009</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25</w:t>
      </w:r>
      <w:r w:rsidR="005C0A04" w:rsidRPr="0036023B">
        <w:rPr>
          <w:color w:val="000000"/>
          <w:kern w:val="0"/>
          <w:sz w:val="24"/>
        </w:rPr>
        <w:t>日</w:t>
      </w:r>
      <w:r w:rsidRPr="0036023B">
        <w:rPr>
          <w:color w:val="000000"/>
          <w:kern w:val="0"/>
          <w:sz w:val="24"/>
        </w:rPr>
        <w:t>至</w:t>
      </w:r>
      <w:r w:rsidRPr="0036023B">
        <w:rPr>
          <w:color w:val="000000"/>
          <w:kern w:val="0"/>
          <w:sz w:val="24"/>
        </w:rPr>
        <w:t>2016</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BB00AF">
        <w:trPr>
          <w:jc w:val="center"/>
        </w:trPr>
        <w:tc>
          <w:tcPr>
            <w:tcW w:w="846" w:type="dxa"/>
            <w:vAlign w:val="center"/>
          </w:tcPr>
          <w:p w:rsidR="00BB00AF" w:rsidRDefault="0051147F">
            <w:pPr>
              <w:jc w:val="center"/>
            </w:pPr>
            <w:r>
              <w:rPr>
                <w:color w:val="000000"/>
                <w:sz w:val="24"/>
              </w:rPr>
              <w:t>蔡铮</w:t>
            </w:r>
          </w:p>
        </w:tc>
        <w:tc>
          <w:tcPr>
            <w:tcW w:w="845" w:type="dxa"/>
            <w:vAlign w:val="center"/>
          </w:tcPr>
          <w:p w:rsidR="00BB00AF" w:rsidRDefault="0051147F">
            <w:pPr>
              <w:jc w:val="center"/>
            </w:pPr>
            <w:r>
              <w:rPr>
                <w:color w:val="000000"/>
                <w:sz w:val="24"/>
              </w:rPr>
              <w:t>交银环球精选混合</w:t>
            </w:r>
            <w:r>
              <w:rPr>
                <w:color w:val="000000"/>
                <w:sz w:val="24"/>
              </w:rPr>
              <w:t>(QDII)</w:t>
            </w:r>
            <w:r>
              <w:rPr>
                <w:color w:val="000000"/>
                <w:sz w:val="24"/>
              </w:rPr>
              <w:t>、交银上证</w:t>
            </w:r>
            <w:r>
              <w:rPr>
                <w:color w:val="000000"/>
                <w:sz w:val="24"/>
              </w:rPr>
              <w:lastRenderedPageBreak/>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w:t>
            </w:r>
            <w:r>
              <w:rPr>
                <w:color w:val="000000"/>
                <w:sz w:val="24"/>
              </w:rPr>
              <w:lastRenderedPageBreak/>
              <w:t>指数分级的基金经理，公司量化投资部助理总经理</w:t>
            </w:r>
          </w:p>
        </w:tc>
        <w:tc>
          <w:tcPr>
            <w:tcW w:w="1549" w:type="dxa"/>
            <w:vAlign w:val="center"/>
          </w:tcPr>
          <w:p w:rsidR="00BB00AF" w:rsidRDefault="0051147F">
            <w:pPr>
              <w:jc w:val="center"/>
            </w:pPr>
            <w:r>
              <w:rPr>
                <w:color w:val="000000"/>
                <w:sz w:val="24"/>
              </w:rPr>
              <w:lastRenderedPageBreak/>
              <w:t>2012-12-27</w:t>
            </w:r>
          </w:p>
        </w:tc>
        <w:tc>
          <w:tcPr>
            <w:tcW w:w="1548" w:type="dxa"/>
            <w:vAlign w:val="center"/>
          </w:tcPr>
          <w:p w:rsidR="00BB00AF" w:rsidRDefault="0051147F">
            <w:pPr>
              <w:jc w:val="center"/>
            </w:pPr>
            <w:r>
              <w:rPr>
                <w:color w:val="000000"/>
                <w:sz w:val="24"/>
              </w:rPr>
              <w:t>-</w:t>
            </w:r>
          </w:p>
        </w:tc>
        <w:tc>
          <w:tcPr>
            <w:tcW w:w="1407" w:type="dxa"/>
            <w:vAlign w:val="center"/>
          </w:tcPr>
          <w:p w:rsidR="00BB00AF" w:rsidRDefault="0051147F">
            <w:pPr>
              <w:jc w:val="center"/>
            </w:pPr>
            <w:r>
              <w:rPr>
                <w:color w:val="000000"/>
                <w:sz w:val="24"/>
              </w:rPr>
              <w:t>7</w:t>
            </w:r>
            <w:r>
              <w:rPr>
                <w:color w:val="000000"/>
                <w:sz w:val="24"/>
              </w:rPr>
              <w:t>年</w:t>
            </w:r>
          </w:p>
        </w:tc>
        <w:tc>
          <w:tcPr>
            <w:tcW w:w="2673" w:type="dxa"/>
            <w:vAlign w:val="center"/>
          </w:tcPr>
          <w:p w:rsidR="00BB00AF" w:rsidRDefault="0051147F">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lastRenderedPageBreak/>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BB00AF" w:rsidRDefault="0051147F">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0820A8" w:rsidP="0099526C">
      <w:pPr>
        <w:spacing w:before="29" w:line="288" w:lineRule="auto"/>
        <w:ind w:firstLineChars="200" w:firstLine="480"/>
        <w:rPr>
          <w:color w:val="000000"/>
          <w:sz w:val="24"/>
        </w:rPr>
      </w:pPr>
      <w:r w:rsidRPr="0036023B">
        <w:rPr>
          <w:color w:val="000000"/>
          <w:sz w:val="24"/>
        </w:rPr>
        <w:t>中国证监会于</w:t>
      </w:r>
      <w:r w:rsidRPr="0036023B">
        <w:rPr>
          <w:color w:val="000000"/>
          <w:sz w:val="24"/>
        </w:rPr>
        <w:t>2015</w:t>
      </w:r>
      <w:r w:rsidRPr="0036023B">
        <w:rPr>
          <w:color w:val="000000"/>
          <w:sz w:val="24"/>
        </w:rPr>
        <w:t>年对公司进行了</w:t>
      </w:r>
      <w:r w:rsidRPr="0036023B">
        <w:rPr>
          <w:color w:val="000000"/>
          <w:sz w:val="24"/>
        </w:rPr>
        <w:t>“</w:t>
      </w:r>
      <w:r w:rsidRPr="0036023B">
        <w:rPr>
          <w:color w:val="000000"/>
          <w:sz w:val="24"/>
        </w:rPr>
        <w:t>两加强两遏制</w:t>
      </w:r>
      <w:r w:rsidRPr="0036023B">
        <w:rPr>
          <w:color w:val="000000"/>
          <w:sz w:val="24"/>
        </w:rPr>
        <w:t>”</w:t>
      </w:r>
      <w:r w:rsidRPr="0036023B">
        <w:rPr>
          <w:color w:val="000000"/>
          <w:sz w:val="24"/>
        </w:rPr>
        <w:t>检查，后续并就公司内部控制提出了相应改进意见及采取责令改正的行政监管措施。公司已经完成了相关问题的整改，并已向监管部门上报了专项报告。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BB00AF" w:rsidRDefault="0051147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B00AF" w:rsidRDefault="0051147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B00AF" w:rsidRDefault="0051147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lastRenderedPageBreak/>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本基金于本报告期内未发现异常交易行为。本报告期内，本公司管理的所有投资组合参与的交易所公开竞价同日反向交易成交较少的单边交易量超过该证券当日总成交量</w:t>
      </w:r>
      <w:r w:rsidRPr="0036023B">
        <w:rPr>
          <w:color w:val="000000"/>
          <w:sz w:val="24"/>
        </w:rPr>
        <w:t>5%</w:t>
      </w:r>
      <w:r w:rsidRPr="0036023B">
        <w:rPr>
          <w:color w:val="000000"/>
          <w:sz w:val="24"/>
        </w:rPr>
        <w:t>的情况有</w:t>
      </w:r>
      <w:r w:rsidRPr="0036023B">
        <w:rPr>
          <w:color w:val="000000"/>
          <w:sz w:val="24"/>
        </w:rPr>
        <w:t>1</w:t>
      </w:r>
      <w:r w:rsidRPr="0036023B">
        <w:rPr>
          <w:color w:val="000000"/>
          <w:sz w:val="24"/>
        </w:rPr>
        <w:t>次，是由于投资组合被动超标的合规调整需要而发生同日反向交易，未发现不公平交易和利益输送的情况。本基金与本公司管理的其他投资组合在不同时间窗下（如日内、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日内）同向交易的交易价差未发现异常。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BB00AF" w:rsidRDefault="0051147F">
      <w:pPr>
        <w:spacing w:before="29" w:line="288" w:lineRule="auto"/>
        <w:ind w:firstLineChars="200" w:firstLine="480"/>
        <w:rPr>
          <w:color w:val="000000"/>
          <w:sz w:val="24"/>
        </w:rPr>
      </w:pPr>
      <w:r>
        <w:rPr>
          <w:color w:val="000000"/>
          <w:sz w:val="24"/>
        </w:rPr>
        <w:t>2016</w:t>
      </w:r>
      <w:r>
        <w:rPr>
          <w:color w:val="000000"/>
          <w:sz w:val="24"/>
        </w:rPr>
        <w:t>年二季度，国内经济面临不确定性风险，经济基本面对资本市场的支持力度较为有限，</w:t>
      </w:r>
      <w:r>
        <w:rPr>
          <w:color w:val="000000"/>
          <w:sz w:val="24"/>
        </w:rPr>
        <w:t>A</w:t>
      </w:r>
      <w:r>
        <w:rPr>
          <w:color w:val="000000"/>
          <w:sz w:val="24"/>
        </w:rPr>
        <w:t>股市场呈现出震荡格局。随着美元加息预期的反复、英国脱欧事件以及国内局部流动性和信用违约等宏观风险的释放，整体市场的风险偏好有所修复。作为跟踪基准指数的指数基金，本基金在本报告期内总体呈现出平行震荡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2016</w:t>
      </w:r>
      <w:r w:rsidRPr="0036023B">
        <w:rPr>
          <w:color w:val="000000"/>
          <w:sz w:val="24"/>
        </w:rPr>
        <w:t>年三季度，国内经济已有所企稳，处于阶段性弱复苏期间，预计将继续维持温和增长的态势。三季度的</w:t>
      </w:r>
      <w:r w:rsidRPr="0036023B">
        <w:rPr>
          <w:color w:val="000000"/>
          <w:sz w:val="24"/>
        </w:rPr>
        <w:t>A</w:t>
      </w:r>
      <w:r w:rsidRPr="0036023B">
        <w:rPr>
          <w:color w:val="000000"/>
          <w:sz w:val="24"/>
        </w:rPr>
        <w:t>股市场有望阶段性好转，我们总体维持谨慎但不悲观的看法。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2016</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日，本基金份额净值</w:t>
      </w:r>
      <w:r w:rsidRPr="0036023B">
        <w:rPr>
          <w:color w:val="000000"/>
          <w:sz w:val="24"/>
        </w:rPr>
        <w:t>0.874</w:t>
      </w:r>
      <w:r w:rsidRPr="0036023B">
        <w:rPr>
          <w:color w:val="000000"/>
          <w:sz w:val="24"/>
        </w:rPr>
        <w:t>元，本报告期份额净值增长率为</w:t>
      </w:r>
      <w:r w:rsidRPr="0036023B">
        <w:rPr>
          <w:color w:val="000000"/>
          <w:sz w:val="24"/>
        </w:rPr>
        <w:t>-2.35%</w:t>
      </w:r>
      <w:r w:rsidRPr="0036023B">
        <w:rPr>
          <w:color w:val="000000"/>
          <w:sz w:val="24"/>
        </w:rPr>
        <w:t>，同期业绩比较基准增长率为</w:t>
      </w:r>
      <w:r w:rsidRPr="0036023B">
        <w:rPr>
          <w:color w:val="000000"/>
          <w:sz w:val="24"/>
        </w:rPr>
        <w:t>-3.17%</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8E7C14">
        <w:trPr>
          <w:jc w:val="center"/>
        </w:trPr>
        <w:tc>
          <w:tcPr>
            <w:tcW w:w="749"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49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948"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8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8E7C14">
        <w:trPr>
          <w:jc w:val="center"/>
        </w:trPr>
        <w:tc>
          <w:tcPr>
            <w:tcW w:w="749"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648,309,286.23</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98.74</w:t>
            </w:r>
          </w:p>
        </w:tc>
      </w:tr>
      <w:tr w:rsidR="000820A8" w:rsidRPr="0036023B" w:rsidTr="008E7C14">
        <w:trPr>
          <w:jc w:val="center"/>
        </w:trPr>
        <w:tc>
          <w:tcPr>
            <w:tcW w:w="749" w:type="dxa"/>
            <w:vAlign w:val="center"/>
          </w:tcPr>
          <w:p w:rsidR="000820A8" w:rsidRPr="0036023B" w:rsidRDefault="000820A8" w:rsidP="0099526C">
            <w:pPr>
              <w:spacing w:before="29" w:line="288" w:lineRule="auto"/>
              <w:ind w:left="17"/>
              <w:jc w:val="center"/>
              <w:rPr>
                <w:color w:val="000000"/>
                <w:sz w:val="24"/>
              </w:rPr>
            </w:pP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648,309,286.23</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98.74</w:t>
            </w:r>
          </w:p>
        </w:tc>
      </w:tr>
      <w:tr w:rsidR="000820A8" w:rsidRPr="0036023B" w:rsidTr="008E7C14">
        <w:trPr>
          <w:jc w:val="center"/>
        </w:trPr>
        <w:tc>
          <w:tcPr>
            <w:tcW w:w="749"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8E7C14">
        <w:trPr>
          <w:jc w:val="center"/>
        </w:trPr>
        <w:tc>
          <w:tcPr>
            <w:tcW w:w="749" w:type="dxa"/>
            <w:vAlign w:val="center"/>
          </w:tcPr>
          <w:p w:rsidR="000820A8" w:rsidRPr="0036023B" w:rsidRDefault="000820A8" w:rsidP="0099526C">
            <w:pPr>
              <w:spacing w:before="29" w:line="288" w:lineRule="auto"/>
              <w:ind w:left="17"/>
              <w:jc w:val="center"/>
              <w:rPr>
                <w:color w:val="000000"/>
                <w:sz w:val="24"/>
              </w:rPr>
            </w:pP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8E7C14">
        <w:trPr>
          <w:jc w:val="center"/>
        </w:trPr>
        <w:tc>
          <w:tcPr>
            <w:tcW w:w="749" w:type="dxa"/>
            <w:vAlign w:val="center"/>
          </w:tcPr>
          <w:p w:rsidR="000820A8" w:rsidRPr="0036023B" w:rsidRDefault="000820A8" w:rsidP="0099526C">
            <w:pPr>
              <w:spacing w:before="29" w:line="288" w:lineRule="auto"/>
              <w:ind w:left="17"/>
              <w:jc w:val="center"/>
              <w:rPr>
                <w:color w:val="000000"/>
                <w:sz w:val="24"/>
              </w:rPr>
            </w:pPr>
          </w:p>
        </w:tc>
        <w:tc>
          <w:tcPr>
            <w:tcW w:w="3491"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8E7C14">
        <w:trPr>
          <w:jc w:val="center"/>
        </w:trPr>
        <w:tc>
          <w:tcPr>
            <w:tcW w:w="749"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491"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948"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80"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8E7C14">
        <w:trPr>
          <w:jc w:val="center"/>
        </w:trPr>
        <w:tc>
          <w:tcPr>
            <w:tcW w:w="749"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8E7C14">
        <w:trPr>
          <w:jc w:val="center"/>
        </w:trPr>
        <w:tc>
          <w:tcPr>
            <w:tcW w:w="749"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8E7C14">
        <w:trPr>
          <w:jc w:val="center"/>
        </w:trPr>
        <w:tc>
          <w:tcPr>
            <w:tcW w:w="749" w:type="dxa"/>
            <w:vAlign w:val="center"/>
          </w:tcPr>
          <w:p w:rsidR="000820A8" w:rsidRPr="0036023B" w:rsidRDefault="000820A8" w:rsidP="0099526C">
            <w:pPr>
              <w:spacing w:before="29" w:line="288" w:lineRule="auto"/>
              <w:ind w:left="17"/>
              <w:jc w:val="center"/>
              <w:rPr>
                <w:color w:val="000000"/>
                <w:sz w:val="24"/>
              </w:rPr>
            </w:pP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8E7C14">
        <w:trPr>
          <w:jc w:val="center"/>
        </w:trPr>
        <w:tc>
          <w:tcPr>
            <w:tcW w:w="749"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8,245,490.54</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1.26</w:t>
            </w:r>
          </w:p>
        </w:tc>
      </w:tr>
      <w:tr w:rsidR="000820A8" w:rsidRPr="0036023B" w:rsidTr="008E7C14">
        <w:trPr>
          <w:jc w:val="center"/>
        </w:trPr>
        <w:tc>
          <w:tcPr>
            <w:tcW w:w="749"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491"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948" w:type="dxa"/>
            <w:vAlign w:val="center"/>
          </w:tcPr>
          <w:p w:rsidR="000820A8" w:rsidRPr="0036023B" w:rsidRDefault="000820A8" w:rsidP="0099526C">
            <w:pPr>
              <w:spacing w:before="29" w:line="288" w:lineRule="auto"/>
              <w:jc w:val="right"/>
              <w:rPr>
                <w:color w:val="000000"/>
                <w:sz w:val="24"/>
              </w:rPr>
            </w:pPr>
            <w:r w:rsidRPr="0036023B">
              <w:rPr>
                <w:color w:val="000000"/>
                <w:sz w:val="24"/>
              </w:rPr>
              <w:t>6,159.79</w:t>
            </w:r>
          </w:p>
        </w:tc>
        <w:tc>
          <w:tcPr>
            <w:tcW w:w="1680" w:type="dxa"/>
            <w:vAlign w:val="center"/>
          </w:tcPr>
          <w:p w:rsidR="000820A8" w:rsidRPr="0036023B" w:rsidRDefault="000820A8" w:rsidP="0099526C">
            <w:pPr>
              <w:spacing w:before="29" w:line="288" w:lineRule="auto"/>
              <w:jc w:val="right"/>
              <w:rPr>
                <w:color w:val="000000"/>
                <w:sz w:val="24"/>
              </w:rPr>
            </w:pPr>
            <w:r w:rsidRPr="0036023B">
              <w:rPr>
                <w:color w:val="000000"/>
                <w:sz w:val="24"/>
              </w:rPr>
              <w:t>0.00</w:t>
            </w:r>
          </w:p>
        </w:tc>
      </w:tr>
      <w:tr w:rsidR="000820A8" w:rsidRPr="0036023B" w:rsidTr="008E7C14">
        <w:trPr>
          <w:jc w:val="center"/>
        </w:trPr>
        <w:tc>
          <w:tcPr>
            <w:tcW w:w="749"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491"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948" w:type="dxa"/>
            <w:vAlign w:val="center"/>
          </w:tcPr>
          <w:p w:rsidR="000820A8" w:rsidRPr="0036023B" w:rsidRDefault="000820A8" w:rsidP="0099526C">
            <w:pPr>
              <w:spacing w:before="29" w:line="288" w:lineRule="auto"/>
              <w:jc w:val="right"/>
              <w:rPr>
                <w:color w:val="000000"/>
                <w:sz w:val="24"/>
              </w:rPr>
            </w:pPr>
            <w:r w:rsidRPr="0036023B">
              <w:rPr>
                <w:color w:val="000000"/>
                <w:sz w:val="24"/>
              </w:rPr>
              <w:t>656,560,936.56</w:t>
            </w:r>
          </w:p>
        </w:tc>
        <w:tc>
          <w:tcPr>
            <w:tcW w:w="1680"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8E7C14"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1,183,498.03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0.18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29,696,524.94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4.56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130,142,072.16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19.97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43,443,048.88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6.67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42,693,685.61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6.55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9,089,643.65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1.39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24,223,517.48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3.72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17,042,587.53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2.61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313,066,045.44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48.03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30,219,688.09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4.64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1,946,756.00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0.30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lastRenderedPageBreak/>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3,049,098.42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2,513,120.00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0.39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648,309,286.23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99.47</w:t>
            </w:r>
          </w:p>
        </w:tc>
      </w:tr>
    </w:tbl>
    <w:p w:rsidR="00CB7F84" w:rsidRDefault="00CB7F84" w:rsidP="00BC47D5">
      <w:pPr>
        <w:spacing w:before="29" w:line="288" w:lineRule="auto"/>
        <w:rPr>
          <w:b/>
          <w:color w:val="000000"/>
          <w:kern w:val="0"/>
          <w:sz w:val="24"/>
        </w:rPr>
      </w:pPr>
    </w:p>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报告期末按行业分类的沪港通投资股票投资组合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本基金本报告期末未持有通过沪港通投资的股票。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BB00AF">
        <w:trPr>
          <w:jc w:val="center"/>
        </w:trPr>
        <w:tc>
          <w:tcPr>
            <w:tcW w:w="850" w:type="dxa"/>
            <w:vAlign w:val="center"/>
          </w:tcPr>
          <w:p w:rsidR="00BB00AF" w:rsidRDefault="0051147F">
            <w:pPr>
              <w:jc w:val="center"/>
            </w:pPr>
            <w:r>
              <w:rPr>
                <w:color w:val="000000"/>
                <w:sz w:val="24"/>
              </w:rPr>
              <w:t>1</w:t>
            </w:r>
          </w:p>
        </w:tc>
        <w:tc>
          <w:tcPr>
            <w:tcW w:w="1327" w:type="dxa"/>
            <w:vAlign w:val="center"/>
          </w:tcPr>
          <w:p w:rsidR="00BB00AF" w:rsidRDefault="0051147F">
            <w:pPr>
              <w:jc w:val="center"/>
            </w:pPr>
            <w:r>
              <w:rPr>
                <w:color w:val="000000"/>
                <w:sz w:val="24"/>
              </w:rPr>
              <w:t>601318</w:t>
            </w:r>
          </w:p>
        </w:tc>
        <w:tc>
          <w:tcPr>
            <w:tcW w:w="1769" w:type="dxa"/>
            <w:vAlign w:val="center"/>
          </w:tcPr>
          <w:p w:rsidR="00BB00AF" w:rsidRDefault="0051147F">
            <w:pPr>
              <w:jc w:val="center"/>
            </w:pPr>
            <w:r>
              <w:rPr>
                <w:color w:val="000000"/>
                <w:sz w:val="24"/>
              </w:rPr>
              <w:t>中国平安</w:t>
            </w:r>
          </w:p>
        </w:tc>
        <w:tc>
          <w:tcPr>
            <w:tcW w:w="1327" w:type="dxa"/>
            <w:vAlign w:val="center"/>
          </w:tcPr>
          <w:p w:rsidR="00BB00AF" w:rsidRDefault="0051147F">
            <w:pPr>
              <w:jc w:val="right"/>
            </w:pPr>
            <w:r>
              <w:rPr>
                <w:color w:val="000000"/>
                <w:sz w:val="24"/>
              </w:rPr>
              <w:t>1,945,400</w:t>
            </w:r>
          </w:p>
        </w:tc>
        <w:tc>
          <w:tcPr>
            <w:tcW w:w="1915" w:type="dxa"/>
            <w:vAlign w:val="center"/>
          </w:tcPr>
          <w:p w:rsidR="00BB00AF" w:rsidRDefault="0051147F">
            <w:pPr>
              <w:jc w:val="right"/>
            </w:pPr>
            <w:r>
              <w:rPr>
                <w:color w:val="000000"/>
                <w:sz w:val="24"/>
              </w:rPr>
              <w:t>62,330,616.00</w:t>
            </w:r>
          </w:p>
        </w:tc>
        <w:tc>
          <w:tcPr>
            <w:tcW w:w="1680" w:type="dxa"/>
            <w:vAlign w:val="center"/>
          </w:tcPr>
          <w:p w:rsidR="00BB00AF" w:rsidRDefault="0051147F">
            <w:pPr>
              <w:jc w:val="right"/>
            </w:pPr>
            <w:r>
              <w:rPr>
                <w:color w:val="000000"/>
                <w:sz w:val="24"/>
              </w:rPr>
              <w:t>9.56</w:t>
            </w:r>
          </w:p>
        </w:tc>
      </w:tr>
      <w:tr w:rsidR="00BB00AF">
        <w:trPr>
          <w:jc w:val="center"/>
        </w:trPr>
        <w:tc>
          <w:tcPr>
            <w:tcW w:w="850" w:type="dxa"/>
            <w:vAlign w:val="center"/>
          </w:tcPr>
          <w:p w:rsidR="00BB00AF" w:rsidRDefault="0051147F">
            <w:pPr>
              <w:jc w:val="center"/>
            </w:pPr>
            <w:r>
              <w:rPr>
                <w:color w:val="000000"/>
                <w:sz w:val="24"/>
              </w:rPr>
              <w:t>2</w:t>
            </w:r>
          </w:p>
        </w:tc>
        <w:tc>
          <w:tcPr>
            <w:tcW w:w="1327" w:type="dxa"/>
            <w:vAlign w:val="center"/>
          </w:tcPr>
          <w:p w:rsidR="00BB00AF" w:rsidRDefault="0051147F">
            <w:pPr>
              <w:jc w:val="center"/>
            </w:pPr>
            <w:r>
              <w:rPr>
                <w:color w:val="000000"/>
                <w:sz w:val="24"/>
              </w:rPr>
              <w:t>600016</w:t>
            </w:r>
          </w:p>
        </w:tc>
        <w:tc>
          <w:tcPr>
            <w:tcW w:w="1769" w:type="dxa"/>
            <w:vAlign w:val="center"/>
          </w:tcPr>
          <w:p w:rsidR="00BB00AF" w:rsidRDefault="0051147F">
            <w:pPr>
              <w:jc w:val="center"/>
            </w:pPr>
            <w:r>
              <w:rPr>
                <w:color w:val="000000"/>
                <w:sz w:val="24"/>
              </w:rPr>
              <w:t>民生银行</w:t>
            </w:r>
          </w:p>
        </w:tc>
        <w:tc>
          <w:tcPr>
            <w:tcW w:w="1327" w:type="dxa"/>
            <w:vAlign w:val="center"/>
          </w:tcPr>
          <w:p w:rsidR="00BB00AF" w:rsidRDefault="0051147F">
            <w:pPr>
              <w:jc w:val="right"/>
            </w:pPr>
            <w:r>
              <w:rPr>
                <w:color w:val="000000"/>
                <w:sz w:val="24"/>
              </w:rPr>
              <w:t>4,245,619</w:t>
            </w:r>
          </w:p>
        </w:tc>
        <w:tc>
          <w:tcPr>
            <w:tcW w:w="1915" w:type="dxa"/>
            <w:vAlign w:val="center"/>
          </w:tcPr>
          <w:p w:rsidR="00BB00AF" w:rsidRDefault="0051147F">
            <w:pPr>
              <w:jc w:val="right"/>
            </w:pPr>
            <w:r>
              <w:rPr>
                <w:color w:val="000000"/>
                <w:sz w:val="24"/>
              </w:rPr>
              <w:t>37,913,377.67</w:t>
            </w:r>
          </w:p>
        </w:tc>
        <w:tc>
          <w:tcPr>
            <w:tcW w:w="1680" w:type="dxa"/>
            <w:vAlign w:val="center"/>
          </w:tcPr>
          <w:p w:rsidR="00BB00AF" w:rsidRDefault="0051147F">
            <w:pPr>
              <w:jc w:val="right"/>
            </w:pPr>
            <w:r>
              <w:rPr>
                <w:color w:val="000000"/>
                <w:sz w:val="24"/>
              </w:rPr>
              <w:t>5.82</w:t>
            </w:r>
          </w:p>
        </w:tc>
      </w:tr>
      <w:tr w:rsidR="00BB00AF">
        <w:trPr>
          <w:jc w:val="center"/>
        </w:trPr>
        <w:tc>
          <w:tcPr>
            <w:tcW w:w="850" w:type="dxa"/>
            <w:vAlign w:val="center"/>
          </w:tcPr>
          <w:p w:rsidR="00BB00AF" w:rsidRDefault="0051147F">
            <w:pPr>
              <w:jc w:val="center"/>
            </w:pPr>
            <w:r>
              <w:rPr>
                <w:color w:val="000000"/>
                <w:sz w:val="24"/>
              </w:rPr>
              <w:t>3</w:t>
            </w:r>
          </w:p>
        </w:tc>
        <w:tc>
          <w:tcPr>
            <w:tcW w:w="1327" w:type="dxa"/>
            <w:vAlign w:val="center"/>
          </w:tcPr>
          <w:p w:rsidR="00BB00AF" w:rsidRDefault="0051147F">
            <w:pPr>
              <w:jc w:val="center"/>
            </w:pPr>
            <w:r>
              <w:rPr>
                <w:color w:val="000000"/>
                <w:sz w:val="24"/>
              </w:rPr>
              <w:t>601166</w:t>
            </w:r>
          </w:p>
        </w:tc>
        <w:tc>
          <w:tcPr>
            <w:tcW w:w="1769" w:type="dxa"/>
            <w:vAlign w:val="center"/>
          </w:tcPr>
          <w:p w:rsidR="00BB00AF" w:rsidRDefault="0051147F">
            <w:pPr>
              <w:jc w:val="center"/>
            </w:pPr>
            <w:r>
              <w:rPr>
                <w:color w:val="000000"/>
                <w:sz w:val="24"/>
              </w:rPr>
              <w:t>兴业银行</w:t>
            </w:r>
          </w:p>
        </w:tc>
        <w:tc>
          <w:tcPr>
            <w:tcW w:w="1327" w:type="dxa"/>
            <w:vAlign w:val="center"/>
          </w:tcPr>
          <w:p w:rsidR="00BB00AF" w:rsidRDefault="0051147F">
            <w:pPr>
              <w:jc w:val="right"/>
            </w:pPr>
            <w:r>
              <w:rPr>
                <w:color w:val="000000"/>
                <w:sz w:val="24"/>
              </w:rPr>
              <w:t>2,395,062</w:t>
            </w:r>
          </w:p>
        </w:tc>
        <w:tc>
          <w:tcPr>
            <w:tcW w:w="1915" w:type="dxa"/>
            <w:vAlign w:val="center"/>
          </w:tcPr>
          <w:p w:rsidR="00BB00AF" w:rsidRDefault="0051147F">
            <w:pPr>
              <w:jc w:val="right"/>
            </w:pPr>
            <w:r>
              <w:rPr>
                <w:color w:val="000000"/>
                <w:sz w:val="24"/>
              </w:rPr>
              <w:t>36,500,744.88</w:t>
            </w:r>
          </w:p>
        </w:tc>
        <w:tc>
          <w:tcPr>
            <w:tcW w:w="1680" w:type="dxa"/>
            <w:vAlign w:val="center"/>
          </w:tcPr>
          <w:p w:rsidR="00BB00AF" w:rsidRDefault="0051147F">
            <w:pPr>
              <w:jc w:val="right"/>
            </w:pPr>
            <w:r>
              <w:rPr>
                <w:color w:val="000000"/>
                <w:sz w:val="24"/>
              </w:rPr>
              <w:t>5.60</w:t>
            </w:r>
          </w:p>
        </w:tc>
      </w:tr>
      <w:tr w:rsidR="00BB00AF">
        <w:trPr>
          <w:jc w:val="center"/>
        </w:trPr>
        <w:tc>
          <w:tcPr>
            <w:tcW w:w="850" w:type="dxa"/>
            <w:vAlign w:val="center"/>
          </w:tcPr>
          <w:p w:rsidR="00BB00AF" w:rsidRDefault="0051147F">
            <w:pPr>
              <w:jc w:val="center"/>
            </w:pPr>
            <w:r>
              <w:rPr>
                <w:color w:val="000000"/>
                <w:sz w:val="24"/>
              </w:rPr>
              <w:t>4</w:t>
            </w:r>
          </w:p>
        </w:tc>
        <w:tc>
          <w:tcPr>
            <w:tcW w:w="1327" w:type="dxa"/>
            <w:vAlign w:val="center"/>
          </w:tcPr>
          <w:p w:rsidR="00BB00AF" w:rsidRDefault="0051147F">
            <w:pPr>
              <w:jc w:val="center"/>
            </w:pPr>
            <w:r>
              <w:rPr>
                <w:color w:val="000000"/>
                <w:sz w:val="24"/>
              </w:rPr>
              <w:t>600036</w:t>
            </w:r>
          </w:p>
        </w:tc>
        <w:tc>
          <w:tcPr>
            <w:tcW w:w="1769" w:type="dxa"/>
            <w:vAlign w:val="center"/>
          </w:tcPr>
          <w:p w:rsidR="00BB00AF" w:rsidRDefault="0051147F">
            <w:pPr>
              <w:jc w:val="center"/>
            </w:pPr>
            <w:r>
              <w:rPr>
                <w:color w:val="000000"/>
                <w:sz w:val="24"/>
              </w:rPr>
              <w:t>招商银行</w:t>
            </w:r>
          </w:p>
        </w:tc>
        <w:tc>
          <w:tcPr>
            <w:tcW w:w="1327" w:type="dxa"/>
            <w:vAlign w:val="center"/>
          </w:tcPr>
          <w:p w:rsidR="00BB00AF" w:rsidRDefault="0051147F">
            <w:pPr>
              <w:jc w:val="right"/>
            </w:pPr>
            <w:r>
              <w:rPr>
                <w:color w:val="000000"/>
                <w:sz w:val="24"/>
              </w:rPr>
              <w:t>1,852,282</w:t>
            </w:r>
          </w:p>
        </w:tc>
        <w:tc>
          <w:tcPr>
            <w:tcW w:w="1915" w:type="dxa"/>
            <w:vAlign w:val="center"/>
          </w:tcPr>
          <w:p w:rsidR="00BB00AF" w:rsidRDefault="0051147F">
            <w:pPr>
              <w:jc w:val="right"/>
            </w:pPr>
            <w:r>
              <w:rPr>
                <w:color w:val="000000"/>
                <w:sz w:val="24"/>
              </w:rPr>
              <w:t>32,414,935.00</w:t>
            </w:r>
          </w:p>
        </w:tc>
        <w:tc>
          <w:tcPr>
            <w:tcW w:w="1680" w:type="dxa"/>
            <w:vAlign w:val="center"/>
          </w:tcPr>
          <w:p w:rsidR="00BB00AF" w:rsidRDefault="0051147F">
            <w:pPr>
              <w:jc w:val="right"/>
            </w:pPr>
            <w:r>
              <w:rPr>
                <w:color w:val="000000"/>
                <w:sz w:val="24"/>
              </w:rPr>
              <w:t>4.97</w:t>
            </w:r>
          </w:p>
        </w:tc>
      </w:tr>
      <w:tr w:rsidR="00BB00AF">
        <w:trPr>
          <w:jc w:val="center"/>
        </w:trPr>
        <w:tc>
          <w:tcPr>
            <w:tcW w:w="850" w:type="dxa"/>
            <w:vAlign w:val="center"/>
          </w:tcPr>
          <w:p w:rsidR="00BB00AF" w:rsidRDefault="0051147F">
            <w:pPr>
              <w:jc w:val="center"/>
            </w:pPr>
            <w:r>
              <w:rPr>
                <w:color w:val="000000"/>
                <w:sz w:val="24"/>
              </w:rPr>
              <w:t>5</w:t>
            </w:r>
          </w:p>
        </w:tc>
        <w:tc>
          <w:tcPr>
            <w:tcW w:w="1327" w:type="dxa"/>
            <w:vAlign w:val="center"/>
          </w:tcPr>
          <w:p w:rsidR="00BB00AF" w:rsidRDefault="0051147F">
            <w:pPr>
              <w:jc w:val="center"/>
            </w:pPr>
            <w:r>
              <w:rPr>
                <w:color w:val="000000"/>
                <w:sz w:val="24"/>
              </w:rPr>
              <w:t>600000</w:t>
            </w:r>
          </w:p>
        </w:tc>
        <w:tc>
          <w:tcPr>
            <w:tcW w:w="1769" w:type="dxa"/>
            <w:vAlign w:val="center"/>
          </w:tcPr>
          <w:p w:rsidR="00BB00AF" w:rsidRDefault="0051147F">
            <w:pPr>
              <w:jc w:val="center"/>
            </w:pPr>
            <w:r>
              <w:rPr>
                <w:color w:val="000000"/>
                <w:sz w:val="24"/>
              </w:rPr>
              <w:t>浦发银行</w:t>
            </w:r>
          </w:p>
        </w:tc>
        <w:tc>
          <w:tcPr>
            <w:tcW w:w="1327" w:type="dxa"/>
            <w:vAlign w:val="center"/>
          </w:tcPr>
          <w:p w:rsidR="00BB00AF" w:rsidRDefault="0051147F">
            <w:pPr>
              <w:jc w:val="right"/>
            </w:pPr>
            <w:r>
              <w:rPr>
                <w:color w:val="000000"/>
                <w:sz w:val="24"/>
              </w:rPr>
              <w:t>1,552,904</w:t>
            </w:r>
          </w:p>
        </w:tc>
        <w:tc>
          <w:tcPr>
            <w:tcW w:w="1915" w:type="dxa"/>
            <w:vAlign w:val="center"/>
          </w:tcPr>
          <w:p w:rsidR="00BB00AF" w:rsidRDefault="0051147F">
            <w:pPr>
              <w:jc w:val="right"/>
            </w:pPr>
            <w:r>
              <w:rPr>
                <w:color w:val="000000"/>
                <w:sz w:val="24"/>
              </w:rPr>
              <w:t>24,178,715.28</w:t>
            </w:r>
          </w:p>
        </w:tc>
        <w:tc>
          <w:tcPr>
            <w:tcW w:w="1680" w:type="dxa"/>
            <w:vAlign w:val="center"/>
          </w:tcPr>
          <w:p w:rsidR="00BB00AF" w:rsidRDefault="0051147F">
            <w:pPr>
              <w:jc w:val="right"/>
            </w:pPr>
            <w:r>
              <w:rPr>
                <w:color w:val="000000"/>
                <w:sz w:val="24"/>
              </w:rPr>
              <w:t>3.71</w:t>
            </w:r>
          </w:p>
        </w:tc>
      </w:tr>
      <w:tr w:rsidR="00BB00AF">
        <w:trPr>
          <w:jc w:val="center"/>
        </w:trPr>
        <w:tc>
          <w:tcPr>
            <w:tcW w:w="850" w:type="dxa"/>
            <w:vAlign w:val="center"/>
          </w:tcPr>
          <w:p w:rsidR="00BB00AF" w:rsidRDefault="0051147F">
            <w:pPr>
              <w:jc w:val="center"/>
            </w:pPr>
            <w:r>
              <w:rPr>
                <w:color w:val="000000"/>
                <w:sz w:val="24"/>
              </w:rPr>
              <w:t>6</w:t>
            </w:r>
          </w:p>
        </w:tc>
        <w:tc>
          <w:tcPr>
            <w:tcW w:w="1327" w:type="dxa"/>
            <w:vAlign w:val="center"/>
          </w:tcPr>
          <w:p w:rsidR="00BB00AF" w:rsidRDefault="0051147F">
            <w:pPr>
              <w:jc w:val="center"/>
            </w:pPr>
            <w:r>
              <w:rPr>
                <w:color w:val="000000"/>
                <w:sz w:val="24"/>
              </w:rPr>
              <w:t>601398</w:t>
            </w:r>
          </w:p>
        </w:tc>
        <w:tc>
          <w:tcPr>
            <w:tcW w:w="1769" w:type="dxa"/>
            <w:vAlign w:val="center"/>
          </w:tcPr>
          <w:p w:rsidR="00BB00AF" w:rsidRDefault="0051147F">
            <w:pPr>
              <w:jc w:val="center"/>
            </w:pPr>
            <w:r>
              <w:rPr>
                <w:color w:val="000000"/>
                <w:sz w:val="24"/>
              </w:rPr>
              <w:t>工商银行</w:t>
            </w:r>
          </w:p>
        </w:tc>
        <w:tc>
          <w:tcPr>
            <w:tcW w:w="1327" w:type="dxa"/>
            <w:vAlign w:val="center"/>
          </w:tcPr>
          <w:p w:rsidR="00BB00AF" w:rsidRDefault="0051147F">
            <w:pPr>
              <w:jc w:val="right"/>
            </w:pPr>
            <w:r>
              <w:rPr>
                <w:color w:val="000000"/>
                <w:sz w:val="24"/>
              </w:rPr>
              <w:t>4,357,551</w:t>
            </w:r>
          </w:p>
        </w:tc>
        <w:tc>
          <w:tcPr>
            <w:tcW w:w="1915" w:type="dxa"/>
            <w:vAlign w:val="center"/>
          </w:tcPr>
          <w:p w:rsidR="00BB00AF" w:rsidRDefault="0051147F">
            <w:pPr>
              <w:jc w:val="right"/>
            </w:pPr>
            <w:r>
              <w:rPr>
                <w:color w:val="000000"/>
                <w:sz w:val="24"/>
              </w:rPr>
              <w:t>19,347,526.44</w:t>
            </w:r>
          </w:p>
        </w:tc>
        <w:tc>
          <w:tcPr>
            <w:tcW w:w="1680" w:type="dxa"/>
            <w:vAlign w:val="center"/>
          </w:tcPr>
          <w:p w:rsidR="00BB00AF" w:rsidRDefault="0051147F">
            <w:pPr>
              <w:jc w:val="right"/>
            </w:pPr>
            <w:r>
              <w:rPr>
                <w:color w:val="000000"/>
                <w:sz w:val="24"/>
              </w:rPr>
              <w:t>2.97</w:t>
            </w:r>
          </w:p>
        </w:tc>
      </w:tr>
      <w:tr w:rsidR="00BB00AF">
        <w:trPr>
          <w:jc w:val="center"/>
        </w:trPr>
        <w:tc>
          <w:tcPr>
            <w:tcW w:w="850" w:type="dxa"/>
            <w:vAlign w:val="center"/>
          </w:tcPr>
          <w:p w:rsidR="00BB00AF" w:rsidRDefault="0051147F">
            <w:pPr>
              <w:jc w:val="center"/>
            </w:pPr>
            <w:r>
              <w:rPr>
                <w:color w:val="000000"/>
                <w:sz w:val="24"/>
              </w:rPr>
              <w:t>7</w:t>
            </w:r>
          </w:p>
        </w:tc>
        <w:tc>
          <w:tcPr>
            <w:tcW w:w="1327" w:type="dxa"/>
            <w:vAlign w:val="center"/>
          </w:tcPr>
          <w:p w:rsidR="00BB00AF" w:rsidRDefault="0051147F">
            <w:pPr>
              <w:jc w:val="center"/>
            </w:pPr>
            <w:r>
              <w:rPr>
                <w:color w:val="000000"/>
                <w:sz w:val="24"/>
              </w:rPr>
              <w:t>601601</w:t>
            </w:r>
          </w:p>
        </w:tc>
        <w:tc>
          <w:tcPr>
            <w:tcW w:w="1769" w:type="dxa"/>
            <w:vAlign w:val="center"/>
          </w:tcPr>
          <w:p w:rsidR="00BB00AF" w:rsidRDefault="0051147F">
            <w:pPr>
              <w:jc w:val="center"/>
            </w:pPr>
            <w:r>
              <w:rPr>
                <w:color w:val="000000"/>
                <w:sz w:val="24"/>
              </w:rPr>
              <w:t>中国太保</w:t>
            </w:r>
          </w:p>
        </w:tc>
        <w:tc>
          <w:tcPr>
            <w:tcW w:w="1327" w:type="dxa"/>
            <w:vAlign w:val="center"/>
          </w:tcPr>
          <w:p w:rsidR="00BB00AF" w:rsidRDefault="0051147F">
            <w:pPr>
              <w:jc w:val="right"/>
            </w:pPr>
            <w:r>
              <w:rPr>
                <w:color w:val="000000"/>
                <w:sz w:val="24"/>
              </w:rPr>
              <w:t>564,399</w:t>
            </w:r>
          </w:p>
        </w:tc>
        <w:tc>
          <w:tcPr>
            <w:tcW w:w="1915" w:type="dxa"/>
            <w:vAlign w:val="center"/>
          </w:tcPr>
          <w:p w:rsidR="00BB00AF" w:rsidRDefault="0051147F">
            <w:pPr>
              <w:jc w:val="right"/>
            </w:pPr>
            <w:r>
              <w:rPr>
                <w:color w:val="000000"/>
                <w:sz w:val="24"/>
              </w:rPr>
              <w:t>15,261,348.96</w:t>
            </w:r>
          </w:p>
        </w:tc>
        <w:tc>
          <w:tcPr>
            <w:tcW w:w="1680" w:type="dxa"/>
            <w:vAlign w:val="center"/>
          </w:tcPr>
          <w:p w:rsidR="00BB00AF" w:rsidRDefault="0051147F">
            <w:pPr>
              <w:jc w:val="right"/>
            </w:pPr>
            <w:r>
              <w:rPr>
                <w:color w:val="000000"/>
                <w:sz w:val="24"/>
              </w:rPr>
              <w:t>2.34</w:t>
            </w:r>
          </w:p>
        </w:tc>
      </w:tr>
      <w:tr w:rsidR="00BB00AF">
        <w:trPr>
          <w:jc w:val="center"/>
        </w:trPr>
        <w:tc>
          <w:tcPr>
            <w:tcW w:w="850" w:type="dxa"/>
            <w:vAlign w:val="center"/>
          </w:tcPr>
          <w:p w:rsidR="00BB00AF" w:rsidRDefault="0051147F">
            <w:pPr>
              <w:jc w:val="center"/>
            </w:pPr>
            <w:r>
              <w:rPr>
                <w:color w:val="000000"/>
                <w:sz w:val="24"/>
              </w:rPr>
              <w:t>8</w:t>
            </w:r>
          </w:p>
        </w:tc>
        <w:tc>
          <w:tcPr>
            <w:tcW w:w="1327" w:type="dxa"/>
            <w:vAlign w:val="center"/>
          </w:tcPr>
          <w:p w:rsidR="00BB00AF" w:rsidRDefault="0051147F">
            <w:pPr>
              <w:jc w:val="center"/>
            </w:pPr>
            <w:r>
              <w:rPr>
                <w:color w:val="000000"/>
                <w:sz w:val="24"/>
              </w:rPr>
              <w:t>601766</w:t>
            </w:r>
          </w:p>
        </w:tc>
        <w:tc>
          <w:tcPr>
            <w:tcW w:w="1769" w:type="dxa"/>
            <w:vAlign w:val="center"/>
          </w:tcPr>
          <w:p w:rsidR="00BB00AF" w:rsidRDefault="0051147F">
            <w:pPr>
              <w:jc w:val="center"/>
            </w:pPr>
            <w:r>
              <w:rPr>
                <w:color w:val="000000"/>
                <w:sz w:val="24"/>
              </w:rPr>
              <w:t>中国中车</w:t>
            </w:r>
          </w:p>
        </w:tc>
        <w:tc>
          <w:tcPr>
            <w:tcW w:w="1327" w:type="dxa"/>
            <w:vAlign w:val="center"/>
          </w:tcPr>
          <w:p w:rsidR="00BB00AF" w:rsidRDefault="0051147F">
            <w:pPr>
              <w:jc w:val="right"/>
            </w:pPr>
            <w:r>
              <w:rPr>
                <w:color w:val="000000"/>
                <w:sz w:val="24"/>
              </w:rPr>
              <w:t>1,646,190</w:t>
            </w:r>
          </w:p>
        </w:tc>
        <w:tc>
          <w:tcPr>
            <w:tcW w:w="1915" w:type="dxa"/>
            <w:vAlign w:val="center"/>
          </w:tcPr>
          <w:p w:rsidR="00BB00AF" w:rsidRDefault="0051147F">
            <w:pPr>
              <w:jc w:val="right"/>
            </w:pPr>
            <w:r>
              <w:rPr>
                <w:color w:val="000000"/>
                <w:sz w:val="24"/>
              </w:rPr>
              <w:t>15,095,562.30</w:t>
            </w:r>
          </w:p>
        </w:tc>
        <w:tc>
          <w:tcPr>
            <w:tcW w:w="1680" w:type="dxa"/>
            <w:vAlign w:val="center"/>
          </w:tcPr>
          <w:p w:rsidR="00BB00AF" w:rsidRDefault="0051147F">
            <w:pPr>
              <w:jc w:val="right"/>
            </w:pPr>
            <w:r>
              <w:rPr>
                <w:color w:val="000000"/>
                <w:sz w:val="24"/>
              </w:rPr>
              <w:t>2.32</w:t>
            </w:r>
          </w:p>
        </w:tc>
      </w:tr>
      <w:tr w:rsidR="00BB00AF">
        <w:trPr>
          <w:jc w:val="center"/>
        </w:trPr>
        <w:tc>
          <w:tcPr>
            <w:tcW w:w="850" w:type="dxa"/>
            <w:vAlign w:val="center"/>
          </w:tcPr>
          <w:p w:rsidR="00BB00AF" w:rsidRDefault="0051147F">
            <w:pPr>
              <w:jc w:val="center"/>
            </w:pPr>
            <w:r>
              <w:rPr>
                <w:color w:val="000000"/>
                <w:sz w:val="24"/>
              </w:rPr>
              <w:t>9</w:t>
            </w:r>
          </w:p>
        </w:tc>
        <w:tc>
          <w:tcPr>
            <w:tcW w:w="1327" w:type="dxa"/>
            <w:vAlign w:val="center"/>
          </w:tcPr>
          <w:p w:rsidR="00BB00AF" w:rsidRDefault="0051147F">
            <w:pPr>
              <w:jc w:val="center"/>
            </w:pPr>
            <w:r>
              <w:rPr>
                <w:color w:val="000000"/>
                <w:sz w:val="24"/>
              </w:rPr>
              <w:t>600900</w:t>
            </w:r>
          </w:p>
        </w:tc>
        <w:tc>
          <w:tcPr>
            <w:tcW w:w="1769" w:type="dxa"/>
            <w:vAlign w:val="center"/>
          </w:tcPr>
          <w:p w:rsidR="00BB00AF" w:rsidRDefault="0051147F">
            <w:pPr>
              <w:jc w:val="center"/>
            </w:pPr>
            <w:r>
              <w:rPr>
                <w:color w:val="000000"/>
                <w:sz w:val="24"/>
              </w:rPr>
              <w:t>长江电力</w:t>
            </w:r>
          </w:p>
        </w:tc>
        <w:tc>
          <w:tcPr>
            <w:tcW w:w="1327" w:type="dxa"/>
            <w:vAlign w:val="center"/>
          </w:tcPr>
          <w:p w:rsidR="00BB00AF" w:rsidRDefault="0051147F">
            <w:pPr>
              <w:jc w:val="right"/>
            </w:pPr>
            <w:r>
              <w:rPr>
                <w:color w:val="000000"/>
                <w:sz w:val="24"/>
              </w:rPr>
              <w:t>1,185,240</w:t>
            </w:r>
          </w:p>
        </w:tc>
        <w:tc>
          <w:tcPr>
            <w:tcW w:w="1915" w:type="dxa"/>
            <w:vAlign w:val="center"/>
          </w:tcPr>
          <w:p w:rsidR="00BB00AF" w:rsidRDefault="0051147F">
            <w:pPr>
              <w:jc w:val="right"/>
            </w:pPr>
            <w:r>
              <w:rPr>
                <w:color w:val="000000"/>
                <w:sz w:val="24"/>
              </w:rPr>
              <w:t>14,803,647.60</w:t>
            </w:r>
          </w:p>
        </w:tc>
        <w:tc>
          <w:tcPr>
            <w:tcW w:w="1680" w:type="dxa"/>
            <w:vAlign w:val="center"/>
          </w:tcPr>
          <w:p w:rsidR="00BB00AF" w:rsidRDefault="0051147F">
            <w:pPr>
              <w:jc w:val="right"/>
            </w:pPr>
            <w:r>
              <w:rPr>
                <w:color w:val="000000"/>
                <w:sz w:val="24"/>
              </w:rPr>
              <w:t>2.27</w:t>
            </w:r>
          </w:p>
        </w:tc>
      </w:tr>
      <w:tr w:rsidR="00BB00AF">
        <w:trPr>
          <w:jc w:val="center"/>
        </w:trPr>
        <w:tc>
          <w:tcPr>
            <w:tcW w:w="850" w:type="dxa"/>
            <w:vAlign w:val="center"/>
          </w:tcPr>
          <w:p w:rsidR="00BB00AF" w:rsidRDefault="0051147F">
            <w:pPr>
              <w:jc w:val="center"/>
            </w:pPr>
            <w:r>
              <w:rPr>
                <w:color w:val="000000"/>
                <w:sz w:val="24"/>
              </w:rPr>
              <w:t>10</w:t>
            </w:r>
          </w:p>
        </w:tc>
        <w:tc>
          <w:tcPr>
            <w:tcW w:w="1327" w:type="dxa"/>
            <w:vAlign w:val="center"/>
          </w:tcPr>
          <w:p w:rsidR="00BB00AF" w:rsidRDefault="0051147F">
            <w:pPr>
              <w:jc w:val="center"/>
            </w:pPr>
            <w:r>
              <w:rPr>
                <w:color w:val="000000"/>
                <w:sz w:val="24"/>
              </w:rPr>
              <w:t>601668</w:t>
            </w:r>
          </w:p>
        </w:tc>
        <w:tc>
          <w:tcPr>
            <w:tcW w:w="1769" w:type="dxa"/>
            <w:vAlign w:val="center"/>
          </w:tcPr>
          <w:p w:rsidR="00BB00AF" w:rsidRDefault="0051147F">
            <w:pPr>
              <w:jc w:val="center"/>
            </w:pPr>
            <w:r>
              <w:rPr>
                <w:color w:val="000000"/>
                <w:sz w:val="24"/>
              </w:rPr>
              <w:t>中国建筑</w:t>
            </w:r>
          </w:p>
        </w:tc>
        <w:tc>
          <w:tcPr>
            <w:tcW w:w="1327" w:type="dxa"/>
            <w:vAlign w:val="center"/>
          </w:tcPr>
          <w:p w:rsidR="00BB00AF" w:rsidRDefault="0051147F">
            <w:pPr>
              <w:jc w:val="right"/>
            </w:pPr>
            <w:r>
              <w:rPr>
                <w:color w:val="000000"/>
                <w:sz w:val="24"/>
              </w:rPr>
              <w:t>2,693,746</w:t>
            </w:r>
          </w:p>
        </w:tc>
        <w:tc>
          <w:tcPr>
            <w:tcW w:w="1915" w:type="dxa"/>
            <w:vAlign w:val="center"/>
          </w:tcPr>
          <w:p w:rsidR="00BB00AF" w:rsidRDefault="0051147F">
            <w:pPr>
              <w:jc w:val="right"/>
            </w:pPr>
            <w:r>
              <w:rPr>
                <w:color w:val="000000"/>
                <w:sz w:val="24"/>
              </w:rPr>
              <w:t>14,330,728.72</w:t>
            </w:r>
          </w:p>
        </w:tc>
        <w:tc>
          <w:tcPr>
            <w:tcW w:w="1680" w:type="dxa"/>
            <w:vAlign w:val="center"/>
          </w:tcPr>
          <w:p w:rsidR="00BB00AF" w:rsidRDefault="0051147F">
            <w:pPr>
              <w:jc w:val="right"/>
            </w:pPr>
            <w:r>
              <w:rPr>
                <w:color w:val="000000"/>
                <w:sz w:val="24"/>
              </w:rPr>
              <w:t>2.20</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Default="000625A6" w:rsidP="0099526C">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CB7F84" w:rsidRPr="00CB7F84" w:rsidRDefault="00CB7F84" w:rsidP="00CB7F84">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CB7F84" w:rsidRPr="0036023B" w:rsidRDefault="00CB7F84" w:rsidP="0099526C">
      <w:pPr>
        <w:spacing w:before="29" w:line="288" w:lineRule="auto"/>
        <w:rPr>
          <w:b/>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lastRenderedPageBreak/>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51147F"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51147F" w:rsidRPr="008119CB" w:rsidRDefault="0051147F" w:rsidP="00806B3B">
      <w:pPr>
        <w:autoSpaceDE w:val="0"/>
        <w:autoSpaceDN w:val="0"/>
        <w:adjustRightInd w:val="0"/>
        <w:spacing w:before="29" w:line="288" w:lineRule="auto"/>
        <w:jc w:val="left"/>
        <w:rPr>
          <w:color w:val="000000"/>
          <w:kern w:val="0"/>
          <w:sz w:val="24"/>
        </w:rPr>
      </w:pPr>
    </w:p>
    <w:p w:rsid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51147F" w:rsidRPr="008119CB" w:rsidRDefault="0051147F" w:rsidP="00806B3B">
      <w:pPr>
        <w:autoSpaceDE w:val="0"/>
        <w:autoSpaceDN w:val="0"/>
        <w:adjustRightInd w:val="0"/>
        <w:spacing w:before="29" w:line="288" w:lineRule="auto"/>
        <w:jc w:val="left"/>
        <w:rPr>
          <w:color w:val="000000"/>
          <w:kern w:val="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4,777.78</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1,382.01</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lastRenderedPageBreak/>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6,159.79</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bookmarkStart w:id="0" w:name="_GoBack"/>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665,524,362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96,000,000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16,000,000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745,524,362</w:t>
            </w:r>
          </w:p>
        </w:tc>
      </w:tr>
      <w:bookmarkEnd w:id="0"/>
    </w:tbl>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F36DF3">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981CE6" w:rsidRPr="00405A85"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8</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BB00AF" w:rsidRDefault="0051147F">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BB00AF" w:rsidRDefault="0051147F">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BB00AF" w:rsidRDefault="0051147F">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BB00AF" w:rsidRDefault="0051147F">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BB00AF" w:rsidRDefault="0051147F">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BB00AF" w:rsidRDefault="0051147F">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BB00AF" w:rsidRDefault="0051147F">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、报告期内上证</w:t>
      </w:r>
      <w:r w:rsidRPr="0036023B">
        <w:rPr>
          <w:color w:val="000000"/>
          <w:sz w:val="24"/>
        </w:rPr>
        <w:t>180</w:t>
      </w:r>
      <w:r w:rsidRPr="0036023B">
        <w:rPr>
          <w:color w:val="000000"/>
          <w:sz w:val="24"/>
        </w:rPr>
        <w:t>公司治理交易型开放式指数证券投资基金在指定报刊上各项公告的原稿。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BB00AF" w:rsidRDefault="0051147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058" w:rsidRDefault="00144058">
      <w:r>
        <w:separator/>
      </w:r>
    </w:p>
  </w:endnote>
  <w:endnote w:type="continuationSeparator" w:id="0">
    <w:p w:rsidR="00144058" w:rsidRDefault="0014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6B7EE6">
      <w:rPr>
        <w:rFonts w:hint="eastAsia"/>
        <w:kern w:val="0"/>
        <w:szCs w:val="21"/>
      </w:rPr>
      <w:t xml:space="preserve"> </w:t>
    </w:r>
    <w:r w:rsidR="00F350A9">
      <w:rPr>
        <w:kern w:val="0"/>
        <w:szCs w:val="21"/>
      </w:rPr>
      <w:fldChar w:fldCharType="begin"/>
    </w:r>
    <w:r>
      <w:rPr>
        <w:kern w:val="0"/>
        <w:szCs w:val="21"/>
      </w:rPr>
      <w:instrText xml:space="preserve"> PAGE </w:instrText>
    </w:r>
    <w:r w:rsidR="00F350A9">
      <w:rPr>
        <w:kern w:val="0"/>
        <w:szCs w:val="21"/>
      </w:rPr>
      <w:fldChar w:fldCharType="separate"/>
    </w:r>
    <w:r w:rsidR="008E7C14">
      <w:rPr>
        <w:noProof/>
        <w:kern w:val="0"/>
        <w:szCs w:val="21"/>
      </w:rPr>
      <w:t>12</w:t>
    </w:r>
    <w:r w:rsidR="00F350A9">
      <w:rPr>
        <w:kern w:val="0"/>
        <w:szCs w:val="21"/>
      </w:rPr>
      <w:fldChar w:fldCharType="end"/>
    </w:r>
    <w:r w:rsidR="006B7EE6">
      <w:rPr>
        <w:rFonts w:hint="eastAsia"/>
        <w:kern w:val="0"/>
        <w:szCs w:val="21"/>
      </w:rPr>
      <w:t xml:space="preserve"> </w:t>
    </w:r>
    <w:r>
      <w:rPr>
        <w:rFonts w:hint="eastAsia"/>
        <w:kern w:val="0"/>
        <w:szCs w:val="21"/>
      </w:rPr>
      <w:t>页</w:t>
    </w:r>
    <w:r w:rsidR="006B7EE6">
      <w:rPr>
        <w:rFonts w:hint="eastAsia"/>
        <w:kern w:val="0"/>
        <w:szCs w:val="21"/>
      </w:rPr>
      <w:t xml:space="preserve"> </w:t>
    </w:r>
    <w:r>
      <w:rPr>
        <w:rFonts w:hint="eastAsia"/>
        <w:kern w:val="0"/>
        <w:szCs w:val="21"/>
      </w:rPr>
      <w:t>共</w:t>
    </w:r>
    <w:r w:rsidR="006B7EE6">
      <w:rPr>
        <w:rFonts w:hint="eastAsia"/>
        <w:kern w:val="0"/>
        <w:szCs w:val="21"/>
      </w:rPr>
      <w:t xml:space="preserve"> </w:t>
    </w:r>
    <w:r w:rsidR="00F350A9">
      <w:rPr>
        <w:kern w:val="0"/>
        <w:szCs w:val="21"/>
      </w:rPr>
      <w:fldChar w:fldCharType="begin"/>
    </w:r>
    <w:r>
      <w:rPr>
        <w:kern w:val="0"/>
        <w:szCs w:val="21"/>
      </w:rPr>
      <w:instrText xml:space="preserve"> NUMPAGES </w:instrText>
    </w:r>
    <w:r w:rsidR="00F350A9">
      <w:rPr>
        <w:kern w:val="0"/>
        <w:szCs w:val="21"/>
      </w:rPr>
      <w:fldChar w:fldCharType="separate"/>
    </w:r>
    <w:r w:rsidR="008E7C14">
      <w:rPr>
        <w:noProof/>
        <w:kern w:val="0"/>
        <w:szCs w:val="21"/>
      </w:rPr>
      <w:t>12</w:t>
    </w:r>
    <w:r w:rsidR="00F350A9">
      <w:rPr>
        <w:kern w:val="0"/>
        <w:szCs w:val="21"/>
      </w:rPr>
      <w:fldChar w:fldCharType="end"/>
    </w:r>
    <w:r w:rsidR="006B7EE6">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350A9">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058" w:rsidRDefault="00144058">
      <w:r>
        <w:separator/>
      </w:r>
    </w:p>
  </w:footnote>
  <w:footnote w:type="continuationSeparator" w:id="0">
    <w:p w:rsidR="00144058" w:rsidRDefault="00144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058"/>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47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E7C14"/>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0AF"/>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B7F84"/>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E2252E19-5C50-486F-A6E2-11C6D355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12</Pages>
  <Words>995</Words>
  <Characters>5677</Characters>
  <Application>Microsoft Office Word</Application>
  <DocSecurity>0</DocSecurity>
  <Lines>47</Lines>
  <Paragraphs>13</Paragraphs>
  <ScaleCrop>false</ScaleCrop>
  <Company>TRT. Ltd. Co.</Company>
  <LinksUpToDate>false</LinksUpToDate>
  <CharactersWithSpaces>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383</cp:revision>
  <cp:lastPrinted>2007-07-19T00:46:00Z</cp:lastPrinted>
  <dcterms:created xsi:type="dcterms:W3CDTF">2012-11-21T04:46:00Z</dcterms:created>
  <dcterms:modified xsi:type="dcterms:W3CDTF">2016-07-16T04:32:00Z</dcterms:modified>
</cp:coreProperties>
</file>