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65C55" w:rsidRDefault="002B742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131,175,230.20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B742C" w:rsidRPr="00414345" w:rsidTr="002B742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B742C" w:rsidRPr="00414345" w:rsidTr="002B7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16,994,019.60</w:t>
            </w:r>
          </w:p>
        </w:tc>
      </w:tr>
      <w:tr w:rsidR="002B742C" w:rsidRPr="00414345" w:rsidTr="002B7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19,499,199.15</w:t>
            </w:r>
          </w:p>
        </w:tc>
      </w:tr>
      <w:tr w:rsidR="002B742C" w:rsidRPr="00414345" w:rsidTr="002B7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0.1516</w:t>
            </w:r>
          </w:p>
        </w:tc>
      </w:tr>
      <w:tr w:rsidR="002B742C" w:rsidRPr="00414345" w:rsidTr="002B742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318,446,422.46</w:t>
            </w:r>
          </w:p>
        </w:tc>
      </w:tr>
      <w:tr w:rsidR="002B742C" w:rsidRPr="00414345" w:rsidTr="002B742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2.428</w:t>
            </w:r>
          </w:p>
        </w:tc>
      </w:tr>
    </w:tbl>
    <w:p w:rsidR="00965C55" w:rsidRDefault="002B74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65C55">
        <w:trPr>
          <w:jc w:val="center"/>
        </w:trPr>
        <w:tc>
          <w:tcPr>
            <w:tcW w:w="1701" w:type="dxa"/>
            <w:vAlign w:val="center"/>
          </w:tcPr>
          <w:p w:rsidR="00965C55" w:rsidRDefault="002B742C">
            <w:pPr>
              <w:jc w:val="left"/>
            </w:pPr>
            <w:r>
              <w:rPr>
                <w:color w:val="000000"/>
                <w:sz w:val="24"/>
                <w:szCs w:val="24"/>
              </w:rPr>
              <w:t>过去三个月</w:t>
            </w:r>
          </w:p>
        </w:tc>
        <w:tc>
          <w:tcPr>
            <w:tcW w:w="1045" w:type="dxa"/>
            <w:vAlign w:val="center"/>
          </w:tcPr>
          <w:p w:rsidR="00965C55" w:rsidRDefault="002B742C">
            <w:pPr>
              <w:jc w:val="center"/>
            </w:pPr>
            <w:r>
              <w:rPr>
                <w:color w:val="000000"/>
                <w:sz w:val="24"/>
                <w:szCs w:val="24"/>
              </w:rPr>
              <w:t>6.54%</w:t>
            </w:r>
          </w:p>
        </w:tc>
        <w:tc>
          <w:tcPr>
            <w:tcW w:w="1344" w:type="dxa"/>
            <w:vAlign w:val="center"/>
          </w:tcPr>
          <w:p w:rsidR="00965C55" w:rsidRDefault="002B742C">
            <w:pPr>
              <w:jc w:val="center"/>
            </w:pPr>
            <w:r>
              <w:rPr>
                <w:color w:val="000000"/>
                <w:sz w:val="24"/>
                <w:szCs w:val="24"/>
              </w:rPr>
              <w:t>1.28%</w:t>
            </w:r>
          </w:p>
        </w:tc>
        <w:tc>
          <w:tcPr>
            <w:tcW w:w="1194" w:type="dxa"/>
            <w:vAlign w:val="center"/>
          </w:tcPr>
          <w:p w:rsidR="00965C55" w:rsidRDefault="002B742C">
            <w:pPr>
              <w:jc w:val="center"/>
            </w:pPr>
            <w:r>
              <w:rPr>
                <w:color w:val="000000"/>
                <w:sz w:val="24"/>
                <w:szCs w:val="24"/>
              </w:rPr>
              <w:t>-0.97%</w:t>
            </w:r>
          </w:p>
        </w:tc>
        <w:tc>
          <w:tcPr>
            <w:tcW w:w="1492" w:type="dxa"/>
            <w:vAlign w:val="center"/>
          </w:tcPr>
          <w:p w:rsidR="00965C55" w:rsidRDefault="002B742C">
            <w:pPr>
              <w:jc w:val="center"/>
            </w:pPr>
            <w:r>
              <w:rPr>
                <w:color w:val="000000"/>
                <w:sz w:val="24"/>
                <w:szCs w:val="24"/>
              </w:rPr>
              <w:t>0.61%</w:t>
            </w:r>
          </w:p>
        </w:tc>
        <w:tc>
          <w:tcPr>
            <w:tcW w:w="1194" w:type="dxa"/>
            <w:vAlign w:val="center"/>
          </w:tcPr>
          <w:p w:rsidR="00965C55" w:rsidRDefault="002B742C">
            <w:pPr>
              <w:jc w:val="center"/>
            </w:pPr>
            <w:r>
              <w:rPr>
                <w:color w:val="000000"/>
                <w:sz w:val="24"/>
                <w:szCs w:val="24"/>
              </w:rPr>
              <w:t>7.51%</w:t>
            </w:r>
          </w:p>
        </w:tc>
        <w:tc>
          <w:tcPr>
            <w:tcW w:w="898" w:type="dxa"/>
            <w:vAlign w:val="center"/>
          </w:tcPr>
          <w:p w:rsidR="00965C55" w:rsidRDefault="002B742C">
            <w:pPr>
              <w:jc w:val="center"/>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w:t>
      </w:r>
      <w:bookmarkStart w:id="0" w:name="_GoBack"/>
      <w:bookmarkEnd w:id="0"/>
      <w:r w:rsidR="006C4133">
        <w:rPr>
          <w:rFonts w:hint="eastAsia"/>
          <w:b/>
          <w:bCs/>
          <w:color w:val="000000"/>
          <w:kern w:val="0"/>
          <w:sz w:val="24"/>
          <w:szCs w:val="24"/>
        </w:rPr>
        <w:t>转型</w:t>
      </w:r>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2B742C" w:rsidRPr="00414345">
        <w:rPr>
          <w:rFonts w:ascii="Times New Roman" w:hAnsi="Times New Roman" w:cs="Times New Roman"/>
          <w:sz w:val="24"/>
          <w:szCs w:val="24"/>
        </w:rPr>
        <w:t>20</w:t>
      </w:r>
      <w:r w:rsidR="002B742C">
        <w:rPr>
          <w:rFonts w:ascii="Times New Roman" w:hAnsi="Times New Roman" w:cs="Times New Roman"/>
          <w:sz w:val="24"/>
          <w:szCs w:val="24"/>
        </w:rPr>
        <w:t>12</w:t>
      </w:r>
      <w:r w:rsidR="002B742C" w:rsidRPr="00414345">
        <w:rPr>
          <w:rFonts w:ascii="Times New Roman" w:hAnsi="Times New Roman" w:cs="Times New Roman"/>
          <w:sz w:val="24"/>
          <w:szCs w:val="24"/>
        </w:rPr>
        <w:t>年</w:t>
      </w:r>
      <w:r w:rsidR="002B742C">
        <w:rPr>
          <w:rFonts w:ascii="Times New Roman" w:hAnsi="Times New Roman" w:cs="Times New Roman"/>
          <w:sz w:val="24"/>
          <w:szCs w:val="24"/>
        </w:rPr>
        <w:t>2</w:t>
      </w:r>
      <w:r w:rsidR="002B742C" w:rsidRPr="00414345">
        <w:rPr>
          <w:rFonts w:ascii="Times New Roman" w:hAnsi="Times New Roman" w:cs="Times New Roman"/>
          <w:sz w:val="24"/>
          <w:szCs w:val="24"/>
        </w:rPr>
        <w:t>月</w:t>
      </w:r>
      <w:r w:rsidR="002B742C">
        <w:rPr>
          <w:rFonts w:ascii="Times New Roman" w:hAnsi="Times New Roman" w:cs="Times New Roman"/>
          <w:sz w:val="24"/>
          <w:szCs w:val="24"/>
        </w:rPr>
        <w:t>3</w:t>
      </w:r>
      <w:r w:rsidR="002B742C"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65C55">
        <w:trPr>
          <w:jc w:val="center"/>
        </w:trPr>
        <w:tc>
          <w:tcPr>
            <w:tcW w:w="846" w:type="dxa"/>
            <w:vAlign w:val="center"/>
          </w:tcPr>
          <w:p w:rsidR="00965C55" w:rsidRDefault="002B742C">
            <w:pPr>
              <w:jc w:val="center"/>
            </w:pPr>
            <w:r>
              <w:rPr>
                <w:color w:val="000000"/>
                <w:sz w:val="24"/>
                <w:szCs w:val="24"/>
              </w:rPr>
              <w:t>何帅</w:t>
            </w:r>
          </w:p>
        </w:tc>
        <w:tc>
          <w:tcPr>
            <w:tcW w:w="845" w:type="dxa"/>
            <w:vAlign w:val="center"/>
          </w:tcPr>
          <w:p w:rsidR="00965C55" w:rsidRDefault="002B742C">
            <w:pPr>
              <w:jc w:val="center"/>
            </w:pPr>
            <w:r>
              <w:rPr>
                <w:color w:val="000000"/>
                <w:sz w:val="24"/>
                <w:szCs w:val="24"/>
              </w:rPr>
              <w:t>交银优势行业混合、交银阿尔法核心混合的基金经理</w:t>
            </w:r>
          </w:p>
        </w:tc>
        <w:tc>
          <w:tcPr>
            <w:tcW w:w="1549" w:type="dxa"/>
            <w:vAlign w:val="center"/>
          </w:tcPr>
          <w:p w:rsidR="00965C55" w:rsidRDefault="002B742C">
            <w:pPr>
              <w:jc w:val="center"/>
            </w:pPr>
            <w:r>
              <w:rPr>
                <w:color w:val="000000"/>
                <w:sz w:val="24"/>
                <w:szCs w:val="24"/>
              </w:rPr>
              <w:t>2015-07-09</w:t>
            </w:r>
          </w:p>
        </w:tc>
        <w:tc>
          <w:tcPr>
            <w:tcW w:w="1548" w:type="dxa"/>
            <w:vAlign w:val="center"/>
          </w:tcPr>
          <w:p w:rsidR="00965C55" w:rsidRDefault="002B742C">
            <w:pPr>
              <w:jc w:val="center"/>
            </w:pPr>
            <w:r>
              <w:rPr>
                <w:color w:val="000000"/>
                <w:sz w:val="24"/>
                <w:szCs w:val="24"/>
              </w:rPr>
              <w:t>-</w:t>
            </w:r>
          </w:p>
        </w:tc>
        <w:tc>
          <w:tcPr>
            <w:tcW w:w="1407" w:type="dxa"/>
            <w:vAlign w:val="center"/>
          </w:tcPr>
          <w:p w:rsidR="00965C55" w:rsidRDefault="002B742C">
            <w:pPr>
              <w:jc w:val="center"/>
            </w:pPr>
            <w:r>
              <w:rPr>
                <w:color w:val="000000"/>
                <w:sz w:val="24"/>
                <w:szCs w:val="24"/>
              </w:rPr>
              <w:t>6</w:t>
            </w:r>
            <w:r>
              <w:rPr>
                <w:color w:val="000000"/>
                <w:sz w:val="24"/>
                <w:szCs w:val="24"/>
              </w:rPr>
              <w:t>年</w:t>
            </w:r>
          </w:p>
        </w:tc>
        <w:tc>
          <w:tcPr>
            <w:tcW w:w="2673" w:type="dxa"/>
            <w:vAlign w:val="center"/>
          </w:tcPr>
          <w:p w:rsidR="00965C55" w:rsidRDefault="002B742C">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965C55" w:rsidRDefault="002B742C">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65C55" w:rsidRDefault="002B742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65C55" w:rsidRDefault="002B742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65C55" w:rsidRDefault="002B742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65C55" w:rsidRDefault="002B742C">
      <w:pPr>
        <w:spacing w:before="29" w:line="288" w:lineRule="auto"/>
        <w:ind w:firstLineChars="200" w:firstLine="480"/>
        <w:rPr>
          <w:color w:val="000000"/>
          <w:sz w:val="24"/>
          <w:szCs w:val="24"/>
        </w:rPr>
      </w:pPr>
      <w:r>
        <w:rPr>
          <w:color w:val="000000"/>
          <w:sz w:val="24"/>
          <w:szCs w:val="24"/>
        </w:rPr>
        <w:t>2016</w:t>
      </w:r>
      <w:r>
        <w:rPr>
          <w:color w:val="000000"/>
          <w:sz w:val="24"/>
          <w:szCs w:val="24"/>
        </w:rPr>
        <w:t>年二季度，经济环境波动加大，美国非农数据意外低于预期及英国</w:t>
      </w:r>
      <w:r>
        <w:rPr>
          <w:color w:val="000000"/>
          <w:sz w:val="24"/>
          <w:szCs w:val="24"/>
        </w:rPr>
        <w:t>“</w:t>
      </w:r>
      <w:r>
        <w:rPr>
          <w:color w:val="000000"/>
          <w:sz w:val="24"/>
          <w:szCs w:val="24"/>
        </w:rPr>
        <w:t>脱欧</w:t>
      </w:r>
      <w:r>
        <w:rPr>
          <w:color w:val="000000"/>
          <w:sz w:val="24"/>
          <w:szCs w:val="24"/>
        </w:rPr>
        <w:t>”</w:t>
      </w:r>
      <w:r>
        <w:rPr>
          <w:color w:val="000000"/>
          <w:sz w:val="24"/>
          <w:szCs w:val="24"/>
        </w:rPr>
        <w:t>事件，使得经济不确定性增强。市场方面整体处于振荡格局，各类热点主题活跃，比如新能源汽车产业链、物联网、电子元器件产业链等，但整体无系统性机会。</w:t>
      </w:r>
      <w:r>
        <w:rPr>
          <w:color w:val="000000"/>
          <w:sz w:val="24"/>
          <w:szCs w:val="24"/>
        </w:rPr>
        <w:t>2016</w:t>
      </w:r>
      <w:r>
        <w:rPr>
          <w:color w:val="000000"/>
          <w:sz w:val="24"/>
          <w:szCs w:val="24"/>
        </w:rPr>
        <w:t>年二季度上证指数下跌</w:t>
      </w:r>
      <w:r>
        <w:rPr>
          <w:color w:val="000000"/>
          <w:sz w:val="24"/>
          <w:szCs w:val="24"/>
        </w:rPr>
        <w:t>2.47%</w:t>
      </w:r>
      <w:r>
        <w:rPr>
          <w:color w:val="000000"/>
          <w:sz w:val="24"/>
          <w:szCs w:val="24"/>
        </w:rPr>
        <w:t>，而创业板指下跌</w:t>
      </w:r>
      <w:r>
        <w:rPr>
          <w:color w:val="000000"/>
          <w:sz w:val="24"/>
          <w:szCs w:val="24"/>
        </w:rPr>
        <w:t>0.47%</w:t>
      </w:r>
      <w:r>
        <w:rPr>
          <w:color w:val="000000"/>
          <w:sz w:val="24"/>
          <w:szCs w:val="24"/>
        </w:rPr>
        <w:t>。</w:t>
      </w:r>
    </w:p>
    <w:p w:rsidR="00965C55" w:rsidRDefault="002B742C">
      <w:pPr>
        <w:spacing w:before="29" w:line="288" w:lineRule="auto"/>
        <w:ind w:firstLineChars="200" w:firstLine="480"/>
        <w:rPr>
          <w:color w:val="000000"/>
          <w:sz w:val="24"/>
          <w:szCs w:val="24"/>
        </w:rPr>
      </w:pPr>
      <w:r>
        <w:rPr>
          <w:color w:val="000000"/>
          <w:sz w:val="24"/>
          <w:szCs w:val="24"/>
        </w:rPr>
        <w:t>本基金在</w:t>
      </w:r>
      <w:r>
        <w:rPr>
          <w:color w:val="000000"/>
          <w:sz w:val="24"/>
          <w:szCs w:val="24"/>
        </w:rPr>
        <w:t>2016</w:t>
      </w:r>
      <w:r>
        <w:rPr>
          <w:color w:val="000000"/>
          <w:sz w:val="24"/>
          <w:szCs w:val="24"/>
        </w:rPr>
        <w:t>年二季度超配了电子元器件行业，在二季度明显跑赢了业绩比较基准。</w:t>
      </w:r>
    </w:p>
    <w:p w:rsidR="00965C55" w:rsidRDefault="002B742C">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年三季度，市场存在较大的不确定性。由于经济潜在增长率下降，经济增速下行的压力并未改变。</w:t>
      </w:r>
      <w:r>
        <w:rPr>
          <w:color w:val="000000"/>
          <w:sz w:val="24"/>
          <w:szCs w:val="24"/>
        </w:rPr>
        <w:t>“</w:t>
      </w:r>
      <w:r>
        <w:rPr>
          <w:color w:val="000000"/>
          <w:sz w:val="24"/>
          <w:szCs w:val="24"/>
        </w:rPr>
        <w:t>脱欧</w:t>
      </w:r>
      <w:r>
        <w:rPr>
          <w:color w:val="000000"/>
          <w:sz w:val="24"/>
          <w:szCs w:val="24"/>
        </w:rPr>
        <w:t>”</w:t>
      </w:r>
      <w:r>
        <w:rPr>
          <w:color w:val="000000"/>
          <w:sz w:val="24"/>
          <w:szCs w:val="24"/>
        </w:rPr>
        <w:t>等衍生风险并未清晰，外围环境不稳定。而国内货币大幅宽松的可能性不大。在资本市场层面，监管层对于资本市场并购重组等监管力度加强，同时对于各类</w:t>
      </w:r>
      <w:r>
        <w:rPr>
          <w:color w:val="000000"/>
          <w:sz w:val="24"/>
          <w:szCs w:val="24"/>
        </w:rPr>
        <w:t>“</w:t>
      </w:r>
      <w:r>
        <w:rPr>
          <w:color w:val="000000"/>
          <w:sz w:val="24"/>
          <w:szCs w:val="24"/>
        </w:rPr>
        <w:t>杠杆</w:t>
      </w:r>
      <w:r>
        <w:rPr>
          <w:color w:val="000000"/>
          <w:sz w:val="24"/>
          <w:szCs w:val="24"/>
        </w:rPr>
        <w:t>”</w:t>
      </w:r>
      <w:r>
        <w:rPr>
          <w:color w:val="000000"/>
          <w:sz w:val="24"/>
          <w:szCs w:val="24"/>
        </w:rPr>
        <w:t>非常谨慎，加之</w:t>
      </w:r>
      <w:r>
        <w:rPr>
          <w:color w:val="000000"/>
          <w:sz w:val="24"/>
          <w:szCs w:val="24"/>
        </w:rPr>
        <w:t>6</w:t>
      </w:r>
      <w:r>
        <w:rPr>
          <w:color w:val="000000"/>
          <w:sz w:val="24"/>
          <w:szCs w:val="24"/>
        </w:rPr>
        <w:t>月份后大小非开始集中减持，我们预计资本市场较难存在系统性机会。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2016</w:t>
      </w:r>
      <w:r w:rsidRPr="00414345">
        <w:rPr>
          <w:color w:val="000000"/>
          <w:sz w:val="24"/>
          <w:szCs w:val="24"/>
        </w:rPr>
        <w:t>年三季度，仍将聚焦优选新兴成长行业，特别是</w:t>
      </w:r>
      <w:r w:rsidRPr="00414345">
        <w:rPr>
          <w:color w:val="000000"/>
          <w:sz w:val="24"/>
          <w:szCs w:val="24"/>
        </w:rPr>
        <w:t>2016</w:t>
      </w:r>
      <w:r w:rsidRPr="00414345">
        <w:rPr>
          <w:color w:val="000000"/>
          <w:sz w:val="24"/>
          <w:szCs w:val="24"/>
        </w:rPr>
        <w:t>年上半年市场关注度不高的可持续成长行业，比如传媒、旅游等。发掘未来</w:t>
      </w:r>
      <w:r w:rsidRPr="00414345">
        <w:rPr>
          <w:color w:val="000000"/>
          <w:sz w:val="24"/>
          <w:szCs w:val="24"/>
        </w:rPr>
        <w:t>2-3</w:t>
      </w:r>
      <w:r w:rsidRPr="00414345">
        <w:rPr>
          <w:color w:val="000000"/>
          <w:sz w:val="24"/>
          <w:szCs w:val="24"/>
        </w:rPr>
        <w:t>年有实质性成长空间和潜力的细分行业，并集中配置，争取为投资人获得较好的投资回报。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2.428</w:t>
      </w:r>
      <w:r w:rsidRPr="00414345">
        <w:rPr>
          <w:color w:val="000000"/>
          <w:sz w:val="24"/>
          <w:szCs w:val="24"/>
        </w:rPr>
        <w:t>元，本报告期份额净值增长率为</w:t>
      </w:r>
      <w:r w:rsidRPr="00414345">
        <w:rPr>
          <w:color w:val="000000"/>
          <w:sz w:val="24"/>
          <w:szCs w:val="24"/>
        </w:rPr>
        <w:t>6.54%</w:t>
      </w:r>
      <w:r w:rsidRPr="00414345">
        <w:rPr>
          <w:color w:val="000000"/>
          <w:sz w:val="24"/>
          <w:szCs w:val="24"/>
        </w:rPr>
        <w:t>，同期业绩比较基准增长率为</w:t>
      </w:r>
      <w:r w:rsidRPr="00414345">
        <w:rPr>
          <w:color w:val="000000"/>
          <w:sz w:val="24"/>
          <w:szCs w:val="24"/>
        </w:rPr>
        <w:t>-0.97%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204,989,617.00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204,989,617.00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112,117,553.47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34.57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7,195,843.27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324,303,013.74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4,206,056.40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89,065,045.82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15,760,912.30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12,209,960.96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4,372,116.00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28,965,355.79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24,091,649.48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26,318,520.25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204,989,617.00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64.37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65C55">
        <w:trPr>
          <w:jc w:val="center"/>
        </w:trPr>
        <w:tc>
          <w:tcPr>
            <w:tcW w:w="855" w:type="dxa"/>
            <w:vAlign w:val="center"/>
          </w:tcPr>
          <w:p w:rsidR="00965C55" w:rsidRDefault="002B742C">
            <w:pPr>
              <w:jc w:val="center"/>
            </w:pPr>
            <w:r>
              <w:rPr>
                <w:color w:val="000000"/>
                <w:sz w:val="24"/>
                <w:szCs w:val="24"/>
              </w:rPr>
              <w:t>1</w:t>
            </w:r>
          </w:p>
        </w:tc>
        <w:tc>
          <w:tcPr>
            <w:tcW w:w="1334" w:type="dxa"/>
            <w:vAlign w:val="center"/>
          </w:tcPr>
          <w:p w:rsidR="00965C55" w:rsidRDefault="002B742C">
            <w:pPr>
              <w:jc w:val="center"/>
            </w:pPr>
            <w:r>
              <w:rPr>
                <w:color w:val="000000"/>
                <w:sz w:val="24"/>
                <w:szCs w:val="24"/>
              </w:rPr>
              <w:t>600054</w:t>
            </w:r>
          </w:p>
        </w:tc>
        <w:tc>
          <w:tcPr>
            <w:tcW w:w="1777" w:type="dxa"/>
            <w:vAlign w:val="center"/>
          </w:tcPr>
          <w:p w:rsidR="00965C55" w:rsidRDefault="002B742C">
            <w:pPr>
              <w:jc w:val="center"/>
            </w:pPr>
            <w:r>
              <w:rPr>
                <w:color w:val="000000"/>
                <w:sz w:val="24"/>
                <w:szCs w:val="24"/>
              </w:rPr>
              <w:t>黄山旅游</w:t>
            </w:r>
          </w:p>
        </w:tc>
        <w:tc>
          <w:tcPr>
            <w:tcW w:w="1334" w:type="dxa"/>
            <w:vAlign w:val="center"/>
          </w:tcPr>
          <w:p w:rsidR="00965C55" w:rsidRDefault="002B742C">
            <w:pPr>
              <w:jc w:val="right"/>
            </w:pPr>
            <w:r>
              <w:rPr>
                <w:color w:val="000000"/>
                <w:sz w:val="24"/>
                <w:szCs w:val="24"/>
              </w:rPr>
              <w:t>1,770,971</w:t>
            </w:r>
          </w:p>
        </w:tc>
        <w:tc>
          <w:tcPr>
            <w:tcW w:w="1924" w:type="dxa"/>
            <w:vAlign w:val="center"/>
          </w:tcPr>
          <w:p w:rsidR="00965C55" w:rsidRDefault="002B742C">
            <w:pPr>
              <w:jc w:val="right"/>
            </w:pPr>
            <w:r>
              <w:rPr>
                <w:color w:val="000000"/>
                <w:sz w:val="24"/>
                <w:szCs w:val="24"/>
              </w:rPr>
              <w:t>28,494,923.39</w:t>
            </w:r>
          </w:p>
        </w:tc>
        <w:tc>
          <w:tcPr>
            <w:tcW w:w="1644" w:type="dxa"/>
            <w:vAlign w:val="center"/>
          </w:tcPr>
          <w:p w:rsidR="00965C55" w:rsidRDefault="002B742C">
            <w:pPr>
              <w:jc w:val="right"/>
            </w:pPr>
            <w:r>
              <w:rPr>
                <w:color w:val="000000"/>
                <w:sz w:val="24"/>
                <w:szCs w:val="24"/>
              </w:rPr>
              <w:t>8.95</w:t>
            </w:r>
          </w:p>
        </w:tc>
      </w:tr>
      <w:tr w:rsidR="00965C55">
        <w:trPr>
          <w:jc w:val="center"/>
        </w:trPr>
        <w:tc>
          <w:tcPr>
            <w:tcW w:w="855" w:type="dxa"/>
            <w:vAlign w:val="center"/>
          </w:tcPr>
          <w:p w:rsidR="00965C55" w:rsidRDefault="002B742C">
            <w:pPr>
              <w:jc w:val="center"/>
            </w:pPr>
            <w:r>
              <w:rPr>
                <w:color w:val="000000"/>
                <w:sz w:val="24"/>
                <w:szCs w:val="24"/>
              </w:rPr>
              <w:t>2</w:t>
            </w:r>
          </w:p>
        </w:tc>
        <w:tc>
          <w:tcPr>
            <w:tcW w:w="1334" w:type="dxa"/>
            <w:vAlign w:val="center"/>
          </w:tcPr>
          <w:p w:rsidR="00965C55" w:rsidRDefault="002B742C">
            <w:pPr>
              <w:jc w:val="center"/>
            </w:pPr>
            <w:r>
              <w:rPr>
                <w:color w:val="000000"/>
                <w:sz w:val="24"/>
                <w:szCs w:val="24"/>
              </w:rPr>
              <w:t>300347</w:t>
            </w:r>
          </w:p>
        </w:tc>
        <w:tc>
          <w:tcPr>
            <w:tcW w:w="1777" w:type="dxa"/>
            <w:vAlign w:val="center"/>
          </w:tcPr>
          <w:p w:rsidR="00965C55" w:rsidRDefault="002B742C">
            <w:pPr>
              <w:jc w:val="center"/>
            </w:pPr>
            <w:r>
              <w:rPr>
                <w:color w:val="000000"/>
                <w:sz w:val="24"/>
                <w:szCs w:val="24"/>
              </w:rPr>
              <w:t>泰格医药</w:t>
            </w:r>
          </w:p>
        </w:tc>
        <w:tc>
          <w:tcPr>
            <w:tcW w:w="1334" w:type="dxa"/>
            <w:vAlign w:val="center"/>
          </w:tcPr>
          <w:p w:rsidR="00965C55" w:rsidRDefault="002B742C">
            <w:pPr>
              <w:jc w:val="right"/>
            </w:pPr>
            <w:r>
              <w:rPr>
                <w:color w:val="000000"/>
                <w:sz w:val="24"/>
                <w:szCs w:val="24"/>
              </w:rPr>
              <w:t>830,174</w:t>
            </w:r>
          </w:p>
        </w:tc>
        <w:tc>
          <w:tcPr>
            <w:tcW w:w="1924" w:type="dxa"/>
            <w:vAlign w:val="center"/>
          </w:tcPr>
          <w:p w:rsidR="00965C55" w:rsidRDefault="002B742C">
            <w:pPr>
              <w:jc w:val="right"/>
            </w:pPr>
            <w:r>
              <w:rPr>
                <w:color w:val="000000"/>
                <w:sz w:val="24"/>
                <w:szCs w:val="24"/>
              </w:rPr>
              <w:t>24,091,649.48</w:t>
            </w:r>
          </w:p>
        </w:tc>
        <w:tc>
          <w:tcPr>
            <w:tcW w:w="1644" w:type="dxa"/>
            <w:vAlign w:val="center"/>
          </w:tcPr>
          <w:p w:rsidR="00965C55" w:rsidRDefault="002B742C">
            <w:pPr>
              <w:jc w:val="right"/>
            </w:pPr>
            <w:r>
              <w:rPr>
                <w:color w:val="000000"/>
                <w:sz w:val="24"/>
                <w:szCs w:val="24"/>
              </w:rPr>
              <w:t>7.57</w:t>
            </w:r>
          </w:p>
        </w:tc>
      </w:tr>
      <w:tr w:rsidR="00965C55">
        <w:trPr>
          <w:jc w:val="center"/>
        </w:trPr>
        <w:tc>
          <w:tcPr>
            <w:tcW w:w="855" w:type="dxa"/>
            <w:vAlign w:val="center"/>
          </w:tcPr>
          <w:p w:rsidR="00965C55" w:rsidRDefault="002B742C">
            <w:pPr>
              <w:jc w:val="center"/>
            </w:pPr>
            <w:r>
              <w:rPr>
                <w:color w:val="000000"/>
                <w:sz w:val="24"/>
                <w:szCs w:val="24"/>
              </w:rPr>
              <w:t>3</w:t>
            </w:r>
          </w:p>
        </w:tc>
        <w:tc>
          <w:tcPr>
            <w:tcW w:w="1334" w:type="dxa"/>
            <w:vAlign w:val="center"/>
          </w:tcPr>
          <w:p w:rsidR="00965C55" w:rsidRDefault="002B742C">
            <w:pPr>
              <w:jc w:val="center"/>
            </w:pPr>
            <w:r>
              <w:rPr>
                <w:color w:val="000000"/>
                <w:sz w:val="24"/>
                <w:szCs w:val="24"/>
              </w:rPr>
              <w:t>000821</w:t>
            </w:r>
          </w:p>
        </w:tc>
        <w:tc>
          <w:tcPr>
            <w:tcW w:w="1777" w:type="dxa"/>
            <w:vAlign w:val="center"/>
          </w:tcPr>
          <w:p w:rsidR="00965C55" w:rsidRDefault="002B742C">
            <w:pPr>
              <w:jc w:val="center"/>
            </w:pPr>
            <w:r>
              <w:rPr>
                <w:color w:val="000000"/>
                <w:sz w:val="24"/>
                <w:szCs w:val="24"/>
              </w:rPr>
              <w:t>京山轻机</w:t>
            </w:r>
          </w:p>
        </w:tc>
        <w:tc>
          <w:tcPr>
            <w:tcW w:w="1334" w:type="dxa"/>
            <w:vAlign w:val="center"/>
          </w:tcPr>
          <w:p w:rsidR="00965C55" w:rsidRDefault="002B742C">
            <w:pPr>
              <w:jc w:val="right"/>
            </w:pPr>
            <w:r>
              <w:rPr>
                <w:color w:val="000000"/>
                <w:sz w:val="24"/>
                <w:szCs w:val="24"/>
              </w:rPr>
              <w:t>1,185,208</w:t>
            </w:r>
          </w:p>
        </w:tc>
        <w:tc>
          <w:tcPr>
            <w:tcW w:w="1924" w:type="dxa"/>
            <w:vAlign w:val="center"/>
          </w:tcPr>
          <w:p w:rsidR="00965C55" w:rsidRDefault="002B742C">
            <w:pPr>
              <w:jc w:val="right"/>
            </w:pPr>
            <w:r>
              <w:rPr>
                <w:color w:val="000000"/>
                <w:sz w:val="24"/>
                <w:szCs w:val="24"/>
              </w:rPr>
              <w:t>20,883,364.96</w:t>
            </w:r>
          </w:p>
        </w:tc>
        <w:tc>
          <w:tcPr>
            <w:tcW w:w="1644" w:type="dxa"/>
            <w:vAlign w:val="center"/>
          </w:tcPr>
          <w:p w:rsidR="00965C55" w:rsidRDefault="002B742C">
            <w:pPr>
              <w:jc w:val="right"/>
            </w:pPr>
            <w:r>
              <w:rPr>
                <w:color w:val="000000"/>
                <w:sz w:val="24"/>
                <w:szCs w:val="24"/>
              </w:rPr>
              <w:t>6.56</w:t>
            </w:r>
          </w:p>
        </w:tc>
      </w:tr>
      <w:tr w:rsidR="00965C55">
        <w:trPr>
          <w:jc w:val="center"/>
        </w:trPr>
        <w:tc>
          <w:tcPr>
            <w:tcW w:w="855" w:type="dxa"/>
            <w:vAlign w:val="center"/>
          </w:tcPr>
          <w:p w:rsidR="00965C55" w:rsidRDefault="002B742C">
            <w:pPr>
              <w:jc w:val="center"/>
            </w:pPr>
            <w:r>
              <w:rPr>
                <w:color w:val="000000"/>
                <w:sz w:val="24"/>
                <w:szCs w:val="24"/>
              </w:rPr>
              <w:t>4</w:t>
            </w:r>
          </w:p>
        </w:tc>
        <w:tc>
          <w:tcPr>
            <w:tcW w:w="1334" w:type="dxa"/>
            <w:vAlign w:val="center"/>
          </w:tcPr>
          <w:p w:rsidR="00965C55" w:rsidRDefault="002B742C">
            <w:pPr>
              <w:jc w:val="center"/>
            </w:pPr>
            <w:r>
              <w:rPr>
                <w:color w:val="000000"/>
                <w:sz w:val="24"/>
                <w:szCs w:val="24"/>
              </w:rPr>
              <w:t>002375</w:t>
            </w:r>
          </w:p>
        </w:tc>
        <w:tc>
          <w:tcPr>
            <w:tcW w:w="1777" w:type="dxa"/>
            <w:vAlign w:val="center"/>
          </w:tcPr>
          <w:p w:rsidR="00965C55" w:rsidRDefault="002B742C">
            <w:pPr>
              <w:jc w:val="center"/>
            </w:pPr>
            <w:r>
              <w:rPr>
                <w:color w:val="000000"/>
                <w:sz w:val="24"/>
                <w:szCs w:val="24"/>
              </w:rPr>
              <w:t>亚厦股份</w:t>
            </w:r>
          </w:p>
        </w:tc>
        <w:tc>
          <w:tcPr>
            <w:tcW w:w="1334" w:type="dxa"/>
            <w:vAlign w:val="center"/>
          </w:tcPr>
          <w:p w:rsidR="00965C55" w:rsidRDefault="002B742C">
            <w:pPr>
              <w:jc w:val="right"/>
            </w:pPr>
            <w:r>
              <w:rPr>
                <w:color w:val="000000"/>
                <w:sz w:val="24"/>
                <w:szCs w:val="24"/>
              </w:rPr>
              <w:t>1,394,771</w:t>
            </w:r>
          </w:p>
        </w:tc>
        <w:tc>
          <w:tcPr>
            <w:tcW w:w="1924" w:type="dxa"/>
            <w:vAlign w:val="center"/>
          </w:tcPr>
          <w:p w:rsidR="00965C55" w:rsidRDefault="002B742C">
            <w:pPr>
              <w:jc w:val="right"/>
            </w:pPr>
            <w:r>
              <w:rPr>
                <w:color w:val="000000"/>
                <w:sz w:val="24"/>
                <w:szCs w:val="24"/>
              </w:rPr>
              <w:t>15,760,912.30</w:t>
            </w:r>
          </w:p>
        </w:tc>
        <w:tc>
          <w:tcPr>
            <w:tcW w:w="1644" w:type="dxa"/>
            <w:vAlign w:val="center"/>
          </w:tcPr>
          <w:p w:rsidR="00965C55" w:rsidRDefault="002B742C">
            <w:pPr>
              <w:jc w:val="right"/>
            </w:pPr>
            <w:r>
              <w:rPr>
                <w:color w:val="000000"/>
                <w:sz w:val="24"/>
                <w:szCs w:val="24"/>
              </w:rPr>
              <w:t>4.95</w:t>
            </w:r>
          </w:p>
        </w:tc>
      </w:tr>
      <w:tr w:rsidR="00965C55">
        <w:trPr>
          <w:jc w:val="center"/>
        </w:trPr>
        <w:tc>
          <w:tcPr>
            <w:tcW w:w="855" w:type="dxa"/>
            <w:vAlign w:val="center"/>
          </w:tcPr>
          <w:p w:rsidR="00965C55" w:rsidRDefault="002B742C">
            <w:pPr>
              <w:jc w:val="center"/>
            </w:pPr>
            <w:r>
              <w:rPr>
                <w:color w:val="000000"/>
                <w:sz w:val="24"/>
                <w:szCs w:val="24"/>
              </w:rPr>
              <w:t>5</w:t>
            </w:r>
          </w:p>
        </w:tc>
        <w:tc>
          <w:tcPr>
            <w:tcW w:w="1334" w:type="dxa"/>
            <w:vAlign w:val="center"/>
          </w:tcPr>
          <w:p w:rsidR="00965C55" w:rsidRDefault="002B742C">
            <w:pPr>
              <w:jc w:val="center"/>
            </w:pPr>
            <w:r>
              <w:rPr>
                <w:color w:val="000000"/>
                <w:sz w:val="24"/>
                <w:szCs w:val="24"/>
              </w:rPr>
              <w:t>002624</w:t>
            </w:r>
          </w:p>
        </w:tc>
        <w:tc>
          <w:tcPr>
            <w:tcW w:w="1777" w:type="dxa"/>
            <w:vAlign w:val="center"/>
          </w:tcPr>
          <w:p w:rsidR="00965C55" w:rsidRDefault="002B742C">
            <w:pPr>
              <w:jc w:val="center"/>
            </w:pPr>
            <w:r>
              <w:rPr>
                <w:color w:val="000000"/>
                <w:sz w:val="24"/>
                <w:szCs w:val="24"/>
              </w:rPr>
              <w:t>完美环球</w:t>
            </w:r>
          </w:p>
        </w:tc>
        <w:tc>
          <w:tcPr>
            <w:tcW w:w="1334" w:type="dxa"/>
            <w:vAlign w:val="center"/>
          </w:tcPr>
          <w:p w:rsidR="00965C55" w:rsidRDefault="002B742C">
            <w:pPr>
              <w:jc w:val="right"/>
            </w:pPr>
            <w:r>
              <w:rPr>
                <w:color w:val="000000"/>
                <w:sz w:val="24"/>
                <w:szCs w:val="24"/>
              </w:rPr>
              <w:t>362,997</w:t>
            </w:r>
          </w:p>
        </w:tc>
        <w:tc>
          <w:tcPr>
            <w:tcW w:w="1924" w:type="dxa"/>
            <w:vAlign w:val="center"/>
          </w:tcPr>
          <w:p w:rsidR="00965C55" w:rsidRDefault="002B742C">
            <w:pPr>
              <w:jc w:val="right"/>
            </w:pPr>
            <w:r>
              <w:rPr>
                <w:color w:val="000000"/>
                <w:sz w:val="24"/>
                <w:szCs w:val="24"/>
              </w:rPr>
              <w:t>13,703,136.75</w:t>
            </w:r>
          </w:p>
        </w:tc>
        <w:tc>
          <w:tcPr>
            <w:tcW w:w="1644" w:type="dxa"/>
            <w:vAlign w:val="center"/>
          </w:tcPr>
          <w:p w:rsidR="00965C55" w:rsidRDefault="002B742C">
            <w:pPr>
              <w:jc w:val="right"/>
            </w:pPr>
            <w:r>
              <w:rPr>
                <w:color w:val="000000"/>
                <w:sz w:val="24"/>
                <w:szCs w:val="24"/>
              </w:rPr>
              <w:t>4.30</w:t>
            </w:r>
          </w:p>
        </w:tc>
      </w:tr>
      <w:tr w:rsidR="00965C55">
        <w:trPr>
          <w:jc w:val="center"/>
        </w:trPr>
        <w:tc>
          <w:tcPr>
            <w:tcW w:w="855" w:type="dxa"/>
            <w:vAlign w:val="center"/>
          </w:tcPr>
          <w:p w:rsidR="00965C55" w:rsidRDefault="002B742C">
            <w:pPr>
              <w:jc w:val="center"/>
            </w:pPr>
            <w:r>
              <w:rPr>
                <w:color w:val="000000"/>
                <w:sz w:val="24"/>
                <w:szCs w:val="24"/>
              </w:rPr>
              <w:t>6</w:t>
            </w:r>
          </w:p>
        </w:tc>
        <w:tc>
          <w:tcPr>
            <w:tcW w:w="1334" w:type="dxa"/>
            <w:vAlign w:val="center"/>
          </w:tcPr>
          <w:p w:rsidR="00965C55" w:rsidRDefault="002B742C">
            <w:pPr>
              <w:jc w:val="center"/>
            </w:pPr>
            <w:r>
              <w:rPr>
                <w:color w:val="000000"/>
                <w:sz w:val="24"/>
                <w:szCs w:val="24"/>
              </w:rPr>
              <w:t>002343</w:t>
            </w:r>
          </w:p>
        </w:tc>
        <w:tc>
          <w:tcPr>
            <w:tcW w:w="1777" w:type="dxa"/>
            <w:vAlign w:val="center"/>
          </w:tcPr>
          <w:p w:rsidR="00965C55" w:rsidRDefault="002B742C">
            <w:pPr>
              <w:jc w:val="center"/>
            </w:pPr>
            <w:r>
              <w:rPr>
                <w:color w:val="000000"/>
                <w:sz w:val="24"/>
                <w:szCs w:val="24"/>
              </w:rPr>
              <w:t>慈文传媒</w:t>
            </w:r>
          </w:p>
        </w:tc>
        <w:tc>
          <w:tcPr>
            <w:tcW w:w="1334" w:type="dxa"/>
            <w:vAlign w:val="center"/>
          </w:tcPr>
          <w:p w:rsidR="00965C55" w:rsidRDefault="002B742C">
            <w:pPr>
              <w:jc w:val="right"/>
            </w:pPr>
            <w:r>
              <w:rPr>
                <w:color w:val="000000"/>
                <w:sz w:val="24"/>
                <w:szCs w:val="24"/>
              </w:rPr>
              <w:t>260,111</w:t>
            </w:r>
          </w:p>
        </w:tc>
        <w:tc>
          <w:tcPr>
            <w:tcW w:w="1924" w:type="dxa"/>
            <w:vAlign w:val="center"/>
          </w:tcPr>
          <w:p w:rsidR="00965C55" w:rsidRDefault="002B742C">
            <w:pPr>
              <w:jc w:val="right"/>
            </w:pPr>
            <w:r>
              <w:rPr>
                <w:color w:val="000000"/>
                <w:sz w:val="24"/>
                <w:szCs w:val="24"/>
              </w:rPr>
              <w:t>12,615,383.50</w:t>
            </w:r>
          </w:p>
        </w:tc>
        <w:tc>
          <w:tcPr>
            <w:tcW w:w="1644" w:type="dxa"/>
            <w:vAlign w:val="center"/>
          </w:tcPr>
          <w:p w:rsidR="00965C55" w:rsidRDefault="002B742C">
            <w:pPr>
              <w:jc w:val="right"/>
            </w:pPr>
            <w:r>
              <w:rPr>
                <w:color w:val="000000"/>
                <w:sz w:val="24"/>
                <w:szCs w:val="24"/>
              </w:rPr>
              <w:t>3.96</w:t>
            </w:r>
          </w:p>
        </w:tc>
      </w:tr>
      <w:tr w:rsidR="00965C55">
        <w:trPr>
          <w:jc w:val="center"/>
        </w:trPr>
        <w:tc>
          <w:tcPr>
            <w:tcW w:w="855" w:type="dxa"/>
            <w:vAlign w:val="center"/>
          </w:tcPr>
          <w:p w:rsidR="00965C55" w:rsidRDefault="002B742C">
            <w:pPr>
              <w:jc w:val="center"/>
            </w:pPr>
            <w:r>
              <w:rPr>
                <w:color w:val="000000"/>
                <w:sz w:val="24"/>
                <w:szCs w:val="24"/>
              </w:rPr>
              <w:t>7</w:t>
            </w:r>
          </w:p>
        </w:tc>
        <w:tc>
          <w:tcPr>
            <w:tcW w:w="1334" w:type="dxa"/>
            <w:vAlign w:val="center"/>
          </w:tcPr>
          <w:p w:rsidR="00965C55" w:rsidRDefault="002B742C">
            <w:pPr>
              <w:jc w:val="center"/>
            </w:pPr>
            <w:r>
              <w:rPr>
                <w:color w:val="000000"/>
                <w:sz w:val="24"/>
                <w:szCs w:val="24"/>
              </w:rPr>
              <w:t>002463</w:t>
            </w:r>
          </w:p>
        </w:tc>
        <w:tc>
          <w:tcPr>
            <w:tcW w:w="1777" w:type="dxa"/>
            <w:vAlign w:val="center"/>
          </w:tcPr>
          <w:p w:rsidR="00965C55" w:rsidRDefault="002B742C">
            <w:pPr>
              <w:jc w:val="center"/>
            </w:pPr>
            <w:r>
              <w:rPr>
                <w:color w:val="000000"/>
                <w:sz w:val="24"/>
                <w:szCs w:val="24"/>
              </w:rPr>
              <w:t>沪电股份</w:t>
            </w:r>
          </w:p>
        </w:tc>
        <w:tc>
          <w:tcPr>
            <w:tcW w:w="1334" w:type="dxa"/>
            <w:vAlign w:val="center"/>
          </w:tcPr>
          <w:p w:rsidR="00965C55" w:rsidRDefault="002B742C">
            <w:pPr>
              <w:jc w:val="right"/>
            </w:pPr>
            <w:r>
              <w:rPr>
                <w:color w:val="000000"/>
                <w:sz w:val="24"/>
                <w:szCs w:val="24"/>
              </w:rPr>
              <w:t>2,258,926</w:t>
            </w:r>
          </w:p>
        </w:tc>
        <w:tc>
          <w:tcPr>
            <w:tcW w:w="1924" w:type="dxa"/>
            <w:vAlign w:val="center"/>
          </w:tcPr>
          <w:p w:rsidR="00965C55" w:rsidRDefault="002B742C">
            <w:pPr>
              <w:jc w:val="right"/>
            </w:pPr>
            <w:r>
              <w:rPr>
                <w:color w:val="000000"/>
                <w:sz w:val="24"/>
                <w:szCs w:val="24"/>
              </w:rPr>
              <w:t>11,927,129.28</w:t>
            </w:r>
          </w:p>
        </w:tc>
        <w:tc>
          <w:tcPr>
            <w:tcW w:w="1644" w:type="dxa"/>
            <w:vAlign w:val="center"/>
          </w:tcPr>
          <w:p w:rsidR="00965C55" w:rsidRDefault="002B742C">
            <w:pPr>
              <w:jc w:val="right"/>
            </w:pPr>
            <w:r>
              <w:rPr>
                <w:color w:val="000000"/>
                <w:sz w:val="24"/>
                <w:szCs w:val="24"/>
              </w:rPr>
              <w:t>3.75</w:t>
            </w:r>
          </w:p>
        </w:tc>
      </w:tr>
      <w:tr w:rsidR="00965C55">
        <w:trPr>
          <w:jc w:val="center"/>
        </w:trPr>
        <w:tc>
          <w:tcPr>
            <w:tcW w:w="855" w:type="dxa"/>
            <w:vAlign w:val="center"/>
          </w:tcPr>
          <w:p w:rsidR="00965C55" w:rsidRDefault="002B742C">
            <w:pPr>
              <w:jc w:val="center"/>
            </w:pPr>
            <w:r>
              <w:rPr>
                <w:color w:val="000000"/>
                <w:sz w:val="24"/>
                <w:szCs w:val="24"/>
              </w:rPr>
              <w:t>8</w:t>
            </w:r>
          </w:p>
        </w:tc>
        <w:tc>
          <w:tcPr>
            <w:tcW w:w="1334" w:type="dxa"/>
            <w:vAlign w:val="center"/>
          </w:tcPr>
          <w:p w:rsidR="00965C55" w:rsidRDefault="002B742C">
            <w:pPr>
              <w:jc w:val="center"/>
            </w:pPr>
            <w:r>
              <w:rPr>
                <w:color w:val="000000"/>
                <w:sz w:val="24"/>
                <w:szCs w:val="24"/>
              </w:rPr>
              <w:t>300367</w:t>
            </w:r>
          </w:p>
        </w:tc>
        <w:tc>
          <w:tcPr>
            <w:tcW w:w="1777" w:type="dxa"/>
            <w:vAlign w:val="center"/>
          </w:tcPr>
          <w:p w:rsidR="00965C55" w:rsidRDefault="002B742C">
            <w:pPr>
              <w:jc w:val="center"/>
            </w:pPr>
            <w:r>
              <w:rPr>
                <w:color w:val="000000"/>
                <w:sz w:val="24"/>
                <w:szCs w:val="24"/>
              </w:rPr>
              <w:t>东方网力</w:t>
            </w:r>
          </w:p>
        </w:tc>
        <w:tc>
          <w:tcPr>
            <w:tcW w:w="1334" w:type="dxa"/>
            <w:vAlign w:val="center"/>
          </w:tcPr>
          <w:p w:rsidR="00965C55" w:rsidRDefault="002B742C">
            <w:pPr>
              <w:jc w:val="right"/>
            </w:pPr>
            <w:r>
              <w:rPr>
                <w:color w:val="000000"/>
                <w:sz w:val="24"/>
                <w:szCs w:val="24"/>
              </w:rPr>
              <w:t>424,604</w:t>
            </w:r>
          </w:p>
        </w:tc>
        <w:tc>
          <w:tcPr>
            <w:tcW w:w="1924" w:type="dxa"/>
            <w:vAlign w:val="center"/>
          </w:tcPr>
          <w:p w:rsidR="00965C55" w:rsidRDefault="002B742C">
            <w:pPr>
              <w:jc w:val="right"/>
            </w:pPr>
            <w:r>
              <w:rPr>
                <w:color w:val="000000"/>
                <w:sz w:val="24"/>
                <w:szCs w:val="24"/>
              </w:rPr>
              <w:t>10,542,917.32</w:t>
            </w:r>
          </w:p>
        </w:tc>
        <w:tc>
          <w:tcPr>
            <w:tcW w:w="1644" w:type="dxa"/>
            <w:vAlign w:val="center"/>
          </w:tcPr>
          <w:p w:rsidR="00965C55" w:rsidRDefault="002B742C">
            <w:pPr>
              <w:jc w:val="right"/>
            </w:pPr>
            <w:r>
              <w:rPr>
                <w:color w:val="000000"/>
                <w:sz w:val="24"/>
                <w:szCs w:val="24"/>
              </w:rPr>
              <w:t>3.31</w:t>
            </w:r>
          </w:p>
        </w:tc>
      </w:tr>
      <w:tr w:rsidR="00965C55">
        <w:trPr>
          <w:jc w:val="center"/>
        </w:trPr>
        <w:tc>
          <w:tcPr>
            <w:tcW w:w="855" w:type="dxa"/>
            <w:vAlign w:val="center"/>
          </w:tcPr>
          <w:p w:rsidR="00965C55" w:rsidRDefault="002B742C">
            <w:pPr>
              <w:jc w:val="center"/>
            </w:pPr>
            <w:r>
              <w:rPr>
                <w:color w:val="000000"/>
                <w:sz w:val="24"/>
                <w:szCs w:val="24"/>
              </w:rPr>
              <w:t>9</w:t>
            </w:r>
          </w:p>
        </w:tc>
        <w:tc>
          <w:tcPr>
            <w:tcW w:w="1334" w:type="dxa"/>
            <w:vAlign w:val="center"/>
          </w:tcPr>
          <w:p w:rsidR="00965C55" w:rsidRDefault="002B742C">
            <w:pPr>
              <w:jc w:val="center"/>
            </w:pPr>
            <w:r>
              <w:rPr>
                <w:color w:val="000000"/>
                <w:sz w:val="24"/>
                <w:szCs w:val="24"/>
              </w:rPr>
              <w:t>600559</w:t>
            </w:r>
          </w:p>
        </w:tc>
        <w:tc>
          <w:tcPr>
            <w:tcW w:w="1777" w:type="dxa"/>
            <w:vAlign w:val="center"/>
          </w:tcPr>
          <w:p w:rsidR="00965C55" w:rsidRDefault="002B742C">
            <w:pPr>
              <w:jc w:val="center"/>
            </w:pPr>
            <w:r>
              <w:rPr>
                <w:color w:val="000000"/>
                <w:sz w:val="24"/>
                <w:szCs w:val="24"/>
              </w:rPr>
              <w:t>老白干酒</w:t>
            </w:r>
          </w:p>
        </w:tc>
        <w:tc>
          <w:tcPr>
            <w:tcW w:w="1334" w:type="dxa"/>
            <w:vAlign w:val="center"/>
          </w:tcPr>
          <w:p w:rsidR="00965C55" w:rsidRDefault="002B742C">
            <w:pPr>
              <w:jc w:val="right"/>
            </w:pPr>
            <w:r>
              <w:rPr>
                <w:color w:val="000000"/>
                <w:sz w:val="24"/>
                <w:szCs w:val="24"/>
              </w:rPr>
              <w:t>386,450</w:t>
            </w:r>
          </w:p>
        </w:tc>
        <w:tc>
          <w:tcPr>
            <w:tcW w:w="1924" w:type="dxa"/>
            <w:vAlign w:val="center"/>
          </w:tcPr>
          <w:p w:rsidR="00965C55" w:rsidRDefault="002B742C">
            <w:pPr>
              <w:jc w:val="right"/>
            </w:pPr>
            <w:r>
              <w:rPr>
                <w:color w:val="000000"/>
                <w:sz w:val="24"/>
                <w:szCs w:val="24"/>
              </w:rPr>
              <w:t>9,259,342.00</w:t>
            </w:r>
          </w:p>
        </w:tc>
        <w:tc>
          <w:tcPr>
            <w:tcW w:w="1644" w:type="dxa"/>
            <w:vAlign w:val="center"/>
          </w:tcPr>
          <w:p w:rsidR="00965C55" w:rsidRDefault="002B742C">
            <w:pPr>
              <w:jc w:val="right"/>
            </w:pPr>
            <w:r>
              <w:rPr>
                <w:color w:val="000000"/>
                <w:sz w:val="24"/>
                <w:szCs w:val="24"/>
              </w:rPr>
              <w:t>2.91</w:t>
            </w:r>
          </w:p>
        </w:tc>
      </w:tr>
      <w:tr w:rsidR="00965C55">
        <w:trPr>
          <w:jc w:val="center"/>
        </w:trPr>
        <w:tc>
          <w:tcPr>
            <w:tcW w:w="855" w:type="dxa"/>
            <w:vAlign w:val="center"/>
          </w:tcPr>
          <w:p w:rsidR="00965C55" w:rsidRDefault="002B742C">
            <w:pPr>
              <w:jc w:val="center"/>
            </w:pPr>
            <w:r>
              <w:rPr>
                <w:color w:val="000000"/>
                <w:sz w:val="24"/>
                <w:szCs w:val="24"/>
              </w:rPr>
              <w:t>10</w:t>
            </w:r>
          </w:p>
        </w:tc>
        <w:tc>
          <w:tcPr>
            <w:tcW w:w="1334" w:type="dxa"/>
            <w:vAlign w:val="center"/>
          </w:tcPr>
          <w:p w:rsidR="00965C55" w:rsidRDefault="002B742C">
            <w:pPr>
              <w:jc w:val="center"/>
            </w:pPr>
            <w:r>
              <w:rPr>
                <w:color w:val="000000"/>
                <w:sz w:val="24"/>
                <w:szCs w:val="24"/>
              </w:rPr>
              <w:t>002131</w:t>
            </w:r>
          </w:p>
        </w:tc>
        <w:tc>
          <w:tcPr>
            <w:tcW w:w="1777" w:type="dxa"/>
            <w:vAlign w:val="center"/>
          </w:tcPr>
          <w:p w:rsidR="00965C55" w:rsidRDefault="002B742C">
            <w:pPr>
              <w:jc w:val="center"/>
            </w:pPr>
            <w:r>
              <w:rPr>
                <w:color w:val="000000"/>
                <w:sz w:val="24"/>
                <w:szCs w:val="24"/>
              </w:rPr>
              <w:t>利欧股份</w:t>
            </w:r>
          </w:p>
        </w:tc>
        <w:tc>
          <w:tcPr>
            <w:tcW w:w="1334" w:type="dxa"/>
            <w:vAlign w:val="center"/>
          </w:tcPr>
          <w:p w:rsidR="00965C55" w:rsidRDefault="002B742C">
            <w:pPr>
              <w:jc w:val="right"/>
            </w:pPr>
            <w:r>
              <w:rPr>
                <w:color w:val="000000"/>
                <w:sz w:val="24"/>
                <w:szCs w:val="24"/>
              </w:rPr>
              <w:t>504,544</w:t>
            </w:r>
          </w:p>
        </w:tc>
        <w:tc>
          <w:tcPr>
            <w:tcW w:w="1924" w:type="dxa"/>
            <w:vAlign w:val="center"/>
          </w:tcPr>
          <w:p w:rsidR="00965C55" w:rsidRDefault="002B742C">
            <w:pPr>
              <w:jc w:val="right"/>
            </w:pPr>
            <w:r>
              <w:rPr>
                <w:color w:val="000000"/>
                <w:sz w:val="24"/>
                <w:szCs w:val="24"/>
              </w:rPr>
              <w:t>8,622,656.96</w:t>
            </w:r>
          </w:p>
        </w:tc>
        <w:tc>
          <w:tcPr>
            <w:tcW w:w="1644" w:type="dxa"/>
            <w:vAlign w:val="center"/>
          </w:tcPr>
          <w:p w:rsidR="00965C55" w:rsidRDefault="002B742C">
            <w:pPr>
              <w:jc w:val="right"/>
            </w:pPr>
            <w:r>
              <w:rPr>
                <w:color w:val="000000"/>
                <w:sz w:val="24"/>
                <w:szCs w:val="24"/>
              </w:rPr>
              <w:t>2.71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474,565.44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6,399,503.96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17,919.17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303,854.70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7,195,843.27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126,507,414.86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22,353,933.53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17,686,118.19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131,175,230.20</w:t>
            </w:r>
          </w:p>
        </w:tc>
      </w:tr>
    </w:tbl>
    <w:p w:rsidR="00965C55" w:rsidRDefault="002B742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65C55" w:rsidRDefault="002B742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965C55" w:rsidRDefault="002B742C">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965C55" w:rsidRDefault="002B742C">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965C55" w:rsidRDefault="002B742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965C55" w:rsidRDefault="002B742C">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965C55" w:rsidRDefault="002B742C">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965C55" w:rsidRDefault="002B742C">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965C55" w:rsidRDefault="002B742C">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65C55" w:rsidRDefault="002B742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0F" w:rsidRDefault="00C82E0F" w:rsidP="00876D65">
      <w:r>
        <w:separator/>
      </w:r>
    </w:p>
  </w:endnote>
  <w:endnote w:type="continuationSeparator" w:id="0">
    <w:p w:rsidR="00C82E0F" w:rsidRDefault="00C82E0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8335F">
      <w:rPr>
        <w:noProof/>
        <w:kern w:val="0"/>
        <w:szCs w:val="21"/>
      </w:rPr>
      <w:t>4</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8335F">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0F" w:rsidRDefault="00C82E0F" w:rsidP="00876D65">
      <w:r>
        <w:separator/>
      </w:r>
    </w:p>
  </w:footnote>
  <w:footnote w:type="continuationSeparator" w:id="0">
    <w:p w:rsidR="00C82E0F" w:rsidRDefault="00C82E0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742C"/>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509"/>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4133"/>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335F"/>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5C55"/>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2E0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132"/>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DDE2-B5DA-453C-B77A-57910949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11</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565</cp:revision>
  <dcterms:created xsi:type="dcterms:W3CDTF">2012-10-16T06:07:00Z</dcterms:created>
  <dcterms:modified xsi:type="dcterms:W3CDTF">2016-07-19T06:49:00Z</dcterms:modified>
</cp:coreProperties>
</file>