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4323A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B7DA9" w:rsidRDefault="004323A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323A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3,221,625,567.96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323A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323A7" w:rsidRPr="00414345" w:rsidTr="004323A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323A7" w:rsidRPr="00414345" w:rsidTr="00432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-22,508,387.23</w:t>
            </w:r>
          </w:p>
        </w:tc>
      </w:tr>
      <w:tr w:rsidR="004323A7" w:rsidRPr="00414345" w:rsidTr="00432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6,253,430.56</w:t>
            </w:r>
          </w:p>
        </w:tc>
      </w:tr>
      <w:tr w:rsidR="004323A7" w:rsidRPr="00414345" w:rsidTr="00432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0.0019</w:t>
            </w:r>
          </w:p>
        </w:tc>
      </w:tr>
      <w:tr w:rsidR="004323A7" w:rsidRPr="00414345" w:rsidTr="00432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2,589,866,842.03</w:t>
            </w:r>
          </w:p>
        </w:tc>
      </w:tr>
      <w:tr w:rsidR="004323A7" w:rsidRPr="00414345" w:rsidTr="004323A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0.8039</w:t>
            </w:r>
          </w:p>
        </w:tc>
      </w:tr>
    </w:tbl>
    <w:p w:rsidR="006B7DA9" w:rsidRDefault="004323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B7DA9">
        <w:trPr>
          <w:jc w:val="center"/>
        </w:trPr>
        <w:tc>
          <w:tcPr>
            <w:tcW w:w="1701" w:type="dxa"/>
            <w:vAlign w:val="center"/>
          </w:tcPr>
          <w:p w:rsidR="006B7DA9" w:rsidRDefault="004323A7">
            <w:pPr>
              <w:jc w:val="left"/>
            </w:pPr>
            <w:r>
              <w:rPr>
                <w:color w:val="000000"/>
                <w:sz w:val="24"/>
                <w:szCs w:val="24"/>
              </w:rPr>
              <w:t>过去三个月</w:t>
            </w:r>
          </w:p>
        </w:tc>
        <w:tc>
          <w:tcPr>
            <w:tcW w:w="1045" w:type="dxa"/>
            <w:vAlign w:val="center"/>
          </w:tcPr>
          <w:p w:rsidR="006B7DA9" w:rsidRDefault="004323A7">
            <w:pPr>
              <w:jc w:val="center"/>
            </w:pPr>
            <w:r>
              <w:rPr>
                <w:color w:val="000000"/>
                <w:sz w:val="24"/>
                <w:szCs w:val="24"/>
              </w:rPr>
              <w:t>0.25%</w:t>
            </w:r>
          </w:p>
        </w:tc>
        <w:tc>
          <w:tcPr>
            <w:tcW w:w="1344" w:type="dxa"/>
            <w:vAlign w:val="center"/>
          </w:tcPr>
          <w:p w:rsidR="006B7DA9" w:rsidRDefault="004323A7">
            <w:pPr>
              <w:jc w:val="center"/>
            </w:pPr>
            <w:r>
              <w:rPr>
                <w:color w:val="000000"/>
                <w:sz w:val="24"/>
                <w:szCs w:val="24"/>
              </w:rPr>
              <w:t>1.39%</w:t>
            </w:r>
          </w:p>
        </w:tc>
        <w:tc>
          <w:tcPr>
            <w:tcW w:w="1194" w:type="dxa"/>
            <w:vAlign w:val="center"/>
          </w:tcPr>
          <w:p w:rsidR="006B7DA9" w:rsidRDefault="004323A7">
            <w:pPr>
              <w:jc w:val="center"/>
            </w:pPr>
            <w:r>
              <w:rPr>
                <w:color w:val="000000"/>
                <w:sz w:val="24"/>
                <w:szCs w:val="24"/>
              </w:rPr>
              <w:t>-1.06%</w:t>
            </w:r>
          </w:p>
        </w:tc>
        <w:tc>
          <w:tcPr>
            <w:tcW w:w="1492" w:type="dxa"/>
            <w:vAlign w:val="center"/>
          </w:tcPr>
          <w:p w:rsidR="006B7DA9" w:rsidRDefault="004323A7">
            <w:pPr>
              <w:jc w:val="center"/>
            </w:pPr>
            <w:r>
              <w:rPr>
                <w:color w:val="000000"/>
                <w:sz w:val="24"/>
                <w:szCs w:val="24"/>
              </w:rPr>
              <w:t>0.63%</w:t>
            </w:r>
          </w:p>
        </w:tc>
        <w:tc>
          <w:tcPr>
            <w:tcW w:w="1194" w:type="dxa"/>
            <w:vAlign w:val="center"/>
          </w:tcPr>
          <w:p w:rsidR="006B7DA9" w:rsidRDefault="004323A7">
            <w:pPr>
              <w:jc w:val="center"/>
            </w:pPr>
            <w:r>
              <w:rPr>
                <w:color w:val="000000"/>
                <w:sz w:val="24"/>
                <w:szCs w:val="24"/>
              </w:rPr>
              <w:t>1.31%</w:t>
            </w:r>
          </w:p>
        </w:tc>
        <w:tc>
          <w:tcPr>
            <w:tcW w:w="898" w:type="dxa"/>
            <w:vAlign w:val="center"/>
          </w:tcPr>
          <w:p w:rsidR="006B7DA9" w:rsidRDefault="004323A7">
            <w:pPr>
              <w:jc w:val="center"/>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323A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B7DA9">
        <w:trPr>
          <w:jc w:val="center"/>
        </w:trPr>
        <w:tc>
          <w:tcPr>
            <w:tcW w:w="846" w:type="dxa"/>
            <w:vAlign w:val="center"/>
          </w:tcPr>
          <w:p w:rsidR="006B7DA9" w:rsidRDefault="004323A7">
            <w:pPr>
              <w:jc w:val="center"/>
            </w:pPr>
            <w:r>
              <w:rPr>
                <w:color w:val="000000"/>
                <w:sz w:val="24"/>
                <w:szCs w:val="24"/>
              </w:rPr>
              <w:t>陈孜铎</w:t>
            </w:r>
          </w:p>
        </w:tc>
        <w:tc>
          <w:tcPr>
            <w:tcW w:w="845" w:type="dxa"/>
            <w:vAlign w:val="center"/>
          </w:tcPr>
          <w:p w:rsidR="006B7DA9" w:rsidRDefault="004323A7">
            <w:pPr>
              <w:jc w:val="center"/>
            </w:pPr>
            <w:r>
              <w:rPr>
                <w:color w:val="000000"/>
                <w:sz w:val="24"/>
                <w:szCs w:val="24"/>
              </w:rPr>
              <w:t>交银蓝筹混合的基金经理，公司研究部助理总经理</w:t>
            </w:r>
          </w:p>
        </w:tc>
        <w:tc>
          <w:tcPr>
            <w:tcW w:w="1549" w:type="dxa"/>
            <w:vAlign w:val="center"/>
          </w:tcPr>
          <w:p w:rsidR="006B7DA9" w:rsidRDefault="004323A7">
            <w:pPr>
              <w:jc w:val="center"/>
            </w:pPr>
            <w:r>
              <w:rPr>
                <w:color w:val="000000"/>
                <w:sz w:val="24"/>
                <w:szCs w:val="24"/>
              </w:rPr>
              <w:t>2014-10-22</w:t>
            </w:r>
          </w:p>
        </w:tc>
        <w:tc>
          <w:tcPr>
            <w:tcW w:w="1548" w:type="dxa"/>
            <w:vAlign w:val="center"/>
          </w:tcPr>
          <w:p w:rsidR="006B7DA9" w:rsidRDefault="004323A7">
            <w:pPr>
              <w:jc w:val="center"/>
            </w:pPr>
            <w:r>
              <w:rPr>
                <w:color w:val="000000"/>
                <w:sz w:val="24"/>
                <w:szCs w:val="24"/>
              </w:rPr>
              <w:t>-</w:t>
            </w:r>
          </w:p>
        </w:tc>
        <w:tc>
          <w:tcPr>
            <w:tcW w:w="1407" w:type="dxa"/>
            <w:vAlign w:val="center"/>
          </w:tcPr>
          <w:p w:rsidR="006B7DA9" w:rsidRDefault="004323A7">
            <w:pPr>
              <w:jc w:val="center"/>
            </w:pPr>
            <w:r>
              <w:rPr>
                <w:color w:val="000000"/>
                <w:sz w:val="24"/>
                <w:szCs w:val="24"/>
              </w:rPr>
              <w:t>8</w:t>
            </w:r>
            <w:r>
              <w:rPr>
                <w:color w:val="000000"/>
                <w:sz w:val="24"/>
                <w:szCs w:val="24"/>
              </w:rPr>
              <w:t>年</w:t>
            </w:r>
          </w:p>
        </w:tc>
        <w:tc>
          <w:tcPr>
            <w:tcW w:w="2673" w:type="dxa"/>
            <w:vAlign w:val="center"/>
          </w:tcPr>
          <w:p w:rsidR="006B7DA9" w:rsidRDefault="004323A7">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6B7DA9" w:rsidRDefault="004323A7">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B7DA9" w:rsidRDefault="004323A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B7DA9" w:rsidRDefault="004323A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B7DA9" w:rsidRDefault="004323A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B7DA9" w:rsidRDefault="004323A7">
      <w:pPr>
        <w:spacing w:before="29" w:line="288" w:lineRule="auto"/>
        <w:ind w:firstLineChars="200" w:firstLine="480"/>
        <w:rPr>
          <w:color w:val="000000"/>
          <w:sz w:val="24"/>
          <w:szCs w:val="24"/>
        </w:rPr>
      </w:pPr>
      <w:r>
        <w:rPr>
          <w:color w:val="000000"/>
          <w:sz w:val="24"/>
          <w:szCs w:val="24"/>
        </w:rPr>
        <w:t>2016</w:t>
      </w:r>
      <w:r>
        <w:rPr>
          <w:color w:val="000000"/>
          <w:sz w:val="24"/>
          <w:szCs w:val="24"/>
        </w:rPr>
        <w:t>年二季度整个</w:t>
      </w:r>
      <w:r>
        <w:rPr>
          <w:color w:val="000000"/>
          <w:sz w:val="24"/>
          <w:szCs w:val="24"/>
        </w:rPr>
        <w:t>A</w:t>
      </w:r>
      <w:r>
        <w:rPr>
          <w:color w:val="000000"/>
          <w:sz w:val="24"/>
          <w:szCs w:val="24"/>
        </w:rPr>
        <w:t>股市场呈现震荡小幅上行的走势，经过一季度风险大幅释放，随着</w:t>
      </w:r>
      <w:r>
        <w:rPr>
          <w:color w:val="000000"/>
          <w:sz w:val="24"/>
          <w:szCs w:val="24"/>
        </w:rPr>
        <w:t>3</w:t>
      </w:r>
      <w:r>
        <w:rPr>
          <w:color w:val="000000"/>
          <w:sz w:val="24"/>
          <w:szCs w:val="24"/>
        </w:rPr>
        <w:t>月份美元加息预期落空，加上局部流动性波动和信用违约等宏观风险的释放，整体市场的风险偏好有所修复。从市场表现上看，</w:t>
      </w:r>
      <w:r>
        <w:rPr>
          <w:color w:val="000000"/>
          <w:sz w:val="24"/>
          <w:szCs w:val="24"/>
        </w:rPr>
        <w:t>2016</w:t>
      </w:r>
      <w:r>
        <w:rPr>
          <w:color w:val="000000"/>
          <w:sz w:val="24"/>
          <w:szCs w:val="24"/>
        </w:rPr>
        <w:t>年一季度在流动性再次宽松的预期落空后，整体周期板块表现相对弱势，部分消费板块走强，与新兴制造相关的板块与主题表现活跃。</w:t>
      </w:r>
    </w:p>
    <w:p w:rsidR="006B7DA9" w:rsidRDefault="004323A7">
      <w:pPr>
        <w:spacing w:before="29" w:line="288" w:lineRule="auto"/>
        <w:ind w:firstLineChars="200" w:firstLine="480"/>
        <w:rPr>
          <w:color w:val="000000"/>
          <w:sz w:val="24"/>
          <w:szCs w:val="24"/>
        </w:rPr>
      </w:pPr>
      <w:r>
        <w:rPr>
          <w:color w:val="000000"/>
          <w:sz w:val="24"/>
          <w:szCs w:val="24"/>
        </w:rPr>
        <w:t>在上述市场环境中，考虑到经济的不确定性风险和市场的供给压力，本基金在主题的布局上相对保守，此外考虑到传统消费与周期板块的历史轮动特征，也未大规模参与消费。</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年三季度，整个经济和市场形势的风险有所缓和，虽然中期市场的供需格局难言大幅改善，但考虑到目前已知风险的预期都逐步有所兑现和</w:t>
      </w:r>
      <w:r w:rsidRPr="00414345">
        <w:rPr>
          <w:color w:val="000000"/>
          <w:sz w:val="24"/>
          <w:szCs w:val="24"/>
        </w:rPr>
        <w:t>G20</w:t>
      </w:r>
      <w:r w:rsidRPr="00414345">
        <w:rPr>
          <w:color w:val="000000"/>
          <w:sz w:val="24"/>
          <w:szCs w:val="24"/>
        </w:rPr>
        <w:t>召开对市场预期的稳定需求，我们预测整体上</w:t>
      </w:r>
      <w:r w:rsidRPr="00414345">
        <w:rPr>
          <w:color w:val="000000"/>
          <w:sz w:val="24"/>
          <w:szCs w:val="24"/>
        </w:rPr>
        <w:t>2016</w:t>
      </w:r>
      <w:r w:rsidRPr="00414345">
        <w:rPr>
          <w:color w:val="000000"/>
          <w:sz w:val="24"/>
          <w:szCs w:val="24"/>
        </w:rPr>
        <w:t>年三季度的市场环境有望阶段性好转。中期来看，中国经济的复杂性和中长期问题的积累依然难言有实质性大幅改善，因此对中期中国的经济预期与企业的盈利能力没有过高预期，但货币环境与现有经济环境下对大类资产配置的需求对市场的估值体系弹性会形成支撑。在上述大环境下，本基金倾向于在</w:t>
      </w:r>
      <w:r w:rsidRPr="00414345">
        <w:rPr>
          <w:color w:val="000000"/>
          <w:sz w:val="24"/>
          <w:szCs w:val="24"/>
        </w:rPr>
        <w:t>2016</w:t>
      </w:r>
      <w:r w:rsidRPr="00414345">
        <w:rPr>
          <w:color w:val="000000"/>
          <w:sz w:val="24"/>
          <w:szCs w:val="24"/>
        </w:rPr>
        <w:t>年三季度相对友好的市场环境中更为积极主动。在上述基本判断的背景下，本基金将更加勤勉地深入研究与寻找优秀的投资标的，同时秉承均衡稳健的配置原则，持续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0.8039</w:t>
      </w:r>
      <w:r w:rsidRPr="00414345">
        <w:rPr>
          <w:color w:val="000000"/>
          <w:sz w:val="24"/>
          <w:szCs w:val="24"/>
        </w:rPr>
        <w:t>元，本报告期份额净值增长率为</w:t>
      </w:r>
      <w:r w:rsidRPr="00414345">
        <w:rPr>
          <w:color w:val="000000"/>
          <w:sz w:val="24"/>
          <w:szCs w:val="24"/>
        </w:rPr>
        <w:t>0.25%</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323A7">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323A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2,168,830,889.83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2,168,830,889.83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43,904,221.95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267,742,741.41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4,997,668.81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2,625,475,522.00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269,917,352.90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818,875,652.49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124,747,184.85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426,897,642.68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198,613,746.76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107,086,731.06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22,882,398.12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71,232,039.00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128,578,141.97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2,168,830,889.83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83.74</w:t>
            </w:r>
          </w:p>
        </w:tc>
      </w:tr>
    </w:tbl>
    <w:p w:rsidR="00F51C4E" w:rsidRPr="004323A7" w:rsidRDefault="00F51C4E" w:rsidP="004323A7">
      <w:pPr>
        <w:rPr>
          <w:rFonts w:eastAsiaTheme="minorEastAsia"/>
          <w:b/>
          <w:color w:val="000000" w:themeColor="text1"/>
          <w:kern w:val="0"/>
          <w:sz w:val="24"/>
        </w:rPr>
      </w:pPr>
      <w:r w:rsidRPr="004323A7">
        <w:rPr>
          <w:rFonts w:eastAsiaTheme="minorEastAsia" w:hint="eastAsia"/>
          <w:b/>
          <w:color w:val="000000" w:themeColor="text1"/>
          <w:kern w:val="0"/>
          <w:sz w:val="24"/>
        </w:rPr>
        <w:t>5.2.2</w:t>
      </w:r>
      <w:r w:rsidRPr="004323A7">
        <w:rPr>
          <w:rFonts w:eastAsiaTheme="minorEastAsia" w:hint="eastAsia"/>
          <w:b/>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B7DA9">
        <w:trPr>
          <w:jc w:val="center"/>
        </w:trPr>
        <w:tc>
          <w:tcPr>
            <w:tcW w:w="855" w:type="dxa"/>
            <w:vAlign w:val="center"/>
          </w:tcPr>
          <w:p w:rsidR="006B7DA9" w:rsidRDefault="004323A7">
            <w:pPr>
              <w:jc w:val="center"/>
            </w:pPr>
            <w:r>
              <w:rPr>
                <w:color w:val="000000"/>
                <w:sz w:val="24"/>
                <w:szCs w:val="24"/>
              </w:rPr>
              <w:t>1</w:t>
            </w:r>
          </w:p>
        </w:tc>
        <w:tc>
          <w:tcPr>
            <w:tcW w:w="1334" w:type="dxa"/>
            <w:vAlign w:val="center"/>
          </w:tcPr>
          <w:p w:rsidR="006B7DA9" w:rsidRDefault="004323A7">
            <w:pPr>
              <w:jc w:val="center"/>
            </w:pPr>
            <w:r>
              <w:rPr>
                <w:color w:val="000000"/>
                <w:sz w:val="24"/>
                <w:szCs w:val="24"/>
              </w:rPr>
              <w:t>603555</w:t>
            </w:r>
          </w:p>
        </w:tc>
        <w:tc>
          <w:tcPr>
            <w:tcW w:w="1777" w:type="dxa"/>
            <w:vAlign w:val="center"/>
          </w:tcPr>
          <w:p w:rsidR="006B7DA9" w:rsidRDefault="004323A7">
            <w:pPr>
              <w:jc w:val="center"/>
            </w:pPr>
            <w:r>
              <w:rPr>
                <w:color w:val="000000"/>
                <w:sz w:val="24"/>
                <w:szCs w:val="24"/>
              </w:rPr>
              <w:t>贵人鸟</w:t>
            </w:r>
          </w:p>
        </w:tc>
        <w:tc>
          <w:tcPr>
            <w:tcW w:w="1334" w:type="dxa"/>
            <w:vAlign w:val="center"/>
          </w:tcPr>
          <w:p w:rsidR="006B7DA9" w:rsidRDefault="004323A7">
            <w:pPr>
              <w:jc w:val="right"/>
            </w:pPr>
            <w:r>
              <w:rPr>
                <w:color w:val="000000"/>
                <w:sz w:val="24"/>
                <w:szCs w:val="24"/>
              </w:rPr>
              <w:t>6,528,987</w:t>
            </w:r>
          </w:p>
        </w:tc>
        <w:tc>
          <w:tcPr>
            <w:tcW w:w="1924" w:type="dxa"/>
            <w:vAlign w:val="center"/>
          </w:tcPr>
          <w:p w:rsidR="006B7DA9" w:rsidRDefault="004323A7">
            <w:pPr>
              <w:jc w:val="right"/>
            </w:pPr>
            <w:r>
              <w:rPr>
                <w:color w:val="000000"/>
                <w:sz w:val="24"/>
                <w:szCs w:val="24"/>
              </w:rPr>
              <w:t>162,767,645.91</w:t>
            </w:r>
          </w:p>
        </w:tc>
        <w:tc>
          <w:tcPr>
            <w:tcW w:w="1644" w:type="dxa"/>
            <w:vAlign w:val="center"/>
          </w:tcPr>
          <w:p w:rsidR="006B7DA9" w:rsidRDefault="004323A7">
            <w:pPr>
              <w:jc w:val="right"/>
            </w:pPr>
            <w:r>
              <w:rPr>
                <w:color w:val="000000"/>
                <w:sz w:val="24"/>
                <w:szCs w:val="24"/>
              </w:rPr>
              <w:t>6.28</w:t>
            </w:r>
          </w:p>
        </w:tc>
      </w:tr>
      <w:tr w:rsidR="006B7DA9">
        <w:trPr>
          <w:jc w:val="center"/>
        </w:trPr>
        <w:tc>
          <w:tcPr>
            <w:tcW w:w="855" w:type="dxa"/>
            <w:vAlign w:val="center"/>
          </w:tcPr>
          <w:p w:rsidR="006B7DA9" w:rsidRDefault="004323A7">
            <w:pPr>
              <w:jc w:val="center"/>
            </w:pPr>
            <w:r>
              <w:rPr>
                <w:color w:val="000000"/>
                <w:sz w:val="24"/>
                <w:szCs w:val="24"/>
              </w:rPr>
              <w:t>2</w:t>
            </w:r>
          </w:p>
        </w:tc>
        <w:tc>
          <w:tcPr>
            <w:tcW w:w="1334" w:type="dxa"/>
            <w:vAlign w:val="center"/>
          </w:tcPr>
          <w:p w:rsidR="006B7DA9" w:rsidRDefault="004323A7">
            <w:pPr>
              <w:jc w:val="center"/>
            </w:pPr>
            <w:r>
              <w:rPr>
                <w:color w:val="000000"/>
                <w:sz w:val="24"/>
                <w:szCs w:val="24"/>
              </w:rPr>
              <w:t>600900</w:t>
            </w:r>
          </w:p>
        </w:tc>
        <w:tc>
          <w:tcPr>
            <w:tcW w:w="1777" w:type="dxa"/>
            <w:vAlign w:val="center"/>
          </w:tcPr>
          <w:p w:rsidR="006B7DA9" w:rsidRDefault="004323A7">
            <w:pPr>
              <w:jc w:val="center"/>
            </w:pPr>
            <w:r>
              <w:rPr>
                <w:color w:val="000000"/>
                <w:sz w:val="24"/>
                <w:szCs w:val="24"/>
              </w:rPr>
              <w:t>长江电力</w:t>
            </w:r>
          </w:p>
        </w:tc>
        <w:tc>
          <w:tcPr>
            <w:tcW w:w="1334" w:type="dxa"/>
            <w:vAlign w:val="center"/>
          </w:tcPr>
          <w:p w:rsidR="006B7DA9" w:rsidRDefault="004323A7">
            <w:pPr>
              <w:jc w:val="right"/>
            </w:pPr>
            <w:r>
              <w:rPr>
                <w:color w:val="000000"/>
                <w:sz w:val="24"/>
                <w:szCs w:val="24"/>
              </w:rPr>
              <w:t>9,987,765</w:t>
            </w:r>
          </w:p>
        </w:tc>
        <w:tc>
          <w:tcPr>
            <w:tcW w:w="1924" w:type="dxa"/>
            <w:vAlign w:val="center"/>
          </w:tcPr>
          <w:p w:rsidR="006B7DA9" w:rsidRDefault="004323A7">
            <w:pPr>
              <w:jc w:val="right"/>
            </w:pPr>
            <w:r>
              <w:rPr>
                <w:color w:val="000000"/>
                <w:sz w:val="24"/>
                <w:szCs w:val="24"/>
              </w:rPr>
              <w:t>124,747,184.85</w:t>
            </w:r>
          </w:p>
        </w:tc>
        <w:tc>
          <w:tcPr>
            <w:tcW w:w="1644" w:type="dxa"/>
            <w:vAlign w:val="center"/>
          </w:tcPr>
          <w:p w:rsidR="006B7DA9" w:rsidRDefault="004323A7">
            <w:pPr>
              <w:jc w:val="right"/>
            </w:pPr>
            <w:r>
              <w:rPr>
                <w:color w:val="000000"/>
                <w:sz w:val="24"/>
                <w:szCs w:val="24"/>
              </w:rPr>
              <w:t>4.82</w:t>
            </w:r>
          </w:p>
        </w:tc>
      </w:tr>
      <w:tr w:rsidR="006B7DA9">
        <w:trPr>
          <w:jc w:val="center"/>
        </w:trPr>
        <w:tc>
          <w:tcPr>
            <w:tcW w:w="855" w:type="dxa"/>
            <w:vAlign w:val="center"/>
          </w:tcPr>
          <w:p w:rsidR="006B7DA9" w:rsidRDefault="004323A7">
            <w:pPr>
              <w:jc w:val="center"/>
            </w:pPr>
            <w:r>
              <w:rPr>
                <w:color w:val="000000"/>
                <w:sz w:val="24"/>
                <w:szCs w:val="24"/>
              </w:rPr>
              <w:t>3</w:t>
            </w:r>
          </w:p>
        </w:tc>
        <w:tc>
          <w:tcPr>
            <w:tcW w:w="1334" w:type="dxa"/>
            <w:vAlign w:val="center"/>
          </w:tcPr>
          <w:p w:rsidR="006B7DA9" w:rsidRDefault="004323A7">
            <w:pPr>
              <w:jc w:val="center"/>
            </w:pPr>
            <w:r>
              <w:rPr>
                <w:color w:val="000000"/>
                <w:sz w:val="24"/>
                <w:szCs w:val="24"/>
              </w:rPr>
              <w:t>002555</w:t>
            </w:r>
          </w:p>
        </w:tc>
        <w:tc>
          <w:tcPr>
            <w:tcW w:w="1777" w:type="dxa"/>
            <w:vAlign w:val="center"/>
          </w:tcPr>
          <w:p w:rsidR="006B7DA9" w:rsidRDefault="004323A7">
            <w:pPr>
              <w:jc w:val="center"/>
            </w:pPr>
            <w:r>
              <w:rPr>
                <w:color w:val="000000"/>
                <w:sz w:val="24"/>
                <w:szCs w:val="24"/>
              </w:rPr>
              <w:t>三七互娱</w:t>
            </w:r>
          </w:p>
        </w:tc>
        <w:tc>
          <w:tcPr>
            <w:tcW w:w="1334" w:type="dxa"/>
            <w:vAlign w:val="center"/>
          </w:tcPr>
          <w:p w:rsidR="006B7DA9" w:rsidRDefault="004323A7">
            <w:pPr>
              <w:jc w:val="right"/>
            </w:pPr>
            <w:r>
              <w:rPr>
                <w:color w:val="000000"/>
                <w:sz w:val="24"/>
                <w:szCs w:val="24"/>
              </w:rPr>
              <w:t>5,622,200</w:t>
            </w:r>
          </w:p>
        </w:tc>
        <w:tc>
          <w:tcPr>
            <w:tcW w:w="1924" w:type="dxa"/>
            <w:vAlign w:val="center"/>
          </w:tcPr>
          <w:p w:rsidR="006B7DA9" w:rsidRDefault="004323A7">
            <w:pPr>
              <w:jc w:val="right"/>
            </w:pPr>
            <w:r>
              <w:rPr>
                <w:color w:val="000000"/>
                <w:sz w:val="24"/>
                <w:szCs w:val="24"/>
              </w:rPr>
              <w:t>120,371,302.00</w:t>
            </w:r>
          </w:p>
        </w:tc>
        <w:tc>
          <w:tcPr>
            <w:tcW w:w="1644" w:type="dxa"/>
            <w:vAlign w:val="center"/>
          </w:tcPr>
          <w:p w:rsidR="006B7DA9" w:rsidRDefault="004323A7">
            <w:pPr>
              <w:jc w:val="right"/>
            </w:pPr>
            <w:r>
              <w:rPr>
                <w:color w:val="000000"/>
                <w:sz w:val="24"/>
                <w:szCs w:val="24"/>
              </w:rPr>
              <w:t>4.65</w:t>
            </w:r>
          </w:p>
        </w:tc>
      </w:tr>
      <w:tr w:rsidR="006B7DA9">
        <w:trPr>
          <w:jc w:val="center"/>
        </w:trPr>
        <w:tc>
          <w:tcPr>
            <w:tcW w:w="855" w:type="dxa"/>
            <w:vAlign w:val="center"/>
          </w:tcPr>
          <w:p w:rsidR="006B7DA9" w:rsidRDefault="004323A7">
            <w:pPr>
              <w:jc w:val="center"/>
            </w:pPr>
            <w:r>
              <w:rPr>
                <w:color w:val="000000"/>
                <w:sz w:val="24"/>
                <w:szCs w:val="24"/>
              </w:rPr>
              <w:t>4</w:t>
            </w:r>
          </w:p>
        </w:tc>
        <w:tc>
          <w:tcPr>
            <w:tcW w:w="1334" w:type="dxa"/>
            <w:vAlign w:val="center"/>
          </w:tcPr>
          <w:p w:rsidR="006B7DA9" w:rsidRDefault="004323A7">
            <w:pPr>
              <w:jc w:val="center"/>
            </w:pPr>
            <w:r>
              <w:rPr>
                <w:color w:val="000000"/>
                <w:sz w:val="24"/>
                <w:szCs w:val="24"/>
              </w:rPr>
              <w:t>600325</w:t>
            </w:r>
          </w:p>
        </w:tc>
        <w:tc>
          <w:tcPr>
            <w:tcW w:w="1777" w:type="dxa"/>
            <w:vAlign w:val="center"/>
          </w:tcPr>
          <w:p w:rsidR="006B7DA9" w:rsidRDefault="004323A7">
            <w:pPr>
              <w:jc w:val="center"/>
            </w:pPr>
            <w:r>
              <w:rPr>
                <w:color w:val="000000"/>
                <w:sz w:val="24"/>
                <w:szCs w:val="24"/>
              </w:rPr>
              <w:t>华发股份</w:t>
            </w:r>
          </w:p>
        </w:tc>
        <w:tc>
          <w:tcPr>
            <w:tcW w:w="1334" w:type="dxa"/>
            <w:vAlign w:val="center"/>
          </w:tcPr>
          <w:p w:rsidR="006B7DA9" w:rsidRDefault="004323A7">
            <w:pPr>
              <w:jc w:val="right"/>
            </w:pPr>
            <w:r>
              <w:rPr>
                <w:color w:val="000000"/>
                <w:sz w:val="24"/>
                <w:szCs w:val="24"/>
              </w:rPr>
              <w:t>10,454,268</w:t>
            </w:r>
          </w:p>
        </w:tc>
        <w:tc>
          <w:tcPr>
            <w:tcW w:w="1924" w:type="dxa"/>
            <w:vAlign w:val="center"/>
          </w:tcPr>
          <w:p w:rsidR="006B7DA9" w:rsidRDefault="004323A7">
            <w:pPr>
              <w:jc w:val="right"/>
            </w:pPr>
            <w:r>
              <w:rPr>
                <w:color w:val="000000"/>
                <w:sz w:val="24"/>
                <w:szCs w:val="24"/>
              </w:rPr>
              <w:t>115,728,746.76</w:t>
            </w:r>
          </w:p>
        </w:tc>
        <w:tc>
          <w:tcPr>
            <w:tcW w:w="1644" w:type="dxa"/>
            <w:vAlign w:val="center"/>
          </w:tcPr>
          <w:p w:rsidR="006B7DA9" w:rsidRDefault="004323A7">
            <w:pPr>
              <w:jc w:val="right"/>
            </w:pPr>
            <w:r>
              <w:rPr>
                <w:color w:val="000000"/>
                <w:sz w:val="24"/>
                <w:szCs w:val="24"/>
              </w:rPr>
              <w:t>4.47</w:t>
            </w:r>
          </w:p>
        </w:tc>
      </w:tr>
      <w:tr w:rsidR="006B7DA9">
        <w:trPr>
          <w:jc w:val="center"/>
        </w:trPr>
        <w:tc>
          <w:tcPr>
            <w:tcW w:w="855" w:type="dxa"/>
            <w:vAlign w:val="center"/>
          </w:tcPr>
          <w:p w:rsidR="006B7DA9" w:rsidRDefault="004323A7">
            <w:pPr>
              <w:jc w:val="center"/>
            </w:pPr>
            <w:r>
              <w:rPr>
                <w:color w:val="000000"/>
                <w:sz w:val="24"/>
                <w:szCs w:val="24"/>
              </w:rPr>
              <w:t>5</w:t>
            </w:r>
          </w:p>
        </w:tc>
        <w:tc>
          <w:tcPr>
            <w:tcW w:w="1334" w:type="dxa"/>
            <w:vAlign w:val="center"/>
          </w:tcPr>
          <w:p w:rsidR="006B7DA9" w:rsidRDefault="004323A7">
            <w:pPr>
              <w:jc w:val="center"/>
            </w:pPr>
            <w:r>
              <w:rPr>
                <w:color w:val="000000"/>
                <w:sz w:val="24"/>
                <w:szCs w:val="24"/>
              </w:rPr>
              <w:t>000983</w:t>
            </w:r>
          </w:p>
        </w:tc>
        <w:tc>
          <w:tcPr>
            <w:tcW w:w="1777" w:type="dxa"/>
            <w:vAlign w:val="center"/>
          </w:tcPr>
          <w:p w:rsidR="006B7DA9" w:rsidRDefault="004323A7">
            <w:pPr>
              <w:jc w:val="center"/>
            </w:pPr>
            <w:r>
              <w:rPr>
                <w:color w:val="000000"/>
                <w:sz w:val="24"/>
                <w:szCs w:val="24"/>
              </w:rPr>
              <w:t>西山煤电</w:t>
            </w:r>
          </w:p>
        </w:tc>
        <w:tc>
          <w:tcPr>
            <w:tcW w:w="1334" w:type="dxa"/>
            <w:vAlign w:val="center"/>
          </w:tcPr>
          <w:p w:rsidR="006B7DA9" w:rsidRDefault="004323A7">
            <w:pPr>
              <w:jc w:val="right"/>
            </w:pPr>
            <w:r>
              <w:rPr>
                <w:color w:val="000000"/>
                <w:sz w:val="24"/>
                <w:szCs w:val="24"/>
              </w:rPr>
              <w:t>13,200,000</w:t>
            </w:r>
          </w:p>
        </w:tc>
        <w:tc>
          <w:tcPr>
            <w:tcW w:w="1924" w:type="dxa"/>
            <w:vAlign w:val="center"/>
          </w:tcPr>
          <w:p w:rsidR="006B7DA9" w:rsidRDefault="004323A7">
            <w:pPr>
              <w:jc w:val="right"/>
            </w:pPr>
            <w:r>
              <w:rPr>
                <w:color w:val="000000"/>
                <w:sz w:val="24"/>
                <w:szCs w:val="24"/>
              </w:rPr>
              <w:t>107,580,000.00</w:t>
            </w:r>
          </w:p>
        </w:tc>
        <w:tc>
          <w:tcPr>
            <w:tcW w:w="1644" w:type="dxa"/>
            <w:vAlign w:val="center"/>
          </w:tcPr>
          <w:p w:rsidR="006B7DA9" w:rsidRDefault="004323A7">
            <w:pPr>
              <w:jc w:val="right"/>
            </w:pPr>
            <w:r>
              <w:rPr>
                <w:color w:val="000000"/>
                <w:sz w:val="24"/>
                <w:szCs w:val="24"/>
              </w:rPr>
              <w:t>4.15</w:t>
            </w:r>
          </w:p>
        </w:tc>
      </w:tr>
      <w:tr w:rsidR="006B7DA9">
        <w:trPr>
          <w:jc w:val="center"/>
        </w:trPr>
        <w:tc>
          <w:tcPr>
            <w:tcW w:w="855" w:type="dxa"/>
            <w:vAlign w:val="center"/>
          </w:tcPr>
          <w:p w:rsidR="006B7DA9" w:rsidRDefault="004323A7">
            <w:pPr>
              <w:jc w:val="center"/>
            </w:pPr>
            <w:r>
              <w:rPr>
                <w:color w:val="000000"/>
                <w:sz w:val="24"/>
                <w:szCs w:val="24"/>
              </w:rPr>
              <w:t>6</w:t>
            </w:r>
          </w:p>
        </w:tc>
        <w:tc>
          <w:tcPr>
            <w:tcW w:w="1334" w:type="dxa"/>
            <w:vAlign w:val="center"/>
          </w:tcPr>
          <w:p w:rsidR="006B7DA9" w:rsidRDefault="004323A7">
            <w:pPr>
              <w:jc w:val="center"/>
            </w:pPr>
            <w:r>
              <w:rPr>
                <w:color w:val="000000"/>
                <w:sz w:val="24"/>
                <w:szCs w:val="24"/>
              </w:rPr>
              <w:t>300226</w:t>
            </w:r>
          </w:p>
        </w:tc>
        <w:tc>
          <w:tcPr>
            <w:tcW w:w="1777" w:type="dxa"/>
            <w:vAlign w:val="center"/>
          </w:tcPr>
          <w:p w:rsidR="006B7DA9" w:rsidRDefault="004323A7">
            <w:pPr>
              <w:jc w:val="center"/>
            </w:pPr>
            <w:r>
              <w:rPr>
                <w:color w:val="000000"/>
                <w:sz w:val="24"/>
                <w:szCs w:val="24"/>
              </w:rPr>
              <w:t>上海钢联</w:t>
            </w:r>
          </w:p>
        </w:tc>
        <w:tc>
          <w:tcPr>
            <w:tcW w:w="1334" w:type="dxa"/>
            <w:vAlign w:val="center"/>
          </w:tcPr>
          <w:p w:rsidR="006B7DA9" w:rsidRDefault="004323A7">
            <w:pPr>
              <w:jc w:val="right"/>
            </w:pPr>
            <w:r>
              <w:rPr>
                <w:color w:val="000000"/>
                <w:sz w:val="24"/>
                <w:szCs w:val="24"/>
              </w:rPr>
              <w:t>1,718,499</w:t>
            </w:r>
          </w:p>
        </w:tc>
        <w:tc>
          <w:tcPr>
            <w:tcW w:w="1924" w:type="dxa"/>
            <w:vAlign w:val="center"/>
          </w:tcPr>
          <w:p w:rsidR="006B7DA9" w:rsidRDefault="004323A7">
            <w:pPr>
              <w:jc w:val="right"/>
            </w:pPr>
            <w:r>
              <w:rPr>
                <w:color w:val="000000"/>
                <w:sz w:val="24"/>
                <w:szCs w:val="24"/>
              </w:rPr>
              <w:t>86,612,349.60</w:t>
            </w:r>
          </w:p>
        </w:tc>
        <w:tc>
          <w:tcPr>
            <w:tcW w:w="1644" w:type="dxa"/>
            <w:vAlign w:val="center"/>
          </w:tcPr>
          <w:p w:rsidR="006B7DA9" w:rsidRDefault="004323A7">
            <w:pPr>
              <w:jc w:val="right"/>
            </w:pPr>
            <w:r>
              <w:rPr>
                <w:color w:val="000000"/>
                <w:sz w:val="24"/>
                <w:szCs w:val="24"/>
              </w:rPr>
              <w:t>3.34</w:t>
            </w:r>
          </w:p>
        </w:tc>
      </w:tr>
      <w:tr w:rsidR="006B7DA9">
        <w:trPr>
          <w:jc w:val="center"/>
        </w:trPr>
        <w:tc>
          <w:tcPr>
            <w:tcW w:w="855" w:type="dxa"/>
            <w:vAlign w:val="center"/>
          </w:tcPr>
          <w:p w:rsidR="006B7DA9" w:rsidRDefault="004323A7">
            <w:pPr>
              <w:jc w:val="center"/>
            </w:pPr>
            <w:r>
              <w:rPr>
                <w:color w:val="000000"/>
                <w:sz w:val="24"/>
                <w:szCs w:val="24"/>
              </w:rPr>
              <w:t>7</w:t>
            </w:r>
          </w:p>
        </w:tc>
        <w:tc>
          <w:tcPr>
            <w:tcW w:w="1334" w:type="dxa"/>
            <w:vAlign w:val="center"/>
          </w:tcPr>
          <w:p w:rsidR="006B7DA9" w:rsidRDefault="004323A7">
            <w:pPr>
              <w:jc w:val="center"/>
            </w:pPr>
            <w:r>
              <w:rPr>
                <w:color w:val="000000"/>
                <w:sz w:val="24"/>
                <w:szCs w:val="24"/>
              </w:rPr>
              <w:t>601699</w:t>
            </w:r>
          </w:p>
        </w:tc>
        <w:tc>
          <w:tcPr>
            <w:tcW w:w="1777" w:type="dxa"/>
            <w:vAlign w:val="center"/>
          </w:tcPr>
          <w:p w:rsidR="006B7DA9" w:rsidRDefault="004323A7">
            <w:pPr>
              <w:jc w:val="center"/>
            </w:pPr>
            <w:r>
              <w:rPr>
                <w:color w:val="000000"/>
                <w:sz w:val="24"/>
                <w:szCs w:val="24"/>
              </w:rPr>
              <w:t>潞安环能</w:t>
            </w:r>
          </w:p>
        </w:tc>
        <w:tc>
          <w:tcPr>
            <w:tcW w:w="1334" w:type="dxa"/>
            <w:vAlign w:val="center"/>
          </w:tcPr>
          <w:p w:rsidR="006B7DA9" w:rsidRDefault="004323A7">
            <w:pPr>
              <w:jc w:val="right"/>
            </w:pPr>
            <w:r>
              <w:rPr>
                <w:color w:val="000000"/>
                <w:sz w:val="24"/>
                <w:szCs w:val="24"/>
              </w:rPr>
              <w:t>12,972,870</w:t>
            </w:r>
          </w:p>
        </w:tc>
        <w:tc>
          <w:tcPr>
            <w:tcW w:w="1924" w:type="dxa"/>
            <w:vAlign w:val="center"/>
          </w:tcPr>
          <w:p w:rsidR="006B7DA9" w:rsidRDefault="004323A7">
            <w:pPr>
              <w:jc w:val="right"/>
            </w:pPr>
            <w:r>
              <w:rPr>
                <w:color w:val="000000"/>
                <w:sz w:val="24"/>
                <w:szCs w:val="24"/>
              </w:rPr>
              <w:t>84,842,569.80</w:t>
            </w:r>
          </w:p>
        </w:tc>
        <w:tc>
          <w:tcPr>
            <w:tcW w:w="1644" w:type="dxa"/>
            <w:vAlign w:val="center"/>
          </w:tcPr>
          <w:p w:rsidR="006B7DA9" w:rsidRDefault="004323A7">
            <w:pPr>
              <w:jc w:val="right"/>
            </w:pPr>
            <w:r>
              <w:rPr>
                <w:color w:val="000000"/>
                <w:sz w:val="24"/>
                <w:szCs w:val="24"/>
              </w:rPr>
              <w:t>3.28</w:t>
            </w:r>
          </w:p>
        </w:tc>
      </w:tr>
      <w:tr w:rsidR="006B7DA9">
        <w:trPr>
          <w:jc w:val="center"/>
        </w:trPr>
        <w:tc>
          <w:tcPr>
            <w:tcW w:w="855" w:type="dxa"/>
            <w:vAlign w:val="center"/>
          </w:tcPr>
          <w:p w:rsidR="006B7DA9" w:rsidRDefault="004323A7">
            <w:pPr>
              <w:jc w:val="center"/>
            </w:pPr>
            <w:r>
              <w:rPr>
                <w:color w:val="000000"/>
                <w:sz w:val="24"/>
                <w:szCs w:val="24"/>
              </w:rPr>
              <w:t>8</w:t>
            </w:r>
          </w:p>
        </w:tc>
        <w:tc>
          <w:tcPr>
            <w:tcW w:w="1334" w:type="dxa"/>
            <w:vAlign w:val="center"/>
          </w:tcPr>
          <w:p w:rsidR="006B7DA9" w:rsidRDefault="004323A7">
            <w:pPr>
              <w:jc w:val="center"/>
            </w:pPr>
            <w:r>
              <w:rPr>
                <w:color w:val="000000"/>
                <w:sz w:val="24"/>
                <w:szCs w:val="24"/>
              </w:rPr>
              <w:t>300279</w:t>
            </w:r>
          </w:p>
        </w:tc>
        <w:tc>
          <w:tcPr>
            <w:tcW w:w="1777" w:type="dxa"/>
            <w:vAlign w:val="center"/>
          </w:tcPr>
          <w:p w:rsidR="006B7DA9" w:rsidRDefault="004323A7">
            <w:pPr>
              <w:jc w:val="center"/>
            </w:pPr>
            <w:r>
              <w:rPr>
                <w:color w:val="000000"/>
                <w:sz w:val="24"/>
                <w:szCs w:val="24"/>
              </w:rPr>
              <w:t>和晶科技</w:t>
            </w:r>
          </w:p>
        </w:tc>
        <w:tc>
          <w:tcPr>
            <w:tcW w:w="1334" w:type="dxa"/>
            <w:vAlign w:val="center"/>
          </w:tcPr>
          <w:p w:rsidR="006B7DA9" w:rsidRDefault="004323A7">
            <w:pPr>
              <w:jc w:val="right"/>
            </w:pPr>
            <w:r>
              <w:rPr>
                <w:color w:val="000000"/>
                <w:sz w:val="24"/>
                <w:szCs w:val="24"/>
              </w:rPr>
              <w:t>1,692,568</w:t>
            </w:r>
          </w:p>
        </w:tc>
        <w:tc>
          <w:tcPr>
            <w:tcW w:w="1924" w:type="dxa"/>
            <w:vAlign w:val="center"/>
          </w:tcPr>
          <w:p w:rsidR="006B7DA9" w:rsidRDefault="004323A7">
            <w:pPr>
              <w:jc w:val="right"/>
            </w:pPr>
            <w:r>
              <w:rPr>
                <w:color w:val="000000"/>
                <w:sz w:val="24"/>
                <w:szCs w:val="24"/>
              </w:rPr>
              <w:t>80,380,054.32</w:t>
            </w:r>
          </w:p>
        </w:tc>
        <w:tc>
          <w:tcPr>
            <w:tcW w:w="1644" w:type="dxa"/>
            <w:vAlign w:val="center"/>
          </w:tcPr>
          <w:p w:rsidR="006B7DA9" w:rsidRDefault="004323A7">
            <w:pPr>
              <w:jc w:val="right"/>
            </w:pPr>
            <w:r>
              <w:rPr>
                <w:color w:val="000000"/>
                <w:sz w:val="24"/>
                <w:szCs w:val="24"/>
              </w:rPr>
              <w:t>3.10</w:t>
            </w:r>
          </w:p>
        </w:tc>
      </w:tr>
      <w:tr w:rsidR="006B7DA9">
        <w:trPr>
          <w:jc w:val="center"/>
        </w:trPr>
        <w:tc>
          <w:tcPr>
            <w:tcW w:w="855" w:type="dxa"/>
            <w:vAlign w:val="center"/>
          </w:tcPr>
          <w:p w:rsidR="006B7DA9" w:rsidRDefault="004323A7">
            <w:pPr>
              <w:jc w:val="center"/>
            </w:pPr>
            <w:r>
              <w:rPr>
                <w:color w:val="000000"/>
                <w:sz w:val="24"/>
                <w:szCs w:val="24"/>
              </w:rPr>
              <w:t>9</w:t>
            </w:r>
          </w:p>
        </w:tc>
        <w:tc>
          <w:tcPr>
            <w:tcW w:w="1334" w:type="dxa"/>
            <w:vAlign w:val="center"/>
          </w:tcPr>
          <w:p w:rsidR="006B7DA9" w:rsidRDefault="004323A7">
            <w:pPr>
              <w:jc w:val="center"/>
            </w:pPr>
            <w:r>
              <w:rPr>
                <w:color w:val="000000"/>
                <w:sz w:val="24"/>
                <w:szCs w:val="24"/>
              </w:rPr>
              <w:t>300059</w:t>
            </w:r>
          </w:p>
        </w:tc>
        <w:tc>
          <w:tcPr>
            <w:tcW w:w="1777" w:type="dxa"/>
            <w:vAlign w:val="center"/>
          </w:tcPr>
          <w:p w:rsidR="006B7DA9" w:rsidRDefault="004323A7">
            <w:pPr>
              <w:jc w:val="center"/>
            </w:pPr>
            <w:r>
              <w:rPr>
                <w:color w:val="000000"/>
                <w:sz w:val="24"/>
                <w:szCs w:val="24"/>
              </w:rPr>
              <w:t>东方财富</w:t>
            </w:r>
          </w:p>
        </w:tc>
        <w:tc>
          <w:tcPr>
            <w:tcW w:w="1334" w:type="dxa"/>
            <w:vAlign w:val="center"/>
          </w:tcPr>
          <w:p w:rsidR="006B7DA9" w:rsidRDefault="004323A7">
            <w:pPr>
              <w:jc w:val="right"/>
            </w:pPr>
            <w:r>
              <w:rPr>
                <w:color w:val="000000"/>
                <w:sz w:val="24"/>
                <w:szCs w:val="24"/>
              </w:rPr>
              <w:t>3,499,978</w:t>
            </w:r>
          </w:p>
        </w:tc>
        <w:tc>
          <w:tcPr>
            <w:tcW w:w="1924" w:type="dxa"/>
            <w:vAlign w:val="center"/>
          </w:tcPr>
          <w:p w:rsidR="006B7DA9" w:rsidRDefault="004323A7">
            <w:pPr>
              <w:jc w:val="right"/>
            </w:pPr>
            <w:r>
              <w:rPr>
                <w:color w:val="000000"/>
                <w:sz w:val="24"/>
                <w:szCs w:val="24"/>
              </w:rPr>
              <w:t>77,699,511.60</w:t>
            </w:r>
          </w:p>
        </w:tc>
        <w:tc>
          <w:tcPr>
            <w:tcW w:w="1644" w:type="dxa"/>
            <w:vAlign w:val="center"/>
          </w:tcPr>
          <w:p w:rsidR="006B7DA9" w:rsidRDefault="004323A7">
            <w:pPr>
              <w:jc w:val="right"/>
            </w:pPr>
            <w:r>
              <w:rPr>
                <w:color w:val="000000"/>
                <w:sz w:val="24"/>
                <w:szCs w:val="24"/>
              </w:rPr>
              <w:t>3.00</w:t>
            </w:r>
          </w:p>
        </w:tc>
      </w:tr>
      <w:tr w:rsidR="006B7DA9">
        <w:trPr>
          <w:jc w:val="center"/>
        </w:trPr>
        <w:tc>
          <w:tcPr>
            <w:tcW w:w="855" w:type="dxa"/>
            <w:vAlign w:val="center"/>
          </w:tcPr>
          <w:p w:rsidR="006B7DA9" w:rsidRDefault="004323A7">
            <w:pPr>
              <w:jc w:val="center"/>
            </w:pPr>
            <w:r>
              <w:rPr>
                <w:color w:val="000000"/>
                <w:sz w:val="24"/>
                <w:szCs w:val="24"/>
              </w:rPr>
              <w:t>10</w:t>
            </w:r>
          </w:p>
        </w:tc>
        <w:tc>
          <w:tcPr>
            <w:tcW w:w="1334" w:type="dxa"/>
            <w:vAlign w:val="center"/>
          </w:tcPr>
          <w:p w:rsidR="006B7DA9" w:rsidRDefault="004323A7">
            <w:pPr>
              <w:jc w:val="center"/>
            </w:pPr>
            <w:r>
              <w:rPr>
                <w:color w:val="000000"/>
                <w:sz w:val="24"/>
                <w:szCs w:val="24"/>
              </w:rPr>
              <w:t>600395</w:t>
            </w:r>
          </w:p>
        </w:tc>
        <w:tc>
          <w:tcPr>
            <w:tcW w:w="1777" w:type="dxa"/>
            <w:vAlign w:val="center"/>
          </w:tcPr>
          <w:p w:rsidR="006B7DA9" w:rsidRDefault="004323A7">
            <w:pPr>
              <w:jc w:val="center"/>
            </w:pPr>
            <w:r>
              <w:rPr>
                <w:color w:val="000000"/>
                <w:sz w:val="24"/>
                <w:szCs w:val="24"/>
              </w:rPr>
              <w:t>盘江股份</w:t>
            </w:r>
          </w:p>
        </w:tc>
        <w:tc>
          <w:tcPr>
            <w:tcW w:w="1334" w:type="dxa"/>
            <w:vAlign w:val="center"/>
          </w:tcPr>
          <w:p w:rsidR="006B7DA9" w:rsidRDefault="004323A7">
            <w:pPr>
              <w:jc w:val="right"/>
            </w:pPr>
            <w:r>
              <w:rPr>
                <w:color w:val="000000"/>
                <w:sz w:val="24"/>
                <w:szCs w:val="24"/>
              </w:rPr>
              <w:t>9,381,935</w:t>
            </w:r>
          </w:p>
        </w:tc>
        <w:tc>
          <w:tcPr>
            <w:tcW w:w="1924" w:type="dxa"/>
            <w:vAlign w:val="center"/>
          </w:tcPr>
          <w:p w:rsidR="006B7DA9" w:rsidRDefault="004323A7">
            <w:pPr>
              <w:jc w:val="right"/>
            </w:pPr>
            <w:r>
              <w:rPr>
                <w:color w:val="000000"/>
                <w:sz w:val="24"/>
                <w:szCs w:val="24"/>
              </w:rPr>
              <w:t>77,494,783.10</w:t>
            </w:r>
          </w:p>
        </w:tc>
        <w:tc>
          <w:tcPr>
            <w:tcW w:w="1644" w:type="dxa"/>
            <w:vAlign w:val="center"/>
          </w:tcPr>
          <w:p w:rsidR="006B7DA9" w:rsidRDefault="004323A7">
            <w:pPr>
              <w:jc w:val="right"/>
            </w:pPr>
            <w:r>
              <w:rPr>
                <w:color w:val="000000"/>
                <w:sz w:val="24"/>
                <w:szCs w:val="24"/>
              </w:rPr>
              <w:t>2.99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B7DA9">
        <w:trPr>
          <w:jc w:val="center"/>
        </w:trPr>
        <w:tc>
          <w:tcPr>
            <w:tcW w:w="850" w:type="dxa"/>
            <w:vAlign w:val="center"/>
          </w:tcPr>
          <w:p w:rsidR="006B7DA9" w:rsidRDefault="004323A7">
            <w:pPr>
              <w:jc w:val="center"/>
            </w:pPr>
            <w:r>
              <w:rPr>
                <w:color w:val="000000"/>
                <w:sz w:val="24"/>
                <w:szCs w:val="24"/>
              </w:rPr>
              <w:t>1</w:t>
            </w:r>
          </w:p>
        </w:tc>
        <w:tc>
          <w:tcPr>
            <w:tcW w:w="1475" w:type="dxa"/>
            <w:vAlign w:val="center"/>
          </w:tcPr>
          <w:p w:rsidR="006B7DA9" w:rsidRDefault="004323A7">
            <w:pPr>
              <w:jc w:val="center"/>
            </w:pPr>
            <w:r>
              <w:rPr>
                <w:color w:val="000000"/>
                <w:sz w:val="24"/>
                <w:szCs w:val="24"/>
              </w:rPr>
              <w:t>150416</w:t>
            </w:r>
          </w:p>
        </w:tc>
        <w:tc>
          <w:tcPr>
            <w:tcW w:w="1769" w:type="dxa"/>
            <w:vAlign w:val="center"/>
          </w:tcPr>
          <w:p w:rsidR="006B7DA9" w:rsidRDefault="004323A7">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6B7DA9" w:rsidRDefault="004323A7">
            <w:pPr>
              <w:jc w:val="right"/>
            </w:pPr>
            <w:r>
              <w:rPr>
                <w:color w:val="000000"/>
                <w:sz w:val="24"/>
                <w:szCs w:val="24"/>
              </w:rPr>
              <w:t>1,400,000</w:t>
            </w:r>
          </w:p>
        </w:tc>
        <w:tc>
          <w:tcPr>
            <w:tcW w:w="2150" w:type="dxa"/>
            <w:vAlign w:val="center"/>
          </w:tcPr>
          <w:p w:rsidR="006B7DA9" w:rsidRDefault="004323A7">
            <w:pPr>
              <w:jc w:val="right"/>
            </w:pPr>
            <w:r>
              <w:rPr>
                <w:color w:val="000000"/>
                <w:sz w:val="24"/>
                <w:szCs w:val="24"/>
              </w:rPr>
              <w:t>140,000,000.00</w:t>
            </w:r>
          </w:p>
        </w:tc>
        <w:tc>
          <w:tcPr>
            <w:tcW w:w="1237" w:type="dxa"/>
            <w:vAlign w:val="center"/>
          </w:tcPr>
          <w:p w:rsidR="006B7DA9" w:rsidRDefault="004323A7">
            <w:pPr>
              <w:jc w:val="right"/>
            </w:pPr>
            <w:r>
              <w:rPr>
                <w:color w:val="000000"/>
                <w:sz w:val="24"/>
                <w:szCs w:val="24"/>
              </w:rPr>
              <w:t>5.41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1,155,234.57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3,829,284.99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13,149.25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4,997,668.81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W w:w="5000" w:type="pct"/>
        <w:tblCellMar>
          <w:left w:w="0" w:type="dxa"/>
          <w:right w:w="0" w:type="dxa"/>
        </w:tblCellMar>
        <w:tblLook w:val="04A0" w:firstRow="1" w:lastRow="0" w:firstColumn="1" w:lastColumn="0" w:noHBand="0" w:noVBand="1"/>
      </w:tblPr>
      <w:tblGrid>
        <w:gridCol w:w="1178"/>
        <w:gridCol w:w="1414"/>
        <w:gridCol w:w="1412"/>
        <w:gridCol w:w="1959"/>
        <w:gridCol w:w="1797"/>
        <w:gridCol w:w="1482"/>
      </w:tblGrid>
      <w:tr w:rsidR="002B0A7B" w:rsidTr="00601F01">
        <w:tc>
          <w:tcPr>
            <w:tcW w:w="637"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bookmarkStart w:id="0" w:name="_GoBack"/>
            <w:bookmarkEnd w:id="0"/>
            <w:r>
              <w:rPr>
                <w:rFonts w:ascii="宋体" w:hAnsi="宋体" w:hint="eastAsia"/>
                <w:color w:val="000000"/>
                <w:sz w:val="24"/>
                <w:szCs w:val="24"/>
              </w:rPr>
              <w:t>序号</w:t>
            </w:r>
          </w:p>
        </w:tc>
        <w:tc>
          <w:tcPr>
            <w:tcW w:w="765"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r>
              <w:rPr>
                <w:rFonts w:ascii="宋体" w:hAnsi="宋体" w:hint="eastAsia"/>
                <w:color w:val="000000"/>
                <w:sz w:val="24"/>
                <w:szCs w:val="24"/>
              </w:rPr>
              <w:t>股票代码</w:t>
            </w:r>
          </w:p>
        </w:tc>
        <w:tc>
          <w:tcPr>
            <w:tcW w:w="764"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r>
              <w:rPr>
                <w:rFonts w:ascii="宋体" w:hAnsi="宋体" w:hint="eastAsia"/>
                <w:color w:val="000000"/>
                <w:sz w:val="24"/>
                <w:szCs w:val="24"/>
              </w:rPr>
              <w:t>股票名称</w:t>
            </w:r>
          </w:p>
        </w:tc>
        <w:tc>
          <w:tcPr>
            <w:tcW w:w="1060"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r>
              <w:rPr>
                <w:rFonts w:ascii="宋体" w:hAnsi="宋体" w:hint="eastAsia"/>
                <w:color w:val="000000"/>
                <w:sz w:val="24"/>
                <w:szCs w:val="24"/>
              </w:rPr>
              <w:t>流通受限部分的公允价值</w:t>
            </w:r>
            <w:r>
              <w:rPr>
                <w:color w:val="000000"/>
                <w:sz w:val="24"/>
                <w:szCs w:val="24"/>
              </w:rPr>
              <w:t>(</w:t>
            </w:r>
            <w:r>
              <w:rPr>
                <w:rFonts w:ascii="宋体" w:hAnsi="宋体" w:hint="eastAsia"/>
                <w:color w:val="000000"/>
                <w:sz w:val="24"/>
                <w:szCs w:val="24"/>
              </w:rPr>
              <w:t>元</w:t>
            </w:r>
            <w:r>
              <w:rPr>
                <w:color w:val="000000"/>
                <w:sz w:val="24"/>
                <w:szCs w:val="24"/>
              </w:rPr>
              <w:t>)</w:t>
            </w:r>
          </w:p>
        </w:tc>
        <w:tc>
          <w:tcPr>
            <w:tcW w:w="972"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r>
              <w:rPr>
                <w:rFonts w:ascii="宋体" w:hAnsi="宋体" w:hint="eastAsia"/>
                <w:color w:val="000000"/>
                <w:sz w:val="24"/>
                <w:szCs w:val="24"/>
              </w:rPr>
              <w:t>占基金资产净值比例</w:t>
            </w:r>
            <w:r>
              <w:rPr>
                <w:color w:val="000000"/>
                <w:sz w:val="24"/>
                <w:szCs w:val="24"/>
              </w:rPr>
              <w:t>(</w:t>
            </w:r>
            <w:r>
              <w:rPr>
                <w:rFonts w:ascii="宋体" w:hAnsi="宋体" w:hint="eastAsia"/>
                <w:color w:val="000000"/>
                <w:sz w:val="24"/>
                <w:szCs w:val="24"/>
              </w:rPr>
              <w:t>％</w:t>
            </w:r>
            <w:r>
              <w:rPr>
                <w:color w:val="000000"/>
                <w:sz w:val="24"/>
                <w:szCs w:val="24"/>
              </w:rPr>
              <w:t>)</w:t>
            </w:r>
          </w:p>
        </w:tc>
        <w:tc>
          <w:tcPr>
            <w:tcW w:w="803"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spacing w:before="29" w:line="288" w:lineRule="auto"/>
              <w:ind w:left="17"/>
              <w:jc w:val="center"/>
              <w:rPr>
                <w:color w:val="000000"/>
                <w:sz w:val="24"/>
                <w:szCs w:val="24"/>
              </w:rPr>
            </w:pPr>
            <w:r>
              <w:rPr>
                <w:rFonts w:ascii="宋体" w:hAnsi="宋体" w:hint="eastAsia"/>
                <w:color w:val="000000"/>
                <w:sz w:val="24"/>
                <w:szCs w:val="24"/>
              </w:rPr>
              <w:t>流通受限情况说明</w:t>
            </w:r>
          </w:p>
        </w:tc>
      </w:tr>
      <w:tr w:rsidR="002B0A7B" w:rsidTr="00601F01">
        <w:tc>
          <w:tcPr>
            <w:tcW w:w="637" w:type="pc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center"/>
              <w:rPr>
                <w:sz w:val="20"/>
                <w:szCs w:val="20"/>
              </w:rPr>
            </w:pPr>
            <w:r>
              <w:rPr>
                <w:color w:val="000000"/>
                <w:sz w:val="24"/>
                <w:szCs w:val="24"/>
              </w:rPr>
              <w:t>1</w:t>
            </w:r>
          </w:p>
        </w:tc>
        <w:tc>
          <w:tcPr>
            <w:tcW w:w="765"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center"/>
              <w:rPr>
                <w:sz w:val="20"/>
                <w:szCs w:val="20"/>
              </w:rPr>
            </w:pPr>
            <w:r>
              <w:rPr>
                <w:color w:val="000000"/>
                <w:sz w:val="24"/>
                <w:szCs w:val="24"/>
              </w:rPr>
              <w:t>002555</w:t>
            </w:r>
          </w:p>
        </w:tc>
        <w:tc>
          <w:tcPr>
            <w:tcW w:w="764"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center"/>
              <w:rPr>
                <w:sz w:val="20"/>
                <w:szCs w:val="20"/>
              </w:rPr>
            </w:pPr>
            <w:r>
              <w:rPr>
                <w:rFonts w:ascii="宋体" w:hAnsi="宋体" w:hint="eastAsia"/>
                <w:color w:val="000000"/>
                <w:sz w:val="24"/>
                <w:szCs w:val="24"/>
              </w:rPr>
              <w:t>三七互娱</w:t>
            </w:r>
          </w:p>
        </w:tc>
        <w:tc>
          <w:tcPr>
            <w:tcW w:w="1060"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right"/>
              <w:rPr>
                <w:sz w:val="20"/>
                <w:szCs w:val="20"/>
              </w:rPr>
            </w:pPr>
            <w:r>
              <w:rPr>
                <w:color w:val="000000"/>
                <w:sz w:val="24"/>
                <w:szCs w:val="24"/>
              </w:rPr>
              <w:t>120,371,302.00</w:t>
            </w:r>
          </w:p>
        </w:tc>
        <w:tc>
          <w:tcPr>
            <w:tcW w:w="972"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right"/>
              <w:rPr>
                <w:sz w:val="20"/>
                <w:szCs w:val="20"/>
              </w:rPr>
            </w:pPr>
            <w:r>
              <w:rPr>
                <w:color w:val="000000"/>
                <w:sz w:val="24"/>
                <w:szCs w:val="24"/>
              </w:rPr>
              <w:t>4.65</w:t>
            </w:r>
          </w:p>
        </w:tc>
        <w:tc>
          <w:tcPr>
            <w:tcW w:w="803"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2B0A7B" w:rsidRDefault="002B0A7B" w:rsidP="005466AC">
            <w:pPr>
              <w:jc w:val="right"/>
              <w:rPr>
                <w:sz w:val="20"/>
                <w:szCs w:val="20"/>
              </w:rPr>
            </w:pPr>
            <w:r>
              <w:rPr>
                <w:rFonts w:ascii="宋体" w:hAnsi="宋体"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3,263,168,708.98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17,945,532.56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59,488,673.58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3,221,625,567.96</w:t>
            </w:r>
          </w:p>
        </w:tc>
      </w:tr>
    </w:tbl>
    <w:p w:rsidR="006B7DA9" w:rsidRDefault="004323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323A7">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0.74</w:t>
            </w:r>
          </w:p>
        </w:tc>
      </w:tr>
    </w:tbl>
    <w:p w:rsidR="006B7DA9" w:rsidRDefault="004323A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4323A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B7DA9" w:rsidRDefault="004323A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B7DA9" w:rsidRDefault="004323A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B7DA9" w:rsidRDefault="004323A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6B7DA9">
      <w:rPr>
        <w:kern w:val="0"/>
        <w:szCs w:val="21"/>
      </w:rPr>
      <w:fldChar w:fldCharType="begin"/>
    </w:r>
    <w:r>
      <w:rPr>
        <w:kern w:val="0"/>
        <w:szCs w:val="21"/>
      </w:rPr>
      <w:instrText xml:space="preserve"> PAGE </w:instrText>
    </w:r>
    <w:r w:rsidR="006B7DA9">
      <w:rPr>
        <w:kern w:val="0"/>
        <w:szCs w:val="21"/>
      </w:rPr>
      <w:fldChar w:fldCharType="separate"/>
    </w:r>
    <w:r w:rsidR="00601F01">
      <w:rPr>
        <w:noProof/>
        <w:kern w:val="0"/>
        <w:szCs w:val="21"/>
      </w:rPr>
      <w:t>10</w:t>
    </w:r>
    <w:r w:rsidR="006B7DA9">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6B7DA9">
      <w:rPr>
        <w:kern w:val="0"/>
        <w:szCs w:val="21"/>
      </w:rPr>
      <w:fldChar w:fldCharType="begin"/>
    </w:r>
    <w:r>
      <w:rPr>
        <w:kern w:val="0"/>
        <w:szCs w:val="21"/>
      </w:rPr>
      <w:instrText xml:space="preserve"> NUMPAGES </w:instrText>
    </w:r>
    <w:r w:rsidR="006B7DA9">
      <w:rPr>
        <w:kern w:val="0"/>
        <w:szCs w:val="21"/>
      </w:rPr>
      <w:fldChar w:fldCharType="separate"/>
    </w:r>
    <w:r w:rsidR="00601F01">
      <w:rPr>
        <w:noProof/>
        <w:kern w:val="0"/>
        <w:szCs w:val="21"/>
      </w:rPr>
      <w:t>12</w:t>
    </w:r>
    <w:r w:rsidR="006B7DA9">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0A7B"/>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23A7"/>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1F01"/>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7DA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0E2E6C4-0247-4E13-9F3C-CD605F9A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CE04-295E-4BF5-9697-5886CFDB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2016-07-19T06:48:00Z</dcterms:modified>
</cp:coreProperties>
</file>