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886E0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886E0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920,875,974.29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919,239,928.92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1,636,045.37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886E0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-4,147,943.44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-6,245.44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34,142,347.65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37,539.72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3,635,159,710.44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6,476,780.16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3.9545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3.9588</w:t>
            </w:r>
          </w:p>
        </w:tc>
      </w:tr>
    </w:tbl>
    <w:p w:rsidR="00053E2D" w:rsidRDefault="00886E0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53E2D">
        <w:trPr>
          <w:jc w:val="center"/>
        </w:trPr>
        <w:tc>
          <w:tcPr>
            <w:tcW w:w="1266" w:type="dxa"/>
            <w:vAlign w:val="center"/>
          </w:tcPr>
          <w:p w:rsidR="00053E2D" w:rsidRDefault="00886E0E">
            <w:pPr>
              <w:jc w:val="left"/>
            </w:pPr>
            <w:r>
              <w:rPr>
                <w:color w:val="000000"/>
                <w:sz w:val="24"/>
              </w:rPr>
              <w:lastRenderedPageBreak/>
              <w:t>过去三个月</w:t>
            </w:r>
          </w:p>
        </w:tc>
        <w:tc>
          <w:tcPr>
            <w:tcW w:w="1267" w:type="dxa"/>
            <w:vAlign w:val="center"/>
          </w:tcPr>
          <w:p w:rsidR="00053E2D" w:rsidRDefault="00886E0E">
            <w:pPr>
              <w:jc w:val="center"/>
            </w:pPr>
            <w:r>
              <w:rPr>
                <w:color w:val="000000"/>
                <w:sz w:val="24"/>
              </w:rPr>
              <w:t>0.92%</w:t>
            </w:r>
          </w:p>
        </w:tc>
        <w:tc>
          <w:tcPr>
            <w:tcW w:w="1267" w:type="dxa"/>
            <w:vAlign w:val="center"/>
          </w:tcPr>
          <w:p w:rsidR="00053E2D" w:rsidRDefault="00886E0E">
            <w:pPr>
              <w:jc w:val="center"/>
            </w:pPr>
            <w:r>
              <w:rPr>
                <w:color w:val="000000"/>
                <w:sz w:val="24"/>
              </w:rPr>
              <w:t>1.36%</w:t>
            </w:r>
          </w:p>
        </w:tc>
        <w:tc>
          <w:tcPr>
            <w:tcW w:w="1267" w:type="dxa"/>
            <w:vAlign w:val="center"/>
          </w:tcPr>
          <w:p w:rsidR="00053E2D" w:rsidRDefault="00886E0E">
            <w:pPr>
              <w:jc w:val="center"/>
            </w:pPr>
            <w:r>
              <w:rPr>
                <w:color w:val="000000"/>
                <w:sz w:val="24"/>
              </w:rPr>
              <w:t>-1.53%</w:t>
            </w:r>
          </w:p>
        </w:tc>
        <w:tc>
          <w:tcPr>
            <w:tcW w:w="1267" w:type="dxa"/>
            <w:vAlign w:val="center"/>
          </w:tcPr>
          <w:p w:rsidR="00053E2D" w:rsidRDefault="00886E0E">
            <w:pPr>
              <w:jc w:val="center"/>
            </w:pPr>
            <w:r>
              <w:rPr>
                <w:color w:val="000000"/>
                <w:sz w:val="24"/>
              </w:rPr>
              <w:t>1.06%</w:t>
            </w:r>
          </w:p>
        </w:tc>
        <w:tc>
          <w:tcPr>
            <w:tcW w:w="1267" w:type="dxa"/>
            <w:vAlign w:val="center"/>
          </w:tcPr>
          <w:p w:rsidR="00053E2D" w:rsidRDefault="00886E0E">
            <w:pPr>
              <w:jc w:val="center"/>
            </w:pPr>
            <w:r>
              <w:rPr>
                <w:color w:val="000000"/>
                <w:sz w:val="24"/>
              </w:rPr>
              <w:t>2.45%</w:t>
            </w:r>
          </w:p>
        </w:tc>
        <w:tc>
          <w:tcPr>
            <w:tcW w:w="1267" w:type="dxa"/>
            <w:vAlign w:val="center"/>
          </w:tcPr>
          <w:p w:rsidR="00053E2D" w:rsidRDefault="00886E0E">
            <w:pPr>
              <w:jc w:val="center"/>
            </w:pPr>
            <w:r>
              <w:rPr>
                <w:color w:val="000000"/>
                <w:sz w:val="24"/>
              </w:rPr>
              <w:t>0.30%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53E2D">
        <w:trPr>
          <w:jc w:val="center"/>
        </w:trPr>
        <w:tc>
          <w:tcPr>
            <w:tcW w:w="1266" w:type="dxa"/>
            <w:vAlign w:val="center"/>
          </w:tcPr>
          <w:p w:rsidR="00053E2D" w:rsidRDefault="00886E0E">
            <w:pPr>
              <w:jc w:val="left"/>
            </w:pPr>
            <w:r>
              <w:rPr>
                <w:color w:val="000000"/>
                <w:sz w:val="24"/>
              </w:rPr>
              <w:t>过去三个月</w:t>
            </w:r>
          </w:p>
        </w:tc>
        <w:tc>
          <w:tcPr>
            <w:tcW w:w="1267" w:type="dxa"/>
            <w:vAlign w:val="center"/>
          </w:tcPr>
          <w:p w:rsidR="00053E2D" w:rsidRDefault="00886E0E">
            <w:pPr>
              <w:jc w:val="center"/>
            </w:pPr>
            <w:r>
              <w:rPr>
                <w:color w:val="000000"/>
                <w:sz w:val="24"/>
              </w:rPr>
              <w:t>0.91%</w:t>
            </w:r>
          </w:p>
        </w:tc>
        <w:tc>
          <w:tcPr>
            <w:tcW w:w="1267" w:type="dxa"/>
            <w:vAlign w:val="center"/>
          </w:tcPr>
          <w:p w:rsidR="00053E2D" w:rsidRDefault="00886E0E">
            <w:pPr>
              <w:jc w:val="center"/>
            </w:pPr>
            <w:r>
              <w:rPr>
                <w:color w:val="000000"/>
                <w:sz w:val="24"/>
              </w:rPr>
              <w:t>1.36%</w:t>
            </w:r>
          </w:p>
        </w:tc>
        <w:tc>
          <w:tcPr>
            <w:tcW w:w="1267" w:type="dxa"/>
            <w:vAlign w:val="center"/>
          </w:tcPr>
          <w:p w:rsidR="00053E2D" w:rsidRDefault="00886E0E">
            <w:pPr>
              <w:jc w:val="center"/>
            </w:pPr>
            <w:r>
              <w:rPr>
                <w:color w:val="000000"/>
                <w:sz w:val="24"/>
              </w:rPr>
              <w:t>-1.53%</w:t>
            </w:r>
          </w:p>
        </w:tc>
        <w:tc>
          <w:tcPr>
            <w:tcW w:w="1267" w:type="dxa"/>
            <w:vAlign w:val="center"/>
          </w:tcPr>
          <w:p w:rsidR="00053E2D" w:rsidRDefault="00886E0E">
            <w:pPr>
              <w:jc w:val="center"/>
            </w:pPr>
            <w:r>
              <w:rPr>
                <w:color w:val="000000"/>
                <w:sz w:val="24"/>
              </w:rPr>
              <w:t>1.06%</w:t>
            </w:r>
          </w:p>
        </w:tc>
        <w:tc>
          <w:tcPr>
            <w:tcW w:w="1267" w:type="dxa"/>
            <w:vAlign w:val="center"/>
          </w:tcPr>
          <w:p w:rsidR="00053E2D" w:rsidRDefault="00886E0E">
            <w:pPr>
              <w:jc w:val="center"/>
            </w:pPr>
            <w:r>
              <w:rPr>
                <w:color w:val="000000"/>
                <w:sz w:val="24"/>
              </w:rPr>
              <w:t>2.44%</w:t>
            </w:r>
          </w:p>
        </w:tc>
        <w:tc>
          <w:tcPr>
            <w:tcW w:w="1267" w:type="dxa"/>
            <w:vAlign w:val="center"/>
          </w:tcPr>
          <w:p w:rsidR="00053E2D" w:rsidRDefault="00886E0E">
            <w:pPr>
              <w:jc w:val="center"/>
            </w:pPr>
            <w:r>
              <w:rPr>
                <w:color w:val="000000"/>
                <w:sz w:val="24"/>
              </w:rPr>
              <w:t>0.30%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w:t>
      </w:r>
      <w:r w:rsidRPr="007F52FA">
        <w:rPr>
          <w:color w:val="000000"/>
          <w:sz w:val="24"/>
        </w:rPr>
        <w:lastRenderedPageBreak/>
        <w:t>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886E0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53E2D">
        <w:trPr>
          <w:jc w:val="center"/>
        </w:trPr>
        <w:tc>
          <w:tcPr>
            <w:tcW w:w="946" w:type="dxa"/>
            <w:vAlign w:val="center"/>
          </w:tcPr>
          <w:p w:rsidR="00053E2D" w:rsidRDefault="00886E0E">
            <w:pPr>
              <w:jc w:val="center"/>
            </w:pPr>
            <w:r>
              <w:rPr>
                <w:color w:val="000000"/>
                <w:sz w:val="24"/>
              </w:rPr>
              <w:t>王少成</w:t>
            </w:r>
          </w:p>
        </w:tc>
        <w:tc>
          <w:tcPr>
            <w:tcW w:w="924" w:type="dxa"/>
            <w:vAlign w:val="center"/>
          </w:tcPr>
          <w:p w:rsidR="00053E2D" w:rsidRDefault="00886E0E">
            <w:pPr>
              <w:jc w:val="center"/>
            </w:pPr>
            <w:r>
              <w:rPr>
                <w:color w:val="000000"/>
                <w:sz w:val="24"/>
              </w:rPr>
              <w:t>交银成长混合、交银策略回报灵活配置混合、</w:t>
            </w:r>
            <w:r>
              <w:rPr>
                <w:color w:val="000000"/>
                <w:sz w:val="24"/>
              </w:rPr>
              <w:lastRenderedPageBreak/>
              <w:t>交银成长</w:t>
            </w:r>
            <w:r>
              <w:rPr>
                <w:color w:val="000000"/>
                <w:sz w:val="24"/>
              </w:rPr>
              <w:t>30</w:t>
            </w:r>
            <w:r>
              <w:rPr>
                <w:color w:val="000000"/>
                <w:sz w:val="24"/>
              </w:rPr>
              <w:t>混合、交银荣和保本混合的基金经理，公司权益投资总监</w:t>
            </w:r>
          </w:p>
        </w:tc>
        <w:tc>
          <w:tcPr>
            <w:tcW w:w="1202" w:type="dxa"/>
            <w:vAlign w:val="center"/>
          </w:tcPr>
          <w:p w:rsidR="00053E2D" w:rsidRDefault="00886E0E">
            <w:pPr>
              <w:jc w:val="center"/>
            </w:pPr>
            <w:r>
              <w:rPr>
                <w:color w:val="000000"/>
                <w:sz w:val="24"/>
              </w:rPr>
              <w:lastRenderedPageBreak/>
              <w:t>2015-03-24</w:t>
            </w:r>
          </w:p>
        </w:tc>
        <w:tc>
          <w:tcPr>
            <w:tcW w:w="1300" w:type="dxa"/>
            <w:vAlign w:val="center"/>
          </w:tcPr>
          <w:p w:rsidR="00053E2D" w:rsidRDefault="00886E0E">
            <w:pPr>
              <w:jc w:val="center"/>
            </w:pPr>
            <w:r>
              <w:rPr>
                <w:color w:val="000000"/>
                <w:sz w:val="24"/>
              </w:rPr>
              <w:t>-</w:t>
            </w:r>
          </w:p>
        </w:tc>
        <w:tc>
          <w:tcPr>
            <w:tcW w:w="1245" w:type="dxa"/>
            <w:vAlign w:val="center"/>
          </w:tcPr>
          <w:p w:rsidR="00053E2D" w:rsidRDefault="00886E0E">
            <w:pPr>
              <w:jc w:val="center"/>
            </w:pPr>
            <w:r>
              <w:rPr>
                <w:color w:val="000000"/>
                <w:sz w:val="24"/>
              </w:rPr>
              <w:t>12</w:t>
            </w:r>
            <w:r>
              <w:rPr>
                <w:color w:val="000000"/>
                <w:sz w:val="24"/>
              </w:rPr>
              <w:t>年</w:t>
            </w:r>
          </w:p>
        </w:tc>
        <w:tc>
          <w:tcPr>
            <w:tcW w:w="3251" w:type="dxa"/>
            <w:vAlign w:val="center"/>
          </w:tcPr>
          <w:p w:rsidR="00053E2D" w:rsidRDefault="00886E0E">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w:t>
            </w:r>
            <w:r>
              <w:rPr>
                <w:color w:val="000000"/>
                <w:sz w:val="24"/>
              </w:rPr>
              <w:lastRenderedPageBreak/>
              <w:t>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053E2D" w:rsidRDefault="00886E0E">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53E2D" w:rsidRDefault="00886E0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3E2D" w:rsidRDefault="00886E0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3E2D" w:rsidRDefault="00886E0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053E2D" w:rsidRDefault="00886E0E">
      <w:pPr>
        <w:spacing w:before="29" w:line="288" w:lineRule="auto"/>
        <w:ind w:firstLineChars="200" w:firstLine="480"/>
        <w:rPr>
          <w:color w:val="000000"/>
          <w:sz w:val="24"/>
        </w:rPr>
      </w:pPr>
      <w:r>
        <w:rPr>
          <w:color w:val="000000"/>
          <w:sz w:val="24"/>
        </w:rPr>
        <w:t>2016</w:t>
      </w:r>
      <w:r>
        <w:rPr>
          <w:color w:val="000000"/>
          <w:sz w:val="24"/>
        </w:rPr>
        <w:t>年二季度美国加息预期虽几经反复，但持续走弱，受此影响风险资产价格持续恢复。</w:t>
      </w:r>
      <w:r>
        <w:rPr>
          <w:color w:val="000000"/>
          <w:sz w:val="24"/>
        </w:rPr>
        <w:t>2016</w:t>
      </w:r>
      <w:r>
        <w:rPr>
          <w:color w:val="000000"/>
          <w:sz w:val="24"/>
        </w:rPr>
        <w:t>年</w:t>
      </w:r>
      <w:r>
        <w:rPr>
          <w:color w:val="000000"/>
          <w:sz w:val="24"/>
        </w:rPr>
        <w:t>6</w:t>
      </w:r>
      <w:r>
        <w:rPr>
          <w:color w:val="000000"/>
          <w:sz w:val="24"/>
        </w:rPr>
        <w:t>月份英国意外退欧，使得避险资产价格大幅飙升。全球央行多年的宽松货币政策，可能正在催生一个巨大的合成谬误，市场也开始意识到宽松货币政策的局限性，</w:t>
      </w:r>
      <w:r>
        <w:rPr>
          <w:color w:val="000000"/>
          <w:sz w:val="24"/>
        </w:rPr>
        <w:t>2016</w:t>
      </w:r>
      <w:r>
        <w:rPr>
          <w:color w:val="000000"/>
          <w:sz w:val="24"/>
        </w:rPr>
        <w:t>年以来的日元持续走强彰显了投资者类似的担忧，全球范围的宽松货币政策可能已经走到尽头。从主要经济体的现状来看，只有中美尚具有通胀机制，但是中国受制于维持汇率稳定的压力和企业部门高企的负债，美国的财政刺激可能也因政治上不确定性很难判断。</w:t>
      </w:r>
    </w:p>
    <w:p w:rsidR="00053E2D" w:rsidRDefault="00886E0E">
      <w:pPr>
        <w:spacing w:before="29" w:line="288" w:lineRule="auto"/>
        <w:ind w:firstLineChars="200" w:firstLine="480"/>
        <w:rPr>
          <w:color w:val="000000"/>
          <w:sz w:val="24"/>
        </w:rPr>
      </w:pPr>
      <w:r>
        <w:rPr>
          <w:color w:val="000000"/>
          <w:sz w:val="24"/>
        </w:rPr>
        <w:t>2016</w:t>
      </w:r>
      <w:r>
        <w:rPr>
          <w:color w:val="000000"/>
          <w:sz w:val="24"/>
        </w:rPr>
        <w:t>年二季度本基金保持中性仓位，继续降低创业板小票配置比重，增加大盘蓝筹的配置比重。</w:t>
      </w:r>
      <w:r>
        <w:rPr>
          <w:color w:val="000000"/>
          <w:sz w:val="24"/>
        </w:rPr>
        <w:t>2016</w:t>
      </w:r>
      <w:r>
        <w:rPr>
          <w:color w:val="000000"/>
          <w:sz w:val="24"/>
        </w:rPr>
        <w:t>年二季度人民币的持续贬值被较好地管理，并未引发更多的连锁反应。国内商品价格飙涨，国债价格不断走高，宽货币向宽信贷的政策效果并不明显，考虑到进一步刺激的货币和财政政策组合出台的可能性不大，预计未来的政策重点更多的以结构调整和预防风险为主。</w:t>
      </w:r>
    </w:p>
    <w:p w:rsidR="00952A72" w:rsidRPr="007F52FA" w:rsidRDefault="00323F25" w:rsidP="007C14DF">
      <w:pPr>
        <w:spacing w:before="29" w:line="288" w:lineRule="auto"/>
        <w:ind w:firstLineChars="200" w:firstLine="480"/>
        <w:rPr>
          <w:color w:val="000000"/>
          <w:sz w:val="24"/>
        </w:rPr>
      </w:pPr>
      <w:r w:rsidRPr="007F52FA">
        <w:rPr>
          <w:color w:val="000000"/>
          <w:sz w:val="24"/>
        </w:rPr>
        <w:t>2016</w:t>
      </w:r>
      <w:r w:rsidRPr="007F52FA">
        <w:rPr>
          <w:color w:val="000000"/>
          <w:sz w:val="24"/>
        </w:rPr>
        <w:t>年三季度中国的宏观经济预计继续维持温和增长态势，股市风险偏好有持续回暖的可能，但中期风险仍需要警觉。汇率波动、信用违约、房地产价格走弱、海外金融条件收紧等多层面的风险都可能外溢</w:t>
      </w:r>
      <w:r w:rsidRPr="001C1B9F">
        <w:rPr>
          <w:color w:val="000000"/>
          <w:sz w:val="24"/>
        </w:rPr>
        <w:t>到Ａ股</w:t>
      </w:r>
      <w:r w:rsidRPr="007F52FA">
        <w:rPr>
          <w:color w:val="000000"/>
          <w:sz w:val="24"/>
        </w:rPr>
        <w:t>市场，具体路径需要观察。中观上，我们继续看好以出境游为代表的消费升级的趋势，看好国企改革代表的并购整合的相关行业和个股的机会。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日，交银成长混合</w:t>
      </w:r>
      <w:r w:rsidRPr="007F52FA">
        <w:rPr>
          <w:color w:val="000000"/>
          <w:sz w:val="24"/>
        </w:rPr>
        <w:t>A</w:t>
      </w:r>
      <w:r w:rsidRPr="007F52FA">
        <w:rPr>
          <w:color w:val="000000"/>
          <w:sz w:val="24"/>
        </w:rPr>
        <w:t>份额净值为</w:t>
      </w:r>
      <w:r w:rsidRPr="007F52FA">
        <w:rPr>
          <w:color w:val="000000"/>
          <w:sz w:val="24"/>
        </w:rPr>
        <w:t>3.9545</w:t>
      </w:r>
      <w:r w:rsidRPr="007F52FA">
        <w:rPr>
          <w:color w:val="000000"/>
          <w:sz w:val="24"/>
        </w:rPr>
        <w:t>元，本报告期份额净</w:t>
      </w:r>
      <w:r w:rsidRPr="007F52FA">
        <w:rPr>
          <w:color w:val="000000"/>
          <w:sz w:val="24"/>
        </w:rPr>
        <w:lastRenderedPageBreak/>
        <w:t>值增长率为</w:t>
      </w:r>
      <w:r w:rsidRPr="007F52FA">
        <w:rPr>
          <w:color w:val="000000"/>
          <w:sz w:val="24"/>
        </w:rPr>
        <w:t>0.92%</w:t>
      </w:r>
      <w:r w:rsidRPr="007F52FA">
        <w:rPr>
          <w:color w:val="000000"/>
          <w:sz w:val="24"/>
        </w:rPr>
        <w:t>，同期业绩比较基准增长率为</w:t>
      </w:r>
      <w:r w:rsidRPr="007F52FA">
        <w:rPr>
          <w:color w:val="000000"/>
          <w:sz w:val="24"/>
        </w:rPr>
        <w:t>-1.53%</w:t>
      </w:r>
      <w:r w:rsidRPr="007F52FA">
        <w:rPr>
          <w:color w:val="000000"/>
          <w:sz w:val="24"/>
        </w:rPr>
        <w:t>；交银成长混合</w:t>
      </w:r>
      <w:r w:rsidRPr="007F52FA">
        <w:rPr>
          <w:color w:val="000000"/>
          <w:sz w:val="24"/>
        </w:rPr>
        <w:t>H</w:t>
      </w:r>
      <w:r w:rsidRPr="007F52FA">
        <w:rPr>
          <w:color w:val="000000"/>
          <w:sz w:val="24"/>
        </w:rPr>
        <w:t>份额净值为</w:t>
      </w:r>
      <w:r w:rsidRPr="007F52FA">
        <w:rPr>
          <w:color w:val="000000"/>
          <w:sz w:val="24"/>
        </w:rPr>
        <w:t xml:space="preserve">3.9588 </w:t>
      </w:r>
      <w:r w:rsidRPr="007F52FA">
        <w:rPr>
          <w:color w:val="000000"/>
          <w:sz w:val="24"/>
        </w:rPr>
        <w:t>元，本报告期份额净值增长率为</w:t>
      </w:r>
      <w:r w:rsidRPr="007F52FA">
        <w:rPr>
          <w:color w:val="000000"/>
          <w:sz w:val="24"/>
        </w:rPr>
        <w:t>0.91%</w:t>
      </w:r>
      <w:r w:rsidRPr="007F52FA">
        <w:rPr>
          <w:color w:val="000000"/>
          <w:sz w:val="24"/>
        </w:rPr>
        <w:t>，同期业绩比较基准增长率为</w:t>
      </w:r>
      <w:r w:rsidRPr="007F52FA">
        <w:rPr>
          <w:color w:val="000000"/>
          <w:sz w:val="24"/>
        </w:rPr>
        <w:t>-1.53%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F52FA" w:rsidRDefault="00FF5FC7" w:rsidP="00886E0E">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2,698,851,641.18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2,698,851,641.18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663,592,051.79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339,706,652.27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936,134.82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3,703,086,480.06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4,814,735.65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1,946,138,155.67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53.44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54,156,809.40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88,129,881.82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233,139,902.00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163,548,667.10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65,399,505.39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13,194,092.40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40,331,499.92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72,293,355.58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17,705,036.25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2,698,851,641.18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74.11</w:t>
            </w:r>
          </w:p>
        </w:tc>
      </w:tr>
    </w:tbl>
    <w:p w:rsidR="00886E0E" w:rsidRDefault="00886E0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053E2D">
        <w:trPr>
          <w:jc w:val="center"/>
        </w:trPr>
        <w:tc>
          <w:tcPr>
            <w:tcW w:w="850" w:type="dxa"/>
            <w:vAlign w:val="center"/>
          </w:tcPr>
          <w:p w:rsidR="00053E2D" w:rsidRDefault="00886E0E">
            <w:pPr>
              <w:jc w:val="center"/>
            </w:pPr>
            <w:r>
              <w:rPr>
                <w:color w:val="000000"/>
                <w:sz w:val="24"/>
              </w:rPr>
              <w:t>1</w:t>
            </w:r>
          </w:p>
        </w:tc>
        <w:tc>
          <w:tcPr>
            <w:tcW w:w="1327" w:type="dxa"/>
            <w:vAlign w:val="center"/>
          </w:tcPr>
          <w:p w:rsidR="00053E2D" w:rsidRDefault="00886E0E">
            <w:pPr>
              <w:jc w:val="center"/>
            </w:pPr>
            <w:r>
              <w:rPr>
                <w:color w:val="000000"/>
                <w:sz w:val="24"/>
              </w:rPr>
              <w:t>002180</w:t>
            </w:r>
          </w:p>
        </w:tc>
        <w:tc>
          <w:tcPr>
            <w:tcW w:w="1769" w:type="dxa"/>
            <w:vAlign w:val="center"/>
          </w:tcPr>
          <w:p w:rsidR="00053E2D" w:rsidRDefault="00886E0E">
            <w:pPr>
              <w:jc w:val="center"/>
            </w:pPr>
            <w:r>
              <w:rPr>
                <w:color w:val="000000"/>
                <w:sz w:val="24"/>
              </w:rPr>
              <w:t>艾派克</w:t>
            </w:r>
          </w:p>
        </w:tc>
        <w:tc>
          <w:tcPr>
            <w:tcW w:w="1327" w:type="dxa"/>
            <w:vAlign w:val="center"/>
          </w:tcPr>
          <w:p w:rsidR="00053E2D" w:rsidRDefault="00886E0E">
            <w:pPr>
              <w:jc w:val="right"/>
            </w:pPr>
            <w:r>
              <w:rPr>
                <w:color w:val="000000"/>
                <w:sz w:val="24"/>
              </w:rPr>
              <w:t>12,286,780</w:t>
            </w:r>
          </w:p>
        </w:tc>
        <w:tc>
          <w:tcPr>
            <w:tcW w:w="1915" w:type="dxa"/>
            <w:vAlign w:val="center"/>
          </w:tcPr>
          <w:p w:rsidR="00053E2D" w:rsidRDefault="00886E0E">
            <w:pPr>
              <w:jc w:val="right"/>
            </w:pPr>
            <w:r>
              <w:rPr>
                <w:color w:val="000000"/>
                <w:sz w:val="24"/>
              </w:rPr>
              <w:t>350,541,833.40</w:t>
            </w:r>
          </w:p>
        </w:tc>
        <w:tc>
          <w:tcPr>
            <w:tcW w:w="1680" w:type="dxa"/>
            <w:vAlign w:val="center"/>
          </w:tcPr>
          <w:p w:rsidR="00053E2D" w:rsidRDefault="00886E0E">
            <w:pPr>
              <w:jc w:val="right"/>
            </w:pPr>
            <w:r>
              <w:rPr>
                <w:color w:val="000000"/>
                <w:sz w:val="24"/>
              </w:rPr>
              <w:t>9.63</w:t>
            </w:r>
          </w:p>
        </w:tc>
      </w:tr>
      <w:tr w:rsidR="00053E2D">
        <w:trPr>
          <w:jc w:val="center"/>
        </w:trPr>
        <w:tc>
          <w:tcPr>
            <w:tcW w:w="850" w:type="dxa"/>
            <w:vAlign w:val="center"/>
          </w:tcPr>
          <w:p w:rsidR="00053E2D" w:rsidRDefault="00886E0E">
            <w:pPr>
              <w:jc w:val="center"/>
            </w:pPr>
            <w:r>
              <w:rPr>
                <w:color w:val="000000"/>
                <w:sz w:val="24"/>
              </w:rPr>
              <w:t>2</w:t>
            </w:r>
          </w:p>
        </w:tc>
        <w:tc>
          <w:tcPr>
            <w:tcW w:w="1327" w:type="dxa"/>
            <w:vAlign w:val="center"/>
          </w:tcPr>
          <w:p w:rsidR="00053E2D" w:rsidRDefault="00886E0E">
            <w:pPr>
              <w:jc w:val="center"/>
            </w:pPr>
            <w:r>
              <w:rPr>
                <w:color w:val="000000"/>
                <w:sz w:val="24"/>
              </w:rPr>
              <w:t>600500</w:t>
            </w:r>
          </w:p>
        </w:tc>
        <w:tc>
          <w:tcPr>
            <w:tcW w:w="1769" w:type="dxa"/>
            <w:vAlign w:val="center"/>
          </w:tcPr>
          <w:p w:rsidR="00053E2D" w:rsidRDefault="00886E0E">
            <w:pPr>
              <w:jc w:val="center"/>
            </w:pPr>
            <w:r>
              <w:rPr>
                <w:color w:val="000000"/>
                <w:sz w:val="24"/>
              </w:rPr>
              <w:t>中化国际</w:t>
            </w:r>
          </w:p>
        </w:tc>
        <w:tc>
          <w:tcPr>
            <w:tcW w:w="1327" w:type="dxa"/>
            <w:vAlign w:val="center"/>
          </w:tcPr>
          <w:p w:rsidR="00053E2D" w:rsidRDefault="00886E0E">
            <w:pPr>
              <w:jc w:val="right"/>
            </w:pPr>
            <w:r>
              <w:rPr>
                <w:color w:val="000000"/>
                <w:sz w:val="24"/>
              </w:rPr>
              <w:t>31,668,824</w:t>
            </w:r>
          </w:p>
        </w:tc>
        <w:tc>
          <w:tcPr>
            <w:tcW w:w="1915" w:type="dxa"/>
            <w:vAlign w:val="center"/>
          </w:tcPr>
          <w:p w:rsidR="00053E2D" w:rsidRDefault="00886E0E">
            <w:pPr>
              <w:jc w:val="right"/>
            </w:pPr>
            <w:r>
              <w:rPr>
                <w:color w:val="000000"/>
                <w:sz w:val="24"/>
              </w:rPr>
              <w:t>286,286,168.96</w:t>
            </w:r>
          </w:p>
        </w:tc>
        <w:tc>
          <w:tcPr>
            <w:tcW w:w="1680" w:type="dxa"/>
            <w:vAlign w:val="center"/>
          </w:tcPr>
          <w:p w:rsidR="00053E2D" w:rsidRDefault="00886E0E">
            <w:pPr>
              <w:jc w:val="right"/>
            </w:pPr>
            <w:r>
              <w:rPr>
                <w:color w:val="000000"/>
                <w:sz w:val="24"/>
              </w:rPr>
              <w:t>7.86</w:t>
            </w:r>
          </w:p>
        </w:tc>
      </w:tr>
      <w:tr w:rsidR="00053E2D">
        <w:trPr>
          <w:jc w:val="center"/>
        </w:trPr>
        <w:tc>
          <w:tcPr>
            <w:tcW w:w="850" w:type="dxa"/>
            <w:vAlign w:val="center"/>
          </w:tcPr>
          <w:p w:rsidR="00053E2D" w:rsidRDefault="00886E0E">
            <w:pPr>
              <w:jc w:val="center"/>
            </w:pPr>
            <w:r>
              <w:rPr>
                <w:color w:val="000000"/>
                <w:sz w:val="24"/>
              </w:rPr>
              <w:t>3</w:t>
            </w:r>
          </w:p>
        </w:tc>
        <w:tc>
          <w:tcPr>
            <w:tcW w:w="1327" w:type="dxa"/>
            <w:vAlign w:val="center"/>
          </w:tcPr>
          <w:p w:rsidR="00053E2D" w:rsidRDefault="00886E0E">
            <w:pPr>
              <w:jc w:val="center"/>
            </w:pPr>
            <w:r>
              <w:rPr>
                <w:color w:val="000000"/>
                <w:sz w:val="24"/>
              </w:rPr>
              <w:t>600389</w:t>
            </w:r>
          </w:p>
        </w:tc>
        <w:tc>
          <w:tcPr>
            <w:tcW w:w="1769" w:type="dxa"/>
            <w:vAlign w:val="center"/>
          </w:tcPr>
          <w:p w:rsidR="00053E2D" w:rsidRDefault="00886E0E">
            <w:pPr>
              <w:jc w:val="center"/>
            </w:pPr>
            <w:r>
              <w:rPr>
                <w:color w:val="000000"/>
                <w:sz w:val="24"/>
              </w:rPr>
              <w:t>江山股份</w:t>
            </w:r>
          </w:p>
        </w:tc>
        <w:tc>
          <w:tcPr>
            <w:tcW w:w="1327" w:type="dxa"/>
            <w:vAlign w:val="center"/>
          </w:tcPr>
          <w:p w:rsidR="00053E2D" w:rsidRDefault="00886E0E">
            <w:pPr>
              <w:jc w:val="right"/>
            </w:pPr>
            <w:r>
              <w:rPr>
                <w:color w:val="000000"/>
                <w:sz w:val="24"/>
              </w:rPr>
              <w:t>14,521,945</w:t>
            </w:r>
          </w:p>
        </w:tc>
        <w:tc>
          <w:tcPr>
            <w:tcW w:w="1915" w:type="dxa"/>
            <w:vAlign w:val="center"/>
          </w:tcPr>
          <w:p w:rsidR="00053E2D" w:rsidRDefault="00886E0E">
            <w:pPr>
              <w:jc w:val="right"/>
            </w:pPr>
            <w:r>
              <w:rPr>
                <w:color w:val="000000"/>
                <w:sz w:val="24"/>
              </w:rPr>
              <w:t>201,855,035.50</w:t>
            </w:r>
          </w:p>
        </w:tc>
        <w:tc>
          <w:tcPr>
            <w:tcW w:w="1680" w:type="dxa"/>
            <w:vAlign w:val="center"/>
          </w:tcPr>
          <w:p w:rsidR="00053E2D" w:rsidRDefault="00886E0E">
            <w:pPr>
              <w:jc w:val="right"/>
            </w:pPr>
            <w:r>
              <w:rPr>
                <w:color w:val="000000"/>
                <w:sz w:val="24"/>
              </w:rPr>
              <w:t>5.54</w:t>
            </w:r>
          </w:p>
        </w:tc>
      </w:tr>
      <w:tr w:rsidR="00053E2D">
        <w:trPr>
          <w:jc w:val="center"/>
        </w:trPr>
        <w:tc>
          <w:tcPr>
            <w:tcW w:w="850" w:type="dxa"/>
            <w:vAlign w:val="center"/>
          </w:tcPr>
          <w:p w:rsidR="00053E2D" w:rsidRDefault="00886E0E">
            <w:pPr>
              <w:jc w:val="center"/>
            </w:pPr>
            <w:r>
              <w:rPr>
                <w:color w:val="000000"/>
                <w:sz w:val="24"/>
              </w:rPr>
              <w:t>4</w:t>
            </w:r>
          </w:p>
        </w:tc>
        <w:tc>
          <w:tcPr>
            <w:tcW w:w="1327" w:type="dxa"/>
            <w:vAlign w:val="center"/>
          </w:tcPr>
          <w:p w:rsidR="00053E2D" w:rsidRDefault="00886E0E">
            <w:pPr>
              <w:jc w:val="center"/>
            </w:pPr>
            <w:r>
              <w:rPr>
                <w:color w:val="000000"/>
                <w:sz w:val="24"/>
              </w:rPr>
              <w:t>002053</w:t>
            </w:r>
          </w:p>
        </w:tc>
        <w:tc>
          <w:tcPr>
            <w:tcW w:w="1769" w:type="dxa"/>
            <w:vAlign w:val="center"/>
          </w:tcPr>
          <w:p w:rsidR="00053E2D" w:rsidRDefault="00886E0E">
            <w:pPr>
              <w:jc w:val="center"/>
            </w:pPr>
            <w:r>
              <w:rPr>
                <w:color w:val="000000"/>
                <w:sz w:val="24"/>
              </w:rPr>
              <w:t>云南盐化</w:t>
            </w:r>
          </w:p>
        </w:tc>
        <w:tc>
          <w:tcPr>
            <w:tcW w:w="1327" w:type="dxa"/>
            <w:vAlign w:val="center"/>
          </w:tcPr>
          <w:p w:rsidR="00053E2D" w:rsidRDefault="00886E0E">
            <w:pPr>
              <w:jc w:val="right"/>
            </w:pPr>
            <w:r>
              <w:rPr>
                <w:color w:val="000000"/>
                <w:sz w:val="24"/>
              </w:rPr>
              <w:t>6,354,690</w:t>
            </w:r>
          </w:p>
        </w:tc>
        <w:tc>
          <w:tcPr>
            <w:tcW w:w="1915" w:type="dxa"/>
            <w:vAlign w:val="center"/>
          </w:tcPr>
          <w:p w:rsidR="00053E2D" w:rsidRDefault="00886E0E">
            <w:pPr>
              <w:jc w:val="right"/>
            </w:pPr>
            <w:r>
              <w:rPr>
                <w:color w:val="000000"/>
                <w:sz w:val="24"/>
              </w:rPr>
              <w:t>180,409,649.10</w:t>
            </w:r>
          </w:p>
        </w:tc>
        <w:tc>
          <w:tcPr>
            <w:tcW w:w="1680" w:type="dxa"/>
            <w:vAlign w:val="center"/>
          </w:tcPr>
          <w:p w:rsidR="00053E2D" w:rsidRDefault="00886E0E">
            <w:pPr>
              <w:jc w:val="right"/>
            </w:pPr>
            <w:r>
              <w:rPr>
                <w:color w:val="000000"/>
                <w:sz w:val="24"/>
              </w:rPr>
              <w:t>4.95</w:t>
            </w:r>
          </w:p>
        </w:tc>
      </w:tr>
      <w:tr w:rsidR="00053E2D">
        <w:trPr>
          <w:jc w:val="center"/>
        </w:trPr>
        <w:tc>
          <w:tcPr>
            <w:tcW w:w="850" w:type="dxa"/>
            <w:vAlign w:val="center"/>
          </w:tcPr>
          <w:p w:rsidR="00053E2D" w:rsidRDefault="00886E0E">
            <w:pPr>
              <w:jc w:val="center"/>
            </w:pPr>
            <w:r>
              <w:rPr>
                <w:color w:val="000000"/>
                <w:sz w:val="24"/>
              </w:rPr>
              <w:t>5</w:t>
            </w:r>
          </w:p>
        </w:tc>
        <w:tc>
          <w:tcPr>
            <w:tcW w:w="1327" w:type="dxa"/>
            <w:vAlign w:val="center"/>
          </w:tcPr>
          <w:p w:rsidR="00053E2D" w:rsidRDefault="00886E0E">
            <w:pPr>
              <w:jc w:val="center"/>
            </w:pPr>
            <w:r>
              <w:rPr>
                <w:color w:val="000000"/>
                <w:sz w:val="24"/>
              </w:rPr>
              <w:t>600029</w:t>
            </w:r>
          </w:p>
        </w:tc>
        <w:tc>
          <w:tcPr>
            <w:tcW w:w="1769" w:type="dxa"/>
            <w:vAlign w:val="center"/>
          </w:tcPr>
          <w:p w:rsidR="00053E2D" w:rsidRDefault="00886E0E">
            <w:pPr>
              <w:jc w:val="center"/>
            </w:pPr>
            <w:r>
              <w:rPr>
                <w:color w:val="000000"/>
                <w:sz w:val="24"/>
              </w:rPr>
              <w:t>南方航空</w:t>
            </w:r>
          </w:p>
        </w:tc>
        <w:tc>
          <w:tcPr>
            <w:tcW w:w="1327" w:type="dxa"/>
            <w:vAlign w:val="center"/>
          </w:tcPr>
          <w:p w:rsidR="00053E2D" w:rsidRDefault="00886E0E">
            <w:pPr>
              <w:jc w:val="right"/>
            </w:pPr>
            <w:r>
              <w:rPr>
                <w:color w:val="000000"/>
                <w:sz w:val="24"/>
              </w:rPr>
              <w:t>22,268,444</w:t>
            </w:r>
          </w:p>
        </w:tc>
        <w:tc>
          <w:tcPr>
            <w:tcW w:w="1915" w:type="dxa"/>
            <w:vAlign w:val="center"/>
          </w:tcPr>
          <w:p w:rsidR="00053E2D" w:rsidRDefault="00886E0E">
            <w:pPr>
              <w:jc w:val="right"/>
            </w:pPr>
            <w:r>
              <w:rPr>
                <w:color w:val="000000"/>
                <w:sz w:val="24"/>
              </w:rPr>
              <w:t>157,215,214.64</w:t>
            </w:r>
          </w:p>
        </w:tc>
        <w:tc>
          <w:tcPr>
            <w:tcW w:w="1680" w:type="dxa"/>
            <w:vAlign w:val="center"/>
          </w:tcPr>
          <w:p w:rsidR="00053E2D" w:rsidRDefault="00886E0E">
            <w:pPr>
              <w:jc w:val="right"/>
            </w:pPr>
            <w:r>
              <w:rPr>
                <w:color w:val="000000"/>
                <w:sz w:val="24"/>
              </w:rPr>
              <w:t>4.32</w:t>
            </w:r>
          </w:p>
        </w:tc>
      </w:tr>
      <w:tr w:rsidR="00053E2D">
        <w:trPr>
          <w:jc w:val="center"/>
        </w:trPr>
        <w:tc>
          <w:tcPr>
            <w:tcW w:w="850" w:type="dxa"/>
            <w:vAlign w:val="center"/>
          </w:tcPr>
          <w:p w:rsidR="00053E2D" w:rsidRDefault="00886E0E">
            <w:pPr>
              <w:jc w:val="center"/>
            </w:pPr>
            <w:r>
              <w:rPr>
                <w:color w:val="000000"/>
                <w:sz w:val="24"/>
              </w:rPr>
              <w:t>6</w:t>
            </w:r>
          </w:p>
        </w:tc>
        <w:tc>
          <w:tcPr>
            <w:tcW w:w="1327" w:type="dxa"/>
            <w:vAlign w:val="center"/>
          </w:tcPr>
          <w:p w:rsidR="00053E2D" w:rsidRDefault="00886E0E">
            <w:pPr>
              <w:jc w:val="center"/>
            </w:pPr>
            <w:r>
              <w:rPr>
                <w:color w:val="000000"/>
                <w:sz w:val="24"/>
              </w:rPr>
              <w:t>002045</w:t>
            </w:r>
          </w:p>
        </w:tc>
        <w:tc>
          <w:tcPr>
            <w:tcW w:w="1769" w:type="dxa"/>
            <w:vAlign w:val="center"/>
          </w:tcPr>
          <w:p w:rsidR="00053E2D" w:rsidRDefault="00886E0E">
            <w:pPr>
              <w:jc w:val="center"/>
            </w:pPr>
            <w:r>
              <w:rPr>
                <w:color w:val="000000"/>
                <w:sz w:val="24"/>
              </w:rPr>
              <w:t>国光电器</w:t>
            </w:r>
          </w:p>
        </w:tc>
        <w:tc>
          <w:tcPr>
            <w:tcW w:w="1327" w:type="dxa"/>
            <w:vAlign w:val="center"/>
          </w:tcPr>
          <w:p w:rsidR="00053E2D" w:rsidRDefault="00886E0E">
            <w:pPr>
              <w:jc w:val="right"/>
            </w:pPr>
            <w:r>
              <w:rPr>
                <w:color w:val="000000"/>
                <w:sz w:val="24"/>
              </w:rPr>
              <w:t>9,350,225</w:t>
            </w:r>
          </w:p>
        </w:tc>
        <w:tc>
          <w:tcPr>
            <w:tcW w:w="1915" w:type="dxa"/>
            <w:vAlign w:val="center"/>
          </w:tcPr>
          <w:p w:rsidR="00053E2D" w:rsidRDefault="00886E0E">
            <w:pPr>
              <w:jc w:val="right"/>
            </w:pPr>
            <w:r>
              <w:rPr>
                <w:color w:val="000000"/>
                <w:sz w:val="24"/>
              </w:rPr>
              <w:t>133,521,213.00</w:t>
            </w:r>
          </w:p>
        </w:tc>
        <w:tc>
          <w:tcPr>
            <w:tcW w:w="1680" w:type="dxa"/>
            <w:vAlign w:val="center"/>
          </w:tcPr>
          <w:p w:rsidR="00053E2D" w:rsidRDefault="00886E0E">
            <w:pPr>
              <w:jc w:val="right"/>
            </w:pPr>
            <w:r>
              <w:rPr>
                <w:color w:val="000000"/>
                <w:sz w:val="24"/>
              </w:rPr>
              <w:t>3.67</w:t>
            </w:r>
          </w:p>
        </w:tc>
      </w:tr>
      <w:tr w:rsidR="00053E2D">
        <w:trPr>
          <w:jc w:val="center"/>
        </w:trPr>
        <w:tc>
          <w:tcPr>
            <w:tcW w:w="850" w:type="dxa"/>
            <w:vAlign w:val="center"/>
          </w:tcPr>
          <w:p w:rsidR="00053E2D" w:rsidRDefault="00886E0E">
            <w:pPr>
              <w:jc w:val="center"/>
            </w:pPr>
            <w:r>
              <w:rPr>
                <w:color w:val="000000"/>
                <w:sz w:val="24"/>
              </w:rPr>
              <w:t>7</w:t>
            </w:r>
          </w:p>
        </w:tc>
        <w:tc>
          <w:tcPr>
            <w:tcW w:w="1327" w:type="dxa"/>
            <w:vAlign w:val="center"/>
          </w:tcPr>
          <w:p w:rsidR="00053E2D" w:rsidRDefault="00886E0E">
            <w:pPr>
              <w:jc w:val="center"/>
            </w:pPr>
            <w:r>
              <w:rPr>
                <w:color w:val="000000"/>
                <w:sz w:val="24"/>
              </w:rPr>
              <w:t>600688</w:t>
            </w:r>
          </w:p>
        </w:tc>
        <w:tc>
          <w:tcPr>
            <w:tcW w:w="1769" w:type="dxa"/>
            <w:vAlign w:val="center"/>
          </w:tcPr>
          <w:p w:rsidR="00053E2D" w:rsidRDefault="00886E0E">
            <w:pPr>
              <w:jc w:val="center"/>
            </w:pPr>
            <w:r>
              <w:rPr>
                <w:color w:val="000000"/>
                <w:sz w:val="24"/>
              </w:rPr>
              <w:t>上海石化</w:t>
            </w:r>
          </w:p>
        </w:tc>
        <w:tc>
          <w:tcPr>
            <w:tcW w:w="1327" w:type="dxa"/>
            <w:vAlign w:val="center"/>
          </w:tcPr>
          <w:p w:rsidR="00053E2D" w:rsidRDefault="00886E0E">
            <w:pPr>
              <w:jc w:val="right"/>
            </w:pPr>
            <w:r>
              <w:rPr>
                <w:color w:val="000000"/>
                <w:sz w:val="24"/>
              </w:rPr>
              <w:t>12,467,300</w:t>
            </w:r>
          </w:p>
        </w:tc>
        <w:tc>
          <w:tcPr>
            <w:tcW w:w="1915" w:type="dxa"/>
            <w:vAlign w:val="center"/>
          </w:tcPr>
          <w:p w:rsidR="00053E2D" w:rsidRDefault="00886E0E">
            <w:pPr>
              <w:jc w:val="right"/>
            </w:pPr>
            <w:r>
              <w:rPr>
                <w:color w:val="000000"/>
                <w:sz w:val="24"/>
              </w:rPr>
              <w:t>76,050,530.00</w:t>
            </w:r>
          </w:p>
        </w:tc>
        <w:tc>
          <w:tcPr>
            <w:tcW w:w="1680" w:type="dxa"/>
            <w:vAlign w:val="center"/>
          </w:tcPr>
          <w:p w:rsidR="00053E2D" w:rsidRDefault="00886E0E">
            <w:pPr>
              <w:jc w:val="right"/>
            </w:pPr>
            <w:r>
              <w:rPr>
                <w:color w:val="000000"/>
                <w:sz w:val="24"/>
              </w:rPr>
              <w:t>2.09</w:t>
            </w:r>
          </w:p>
        </w:tc>
      </w:tr>
      <w:tr w:rsidR="00053E2D">
        <w:trPr>
          <w:jc w:val="center"/>
        </w:trPr>
        <w:tc>
          <w:tcPr>
            <w:tcW w:w="850" w:type="dxa"/>
            <w:vAlign w:val="center"/>
          </w:tcPr>
          <w:p w:rsidR="00053E2D" w:rsidRDefault="00886E0E">
            <w:pPr>
              <w:jc w:val="center"/>
            </w:pPr>
            <w:r>
              <w:rPr>
                <w:color w:val="000000"/>
                <w:sz w:val="24"/>
              </w:rPr>
              <w:t>8</w:t>
            </w:r>
          </w:p>
        </w:tc>
        <w:tc>
          <w:tcPr>
            <w:tcW w:w="1327" w:type="dxa"/>
            <w:vAlign w:val="center"/>
          </w:tcPr>
          <w:p w:rsidR="00053E2D" w:rsidRDefault="00886E0E">
            <w:pPr>
              <w:jc w:val="center"/>
            </w:pPr>
            <w:r>
              <w:rPr>
                <w:color w:val="000000"/>
                <w:sz w:val="24"/>
              </w:rPr>
              <w:t>601021</w:t>
            </w:r>
          </w:p>
        </w:tc>
        <w:tc>
          <w:tcPr>
            <w:tcW w:w="1769" w:type="dxa"/>
            <w:vAlign w:val="center"/>
          </w:tcPr>
          <w:p w:rsidR="00053E2D" w:rsidRDefault="00886E0E">
            <w:pPr>
              <w:jc w:val="center"/>
            </w:pPr>
            <w:r>
              <w:rPr>
                <w:color w:val="000000"/>
                <w:sz w:val="24"/>
              </w:rPr>
              <w:t>春秋航空</w:t>
            </w:r>
          </w:p>
        </w:tc>
        <w:tc>
          <w:tcPr>
            <w:tcW w:w="1327" w:type="dxa"/>
            <w:vAlign w:val="center"/>
          </w:tcPr>
          <w:p w:rsidR="00053E2D" w:rsidRDefault="00886E0E">
            <w:pPr>
              <w:jc w:val="right"/>
            </w:pPr>
            <w:r>
              <w:rPr>
                <w:color w:val="000000"/>
                <w:sz w:val="24"/>
              </w:rPr>
              <w:t>1,583,744</w:t>
            </w:r>
          </w:p>
        </w:tc>
        <w:tc>
          <w:tcPr>
            <w:tcW w:w="1915" w:type="dxa"/>
            <w:vAlign w:val="center"/>
          </w:tcPr>
          <w:p w:rsidR="00053E2D" w:rsidRDefault="00886E0E">
            <w:pPr>
              <w:jc w:val="right"/>
            </w:pPr>
            <w:r>
              <w:rPr>
                <w:color w:val="000000"/>
                <w:sz w:val="24"/>
              </w:rPr>
              <w:t>75,924,687.36</w:t>
            </w:r>
          </w:p>
        </w:tc>
        <w:tc>
          <w:tcPr>
            <w:tcW w:w="1680" w:type="dxa"/>
            <w:vAlign w:val="center"/>
          </w:tcPr>
          <w:p w:rsidR="00053E2D" w:rsidRDefault="00886E0E">
            <w:pPr>
              <w:jc w:val="right"/>
            </w:pPr>
            <w:r>
              <w:rPr>
                <w:color w:val="000000"/>
                <w:sz w:val="24"/>
              </w:rPr>
              <w:t>2.08</w:t>
            </w:r>
          </w:p>
        </w:tc>
      </w:tr>
      <w:tr w:rsidR="00053E2D">
        <w:trPr>
          <w:jc w:val="center"/>
        </w:trPr>
        <w:tc>
          <w:tcPr>
            <w:tcW w:w="850" w:type="dxa"/>
            <w:vAlign w:val="center"/>
          </w:tcPr>
          <w:p w:rsidR="00053E2D" w:rsidRDefault="00886E0E">
            <w:pPr>
              <w:jc w:val="center"/>
            </w:pPr>
            <w:r>
              <w:rPr>
                <w:color w:val="000000"/>
                <w:sz w:val="24"/>
              </w:rPr>
              <w:lastRenderedPageBreak/>
              <w:t>9</w:t>
            </w:r>
          </w:p>
        </w:tc>
        <w:tc>
          <w:tcPr>
            <w:tcW w:w="1327" w:type="dxa"/>
            <w:vAlign w:val="center"/>
          </w:tcPr>
          <w:p w:rsidR="00053E2D" w:rsidRDefault="00886E0E">
            <w:pPr>
              <w:jc w:val="center"/>
            </w:pPr>
            <w:r>
              <w:rPr>
                <w:color w:val="000000"/>
                <w:sz w:val="24"/>
              </w:rPr>
              <w:t>000513</w:t>
            </w:r>
          </w:p>
        </w:tc>
        <w:tc>
          <w:tcPr>
            <w:tcW w:w="1769" w:type="dxa"/>
            <w:vAlign w:val="center"/>
          </w:tcPr>
          <w:p w:rsidR="00053E2D" w:rsidRDefault="00886E0E">
            <w:pPr>
              <w:jc w:val="center"/>
            </w:pPr>
            <w:r>
              <w:rPr>
                <w:color w:val="000000"/>
                <w:sz w:val="24"/>
              </w:rPr>
              <w:t>丽珠集团</w:t>
            </w:r>
          </w:p>
        </w:tc>
        <w:tc>
          <w:tcPr>
            <w:tcW w:w="1327" w:type="dxa"/>
            <w:vAlign w:val="center"/>
          </w:tcPr>
          <w:p w:rsidR="00053E2D" w:rsidRDefault="00886E0E">
            <w:pPr>
              <w:jc w:val="right"/>
            </w:pPr>
            <w:r>
              <w:rPr>
                <w:color w:val="000000"/>
                <w:sz w:val="24"/>
              </w:rPr>
              <w:t>1,571,958</w:t>
            </w:r>
          </w:p>
        </w:tc>
        <w:tc>
          <w:tcPr>
            <w:tcW w:w="1915" w:type="dxa"/>
            <w:vAlign w:val="center"/>
          </w:tcPr>
          <w:p w:rsidR="00053E2D" w:rsidRDefault="00886E0E">
            <w:pPr>
              <w:jc w:val="right"/>
            </w:pPr>
            <w:r>
              <w:rPr>
                <w:color w:val="000000"/>
                <w:sz w:val="24"/>
              </w:rPr>
              <w:t>72,482,983.38</w:t>
            </w:r>
          </w:p>
        </w:tc>
        <w:tc>
          <w:tcPr>
            <w:tcW w:w="1680" w:type="dxa"/>
            <w:vAlign w:val="center"/>
          </w:tcPr>
          <w:p w:rsidR="00053E2D" w:rsidRDefault="00886E0E">
            <w:pPr>
              <w:jc w:val="right"/>
            </w:pPr>
            <w:r>
              <w:rPr>
                <w:color w:val="000000"/>
                <w:sz w:val="24"/>
              </w:rPr>
              <w:t>1.99</w:t>
            </w:r>
          </w:p>
        </w:tc>
      </w:tr>
      <w:tr w:rsidR="00053E2D">
        <w:trPr>
          <w:jc w:val="center"/>
        </w:trPr>
        <w:tc>
          <w:tcPr>
            <w:tcW w:w="850" w:type="dxa"/>
            <w:vAlign w:val="center"/>
          </w:tcPr>
          <w:p w:rsidR="00053E2D" w:rsidRDefault="00886E0E">
            <w:pPr>
              <w:jc w:val="center"/>
            </w:pPr>
            <w:r>
              <w:rPr>
                <w:color w:val="000000"/>
                <w:sz w:val="24"/>
              </w:rPr>
              <w:t>10</w:t>
            </w:r>
          </w:p>
        </w:tc>
        <w:tc>
          <w:tcPr>
            <w:tcW w:w="1327" w:type="dxa"/>
            <w:vAlign w:val="center"/>
          </w:tcPr>
          <w:p w:rsidR="00053E2D" w:rsidRDefault="00886E0E">
            <w:pPr>
              <w:jc w:val="center"/>
            </w:pPr>
            <w:r>
              <w:rPr>
                <w:color w:val="000000"/>
                <w:sz w:val="24"/>
              </w:rPr>
              <w:t>600763</w:t>
            </w:r>
          </w:p>
        </w:tc>
        <w:tc>
          <w:tcPr>
            <w:tcW w:w="1769" w:type="dxa"/>
            <w:vAlign w:val="center"/>
          </w:tcPr>
          <w:p w:rsidR="00053E2D" w:rsidRDefault="00886E0E">
            <w:pPr>
              <w:jc w:val="center"/>
            </w:pPr>
            <w:r>
              <w:rPr>
                <w:color w:val="000000"/>
                <w:sz w:val="24"/>
              </w:rPr>
              <w:t>通策医疗</w:t>
            </w:r>
          </w:p>
        </w:tc>
        <w:tc>
          <w:tcPr>
            <w:tcW w:w="1327" w:type="dxa"/>
            <w:vAlign w:val="center"/>
          </w:tcPr>
          <w:p w:rsidR="00053E2D" w:rsidRDefault="00886E0E">
            <w:pPr>
              <w:jc w:val="right"/>
            </w:pPr>
            <w:r>
              <w:rPr>
                <w:color w:val="000000"/>
                <w:sz w:val="24"/>
              </w:rPr>
              <w:t>2,318,581</w:t>
            </w:r>
          </w:p>
        </w:tc>
        <w:tc>
          <w:tcPr>
            <w:tcW w:w="1915" w:type="dxa"/>
            <w:vAlign w:val="center"/>
          </w:tcPr>
          <w:p w:rsidR="00053E2D" w:rsidRDefault="00886E0E">
            <w:pPr>
              <w:jc w:val="right"/>
            </w:pPr>
            <w:r>
              <w:rPr>
                <w:color w:val="000000"/>
                <w:sz w:val="24"/>
              </w:rPr>
              <w:t>72,293,355.58</w:t>
            </w:r>
          </w:p>
        </w:tc>
        <w:tc>
          <w:tcPr>
            <w:tcW w:w="1680" w:type="dxa"/>
            <w:vAlign w:val="center"/>
          </w:tcPr>
          <w:p w:rsidR="00053E2D" w:rsidRDefault="00886E0E">
            <w:pPr>
              <w:jc w:val="right"/>
            </w:pPr>
            <w:r>
              <w:rPr>
                <w:color w:val="000000"/>
                <w:sz w:val="24"/>
              </w:rPr>
              <w:t>1.99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004214B6">
        <w:rPr>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5.7</w:t>
      </w:r>
      <w:r w:rsidR="004214B6">
        <w:rPr>
          <w:rFonts w:eastAsiaTheme="minorEastAsia"/>
          <w:b/>
          <w:bCs/>
          <w:color w:val="000000"/>
          <w:kern w:val="0"/>
          <w:sz w:val="24"/>
        </w:rPr>
        <w:t xml:space="preserve">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390,395.35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238,296.03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307,443.44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936,134.82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886E0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932,073,239.53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820,977.20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19,794,597.00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909,598.59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32,627,907.61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94,530.42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919,239,928.92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1,636,045.37</w:t>
            </w:r>
          </w:p>
        </w:tc>
      </w:tr>
    </w:tbl>
    <w:p w:rsidR="00053E2D" w:rsidRDefault="00886E0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w:t>
      </w:r>
      <w:bookmarkStart w:id="0" w:name="_GoBack"/>
      <w:bookmarkEnd w:id="0"/>
      <w:r w:rsidRPr="007F52FA">
        <w:rPr>
          <w:rFonts w:eastAsiaTheme="minorEastAsia"/>
          <w:color w:val="000000"/>
          <w:sz w:val="24"/>
        </w:rPr>
        <w:t>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886E0E">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886E0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053E2D" w:rsidRDefault="00886E0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6F" w:rsidRDefault="0084426F">
      <w:r>
        <w:separator/>
      </w:r>
    </w:p>
  </w:endnote>
  <w:endnote w:type="continuationSeparator" w:id="0">
    <w:p w:rsidR="0084426F" w:rsidRDefault="0084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9F" w:rsidRPr="001D0DB0" w:rsidRDefault="001C1B9F"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259C2">
      <w:rPr>
        <w:noProof/>
        <w:kern w:val="0"/>
        <w:szCs w:val="21"/>
      </w:rPr>
      <w:t>12</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259C2">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9F" w:rsidRDefault="001C1B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1B9F" w:rsidRDefault="001C1B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6F" w:rsidRDefault="0084426F">
      <w:r>
        <w:separator/>
      </w:r>
    </w:p>
  </w:footnote>
  <w:footnote w:type="continuationSeparator" w:id="0">
    <w:p w:rsidR="0084426F" w:rsidRDefault="00844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9F" w:rsidRPr="002567DB" w:rsidRDefault="001C1B9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E2D"/>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B9F"/>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4B6"/>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426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14C2"/>
    <w:rsid w:val="008869BC"/>
    <w:rsid w:val="00886E0E"/>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59C2"/>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462D647-D1BD-435C-86A7-409E62F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06C8-58B2-457A-8654-603BBA87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201</TotalTime>
  <Pages>12</Pages>
  <Words>1123</Words>
  <Characters>6404</Characters>
  <Application>Microsoft Office Word</Application>
  <DocSecurity>0</DocSecurity>
  <Lines>53</Lines>
  <Paragraphs>15</Paragraphs>
  <ScaleCrop>false</ScaleCrop>
  <Company>TRT. Ltd. Co.</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367</cp:revision>
  <cp:lastPrinted>2007-07-19T00:46:00Z</cp:lastPrinted>
  <dcterms:created xsi:type="dcterms:W3CDTF">2014-01-17T06:19:00Z</dcterms:created>
  <dcterms:modified xsi:type="dcterms:W3CDTF">2016-07-16T03:38:00Z</dcterms:modified>
</cp:coreProperties>
</file>