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4B27D8">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1741" w:rsidRDefault="004B27D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B27D8">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2,440,890,563.95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B27D8">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4B27D8" w:rsidRPr="00414345" w:rsidTr="004B27D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B27D8" w:rsidRPr="00414345" w:rsidTr="004B27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10,705,481.50</w:t>
            </w:r>
          </w:p>
        </w:tc>
      </w:tr>
      <w:tr w:rsidR="004B27D8" w:rsidRPr="00414345" w:rsidTr="004B27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62,930,638.25</w:t>
            </w:r>
          </w:p>
        </w:tc>
      </w:tr>
      <w:tr w:rsidR="004B27D8" w:rsidRPr="00414345" w:rsidTr="004B27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0.0255</w:t>
            </w:r>
          </w:p>
        </w:tc>
      </w:tr>
      <w:tr w:rsidR="004B27D8" w:rsidRPr="00414345" w:rsidTr="004B27D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2,699,280,589.59</w:t>
            </w:r>
          </w:p>
        </w:tc>
      </w:tr>
      <w:tr w:rsidR="004B27D8" w:rsidRPr="00414345" w:rsidTr="004B27D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1.1059</w:t>
            </w:r>
          </w:p>
        </w:tc>
      </w:tr>
    </w:tbl>
    <w:p w:rsidR="005C1741" w:rsidRDefault="004B27D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1741">
        <w:trPr>
          <w:jc w:val="center"/>
        </w:trPr>
        <w:tc>
          <w:tcPr>
            <w:tcW w:w="1701" w:type="dxa"/>
            <w:vAlign w:val="center"/>
          </w:tcPr>
          <w:p w:rsidR="005C1741" w:rsidRDefault="004B27D8">
            <w:pPr>
              <w:jc w:val="left"/>
            </w:pPr>
            <w:r>
              <w:rPr>
                <w:color w:val="000000"/>
                <w:sz w:val="24"/>
                <w:szCs w:val="24"/>
              </w:rPr>
              <w:t>过去三个月</w:t>
            </w:r>
          </w:p>
        </w:tc>
        <w:tc>
          <w:tcPr>
            <w:tcW w:w="1045" w:type="dxa"/>
            <w:vAlign w:val="center"/>
          </w:tcPr>
          <w:p w:rsidR="005C1741" w:rsidRDefault="004B27D8">
            <w:pPr>
              <w:jc w:val="center"/>
            </w:pPr>
            <w:r>
              <w:rPr>
                <w:color w:val="000000"/>
                <w:sz w:val="24"/>
                <w:szCs w:val="24"/>
              </w:rPr>
              <w:t>2.42%</w:t>
            </w:r>
          </w:p>
        </w:tc>
        <w:tc>
          <w:tcPr>
            <w:tcW w:w="1344" w:type="dxa"/>
            <w:vAlign w:val="center"/>
          </w:tcPr>
          <w:p w:rsidR="005C1741" w:rsidRDefault="004B27D8">
            <w:pPr>
              <w:jc w:val="center"/>
            </w:pPr>
            <w:r>
              <w:rPr>
                <w:color w:val="000000"/>
                <w:sz w:val="24"/>
                <w:szCs w:val="24"/>
              </w:rPr>
              <w:t>1.15%</w:t>
            </w:r>
          </w:p>
        </w:tc>
        <w:tc>
          <w:tcPr>
            <w:tcW w:w="1194" w:type="dxa"/>
            <w:vAlign w:val="center"/>
          </w:tcPr>
          <w:p w:rsidR="005C1741" w:rsidRDefault="004B27D8">
            <w:pPr>
              <w:jc w:val="center"/>
            </w:pPr>
            <w:r>
              <w:rPr>
                <w:color w:val="000000"/>
                <w:sz w:val="24"/>
                <w:szCs w:val="24"/>
              </w:rPr>
              <w:t>-0.97%</w:t>
            </w:r>
          </w:p>
        </w:tc>
        <w:tc>
          <w:tcPr>
            <w:tcW w:w="1492" w:type="dxa"/>
            <w:vAlign w:val="center"/>
          </w:tcPr>
          <w:p w:rsidR="005C1741" w:rsidRDefault="004B27D8">
            <w:pPr>
              <w:jc w:val="center"/>
            </w:pPr>
            <w:r>
              <w:rPr>
                <w:color w:val="000000"/>
                <w:sz w:val="24"/>
                <w:szCs w:val="24"/>
              </w:rPr>
              <w:t>0.76%</w:t>
            </w:r>
          </w:p>
        </w:tc>
        <w:tc>
          <w:tcPr>
            <w:tcW w:w="1194" w:type="dxa"/>
            <w:vAlign w:val="center"/>
          </w:tcPr>
          <w:p w:rsidR="005C1741" w:rsidRDefault="004B27D8">
            <w:pPr>
              <w:jc w:val="center"/>
            </w:pPr>
            <w:r>
              <w:rPr>
                <w:color w:val="000000"/>
                <w:sz w:val="24"/>
                <w:szCs w:val="24"/>
              </w:rPr>
              <w:t>3.39%</w:t>
            </w:r>
          </w:p>
        </w:tc>
        <w:tc>
          <w:tcPr>
            <w:tcW w:w="898" w:type="dxa"/>
            <w:vAlign w:val="center"/>
          </w:tcPr>
          <w:p w:rsidR="005C1741" w:rsidRDefault="004B27D8">
            <w:pPr>
              <w:jc w:val="center"/>
            </w:pPr>
            <w:r>
              <w:rPr>
                <w:color w:val="000000"/>
                <w:sz w:val="24"/>
                <w:szCs w:val="24"/>
              </w:rPr>
              <w:t>0.39%</w:t>
            </w:r>
          </w:p>
        </w:tc>
      </w:tr>
    </w:tbl>
    <w:p w:rsidR="005C1741" w:rsidRDefault="004B27D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w:t>
      </w:r>
      <w:r w:rsidRPr="00414345">
        <w:rPr>
          <w:color w:val="000000"/>
          <w:sz w:val="24"/>
          <w:szCs w:val="24"/>
        </w:rPr>
        <w:lastRenderedPageBreak/>
        <w:t>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B27D8">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C1741">
        <w:trPr>
          <w:jc w:val="center"/>
        </w:trPr>
        <w:tc>
          <w:tcPr>
            <w:tcW w:w="846" w:type="dxa"/>
            <w:vAlign w:val="center"/>
          </w:tcPr>
          <w:p w:rsidR="005C1741" w:rsidRDefault="004B27D8">
            <w:pPr>
              <w:jc w:val="center"/>
            </w:pPr>
            <w:r>
              <w:rPr>
                <w:color w:val="000000"/>
                <w:sz w:val="24"/>
                <w:szCs w:val="24"/>
              </w:rPr>
              <w:t>唐倩</w:t>
            </w:r>
          </w:p>
        </w:tc>
        <w:tc>
          <w:tcPr>
            <w:tcW w:w="845" w:type="dxa"/>
            <w:vAlign w:val="center"/>
          </w:tcPr>
          <w:p w:rsidR="005C1741" w:rsidRDefault="004B27D8">
            <w:pPr>
              <w:jc w:val="center"/>
            </w:pPr>
            <w:r>
              <w:rPr>
                <w:color w:val="000000"/>
                <w:sz w:val="24"/>
                <w:szCs w:val="24"/>
              </w:rPr>
              <w:t>交银稳健配置混合的基金经理、公</w:t>
            </w:r>
            <w:r>
              <w:rPr>
                <w:color w:val="000000"/>
                <w:sz w:val="24"/>
                <w:szCs w:val="24"/>
              </w:rPr>
              <w:lastRenderedPageBreak/>
              <w:t>司首席基金经理</w:t>
            </w:r>
          </w:p>
        </w:tc>
        <w:tc>
          <w:tcPr>
            <w:tcW w:w="1549" w:type="dxa"/>
            <w:vAlign w:val="center"/>
          </w:tcPr>
          <w:p w:rsidR="005C1741" w:rsidRDefault="004B27D8">
            <w:pPr>
              <w:jc w:val="center"/>
            </w:pPr>
            <w:r>
              <w:rPr>
                <w:color w:val="000000"/>
                <w:sz w:val="24"/>
                <w:szCs w:val="24"/>
              </w:rPr>
              <w:lastRenderedPageBreak/>
              <w:t>2013-12-12</w:t>
            </w:r>
          </w:p>
        </w:tc>
        <w:tc>
          <w:tcPr>
            <w:tcW w:w="1548" w:type="dxa"/>
            <w:vAlign w:val="center"/>
          </w:tcPr>
          <w:p w:rsidR="005C1741" w:rsidRDefault="004B27D8">
            <w:pPr>
              <w:jc w:val="center"/>
            </w:pPr>
            <w:r>
              <w:rPr>
                <w:color w:val="000000"/>
                <w:sz w:val="24"/>
                <w:szCs w:val="24"/>
              </w:rPr>
              <w:t>-</w:t>
            </w:r>
          </w:p>
        </w:tc>
        <w:tc>
          <w:tcPr>
            <w:tcW w:w="1407" w:type="dxa"/>
            <w:vAlign w:val="center"/>
          </w:tcPr>
          <w:p w:rsidR="005C1741" w:rsidRDefault="004B27D8">
            <w:pPr>
              <w:jc w:val="center"/>
            </w:pPr>
            <w:r>
              <w:rPr>
                <w:color w:val="000000"/>
                <w:sz w:val="24"/>
                <w:szCs w:val="24"/>
              </w:rPr>
              <w:t>16</w:t>
            </w:r>
            <w:r>
              <w:rPr>
                <w:color w:val="000000"/>
                <w:sz w:val="24"/>
                <w:szCs w:val="24"/>
              </w:rPr>
              <w:t>年</w:t>
            </w:r>
          </w:p>
        </w:tc>
        <w:tc>
          <w:tcPr>
            <w:tcW w:w="2673" w:type="dxa"/>
            <w:vAlign w:val="center"/>
          </w:tcPr>
          <w:p w:rsidR="005C1741" w:rsidRDefault="004B27D8">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w:t>
            </w:r>
            <w:r>
              <w:rPr>
                <w:color w:val="000000"/>
                <w:sz w:val="24"/>
                <w:szCs w:val="24"/>
              </w:rPr>
              <w:lastRenderedPageBreak/>
              <w:t>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5C1741" w:rsidRDefault="004B27D8">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1741" w:rsidRDefault="004B27D8">
      <w:pPr>
        <w:spacing w:before="29" w:line="288" w:lineRule="auto"/>
        <w:ind w:firstLineChars="200" w:firstLine="480"/>
        <w:rPr>
          <w:color w:val="000000"/>
          <w:sz w:val="24"/>
          <w:szCs w:val="24"/>
        </w:rPr>
      </w:pPr>
      <w:r>
        <w:rPr>
          <w:color w:val="000000"/>
          <w:sz w:val="24"/>
          <w:szCs w:val="24"/>
        </w:rPr>
        <w:t>本公司制定了严格的投资控制制度和公平</w:t>
      </w:r>
      <w:r>
        <w:rPr>
          <w:color w:val="000000"/>
          <w:sz w:val="24"/>
          <w:szCs w:val="24"/>
        </w:rPr>
        <w:t>交易监控制度来保证旗下基金运作的公平，旗下所管理的所有资产组合，包括证券投资基金和特定客户资产管理专户均严格遵循制度进行公平交易。</w:t>
      </w:r>
    </w:p>
    <w:p w:rsidR="005C1741" w:rsidRDefault="004B27D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w:t>
      </w:r>
      <w:r>
        <w:rPr>
          <w:color w:val="000000"/>
          <w:sz w:val="24"/>
          <w:szCs w:val="24"/>
        </w:rPr>
        <w:t>行分配。</w:t>
      </w:r>
    </w:p>
    <w:p w:rsidR="005C1741" w:rsidRDefault="004B27D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w:t>
      </w:r>
      <w:proofErr w:type="gramStart"/>
      <w:r w:rsidRPr="00414345">
        <w:rPr>
          <w:color w:val="000000"/>
          <w:sz w:val="24"/>
          <w:szCs w:val="24"/>
        </w:rPr>
        <w:t>规</w:t>
      </w:r>
      <w:proofErr w:type="gramEnd"/>
      <w:r w:rsidRPr="00414345">
        <w:rPr>
          <w:color w:val="000000"/>
          <w:sz w:val="24"/>
          <w:szCs w:val="24"/>
        </w:rPr>
        <w:t>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C1741" w:rsidRDefault="004B27D8">
      <w:pPr>
        <w:spacing w:before="29" w:line="288" w:lineRule="auto"/>
        <w:ind w:firstLineChars="200" w:firstLine="480"/>
        <w:rPr>
          <w:color w:val="000000"/>
          <w:sz w:val="24"/>
          <w:szCs w:val="24"/>
        </w:rPr>
      </w:pPr>
      <w:r>
        <w:rPr>
          <w:color w:val="000000"/>
          <w:sz w:val="24"/>
          <w:szCs w:val="24"/>
        </w:rPr>
        <w:t>2016</w:t>
      </w:r>
      <w:r>
        <w:rPr>
          <w:color w:val="000000"/>
          <w:sz w:val="24"/>
          <w:szCs w:val="24"/>
        </w:rPr>
        <w:t>年二季度整体而言，市场在前期出现较大跌幅后，后期出现了较强的反弹走势。市场的关注点也从前期的担忧经济下行、通胀上行和汇率政策，逐渐转向产业政策和经济刺激等投资机会。一方面，美联储加息不断推迟给予全球市场的风险偏好提升有一定的缓冲时间；另一方面，国内部分行业受益于前几年的供需结构调整，有了明显的好转迹象，比如食品饮料、有色和钢铁等。另外，新能源车的持续放量给予相关公司很强的基本</w:t>
      </w:r>
      <w:proofErr w:type="gramStart"/>
      <w:r>
        <w:rPr>
          <w:color w:val="000000"/>
          <w:sz w:val="24"/>
          <w:szCs w:val="24"/>
        </w:rPr>
        <w:t>面增长</w:t>
      </w:r>
      <w:proofErr w:type="gramEnd"/>
      <w:r>
        <w:rPr>
          <w:color w:val="000000"/>
          <w:sz w:val="24"/>
          <w:szCs w:val="24"/>
        </w:rPr>
        <w:t>的动力，也是板块走强的很重要因素。本基金</w:t>
      </w:r>
      <w:r>
        <w:rPr>
          <w:color w:val="000000"/>
          <w:sz w:val="24"/>
          <w:szCs w:val="24"/>
        </w:rPr>
        <w:t>2016</w:t>
      </w:r>
      <w:r>
        <w:rPr>
          <w:color w:val="000000"/>
          <w:sz w:val="24"/>
          <w:szCs w:val="24"/>
        </w:rPr>
        <w:t>年二季度参与了家电、食品饮料等板块的投资，另外，在电子新材料上也投入了一</w:t>
      </w:r>
      <w:r>
        <w:rPr>
          <w:color w:val="000000"/>
          <w:sz w:val="24"/>
          <w:szCs w:val="24"/>
        </w:rPr>
        <w:t>些</w:t>
      </w:r>
      <w:proofErr w:type="gramStart"/>
      <w:r>
        <w:rPr>
          <w:color w:val="000000"/>
          <w:sz w:val="24"/>
          <w:szCs w:val="24"/>
        </w:rPr>
        <w:t>仓位</w:t>
      </w:r>
      <w:proofErr w:type="gramEnd"/>
      <w:r>
        <w:rPr>
          <w:color w:val="000000"/>
          <w:sz w:val="24"/>
          <w:szCs w:val="24"/>
        </w:rPr>
        <w:t>，取得了一定收益。但整体结构而言，医药和地产等板块的比重相对较高，这些板块在二季度表现不佳。因此，二季度的整体绩效一般。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就</w:t>
      </w:r>
      <w:r w:rsidRPr="00414345">
        <w:rPr>
          <w:color w:val="000000"/>
          <w:sz w:val="24"/>
          <w:szCs w:val="24"/>
        </w:rPr>
        <w:t>2016</w:t>
      </w:r>
      <w:r w:rsidRPr="00414345">
        <w:rPr>
          <w:color w:val="000000"/>
          <w:sz w:val="24"/>
          <w:szCs w:val="24"/>
        </w:rPr>
        <w:t>年三季度而言，预计大盘的上下波动区间不大。</w:t>
      </w:r>
      <w:r w:rsidRPr="00414345">
        <w:rPr>
          <w:color w:val="000000"/>
          <w:sz w:val="24"/>
          <w:szCs w:val="24"/>
        </w:rPr>
        <w:t>2016</w:t>
      </w:r>
      <w:r w:rsidRPr="00414345">
        <w:rPr>
          <w:color w:val="000000"/>
          <w:sz w:val="24"/>
          <w:szCs w:val="24"/>
        </w:rPr>
        <w:t>年上半年较好的板块也在走势或者盈利预测上有较高的预期，预计</w:t>
      </w:r>
      <w:r w:rsidRPr="00414345">
        <w:rPr>
          <w:color w:val="000000"/>
          <w:sz w:val="24"/>
          <w:szCs w:val="24"/>
        </w:rPr>
        <w:t>2016</w:t>
      </w:r>
      <w:r w:rsidRPr="00414345">
        <w:rPr>
          <w:color w:val="000000"/>
          <w:sz w:val="24"/>
          <w:szCs w:val="24"/>
        </w:rPr>
        <w:t>年三季度的赚钱效应并不大。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1.1059</w:t>
      </w:r>
      <w:r w:rsidRPr="00414345">
        <w:rPr>
          <w:color w:val="000000"/>
          <w:sz w:val="24"/>
          <w:szCs w:val="24"/>
        </w:rPr>
        <w:t>元，本报告期份额净值增长率为</w:t>
      </w:r>
      <w:r w:rsidRPr="00414345">
        <w:rPr>
          <w:color w:val="000000"/>
          <w:sz w:val="24"/>
          <w:szCs w:val="24"/>
        </w:rPr>
        <w:t>2.42%</w:t>
      </w:r>
      <w:r w:rsidRPr="00414345">
        <w:rPr>
          <w:color w:val="000000"/>
          <w:sz w:val="24"/>
          <w:szCs w:val="24"/>
        </w:rPr>
        <w:t>，同期业绩比较基准增长率为</w:t>
      </w:r>
      <w:r w:rsidRPr="00414345">
        <w:rPr>
          <w:color w:val="000000"/>
          <w:sz w:val="24"/>
          <w:szCs w:val="24"/>
        </w:rPr>
        <w:t>-0.97%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4B27D8">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B27D8">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2,253,428,309.86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2,253,428,309.86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9,585.30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9,585.30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203,658,861.83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7.52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224,383,130.26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26,652,952.60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2,708,132,839.85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38,442,851.42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1,308,172,409.91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657,199.56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53,192,264.92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99,818,920.50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47,047,810.90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246,822,698.16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155,455.79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274,132,996.22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1,189,850.48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13,895.60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16,519,475.80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167,262,480.60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2,253,428,309.86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83.48</w:t>
            </w:r>
          </w:p>
        </w:tc>
      </w:tr>
    </w:tbl>
    <w:p w:rsidR="00F51C4E" w:rsidRPr="004B27D8" w:rsidRDefault="00F51C4E" w:rsidP="004B27D8">
      <w:pPr>
        <w:rPr>
          <w:rFonts w:eastAsiaTheme="minorEastAsia"/>
          <w:b/>
          <w:color w:val="000000" w:themeColor="text1"/>
          <w:kern w:val="0"/>
          <w:sz w:val="24"/>
        </w:rPr>
      </w:pPr>
      <w:r w:rsidRPr="004B27D8">
        <w:rPr>
          <w:rFonts w:eastAsiaTheme="minorEastAsia" w:hint="eastAsia"/>
          <w:b/>
          <w:color w:val="000000" w:themeColor="text1"/>
          <w:kern w:val="0"/>
          <w:sz w:val="24"/>
        </w:rPr>
        <w:t>5.2.2</w:t>
      </w:r>
      <w:r w:rsidRPr="004B27D8">
        <w:rPr>
          <w:rFonts w:eastAsiaTheme="minorEastAsia" w:hint="eastAsia"/>
          <w:b/>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C1741">
        <w:trPr>
          <w:jc w:val="center"/>
        </w:trPr>
        <w:tc>
          <w:tcPr>
            <w:tcW w:w="855" w:type="dxa"/>
            <w:vAlign w:val="center"/>
          </w:tcPr>
          <w:p w:rsidR="005C1741" w:rsidRDefault="004B27D8">
            <w:pPr>
              <w:jc w:val="center"/>
            </w:pPr>
            <w:r>
              <w:rPr>
                <w:color w:val="000000"/>
                <w:sz w:val="24"/>
                <w:szCs w:val="24"/>
              </w:rPr>
              <w:t>1</w:t>
            </w:r>
          </w:p>
        </w:tc>
        <w:tc>
          <w:tcPr>
            <w:tcW w:w="1334" w:type="dxa"/>
            <w:vAlign w:val="center"/>
          </w:tcPr>
          <w:p w:rsidR="005C1741" w:rsidRDefault="004B27D8">
            <w:pPr>
              <w:jc w:val="center"/>
            </w:pPr>
            <w:r>
              <w:rPr>
                <w:color w:val="000000"/>
                <w:sz w:val="24"/>
                <w:szCs w:val="24"/>
              </w:rPr>
              <w:t>600521</w:t>
            </w:r>
          </w:p>
        </w:tc>
        <w:tc>
          <w:tcPr>
            <w:tcW w:w="1777" w:type="dxa"/>
            <w:vAlign w:val="center"/>
          </w:tcPr>
          <w:p w:rsidR="005C1741" w:rsidRDefault="004B27D8">
            <w:pPr>
              <w:jc w:val="center"/>
            </w:pPr>
            <w:r>
              <w:rPr>
                <w:color w:val="000000"/>
                <w:sz w:val="24"/>
                <w:szCs w:val="24"/>
              </w:rPr>
              <w:t>华海药业</w:t>
            </w:r>
          </w:p>
        </w:tc>
        <w:tc>
          <w:tcPr>
            <w:tcW w:w="1334" w:type="dxa"/>
            <w:vAlign w:val="center"/>
          </w:tcPr>
          <w:p w:rsidR="005C1741" w:rsidRDefault="004B27D8">
            <w:pPr>
              <w:jc w:val="right"/>
            </w:pPr>
            <w:r>
              <w:rPr>
                <w:color w:val="000000"/>
                <w:sz w:val="24"/>
                <w:szCs w:val="24"/>
              </w:rPr>
              <w:t>8,353,328</w:t>
            </w:r>
          </w:p>
        </w:tc>
        <w:tc>
          <w:tcPr>
            <w:tcW w:w="1924" w:type="dxa"/>
            <w:vAlign w:val="center"/>
          </w:tcPr>
          <w:p w:rsidR="005C1741" w:rsidRDefault="004B27D8">
            <w:pPr>
              <w:jc w:val="right"/>
            </w:pPr>
            <w:r>
              <w:rPr>
                <w:color w:val="000000"/>
                <w:sz w:val="24"/>
                <w:szCs w:val="24"/>
              </w:rPr>
              <w:t>203,152,936.96</w:t>
            </w:r>
          </w:p>
        </w:tc>
        <w:tc>
          <w:tcPr>
            <w:tcW w:w="1644" w:type="dxa"/>
            <w:vAlign w:val="center"/>
          </w:tcPr>
          <w:p w:rsidR="005C1741" w:rsidRDefault="004B27D8">
            <w:pPr>
              <w:jc w:val="right"/>
            </w:pPr>
            <w:r>
              <w:rPr>
                <w:color w:val="000000"/>
                <w:sz w:val="24"/>
                <w:szCs w:val="24"/>
              </w:rPr>
              <w:t>7.53</w:t>
            </w:r>
          </w:p>
        </w:tc>
      </w:tr>
      <w:tr w:rsidR="005C1741">
        <w:trPr>
          <w:jc w:val="center"/>
        </w:trPr>
        <w:tc>
          <w:tcPr>
            <w:tcW w:w="855" w:type="dxa"/>
            <w:vAlign w:val="center"/>
          </w:tcPr>
          <w:p w:rsidR="005C1741" w:rsidRDefault="004B27D8">
            <w:pPr>
              <w:jc w:val="center"/>
            </w:pPr>
            <w:r>
              <w:rPr>
                <w:color w:val="000000"/>
                <w:sz w:val="24"/>
                <w:szCs w:val="24"/>
              </w:rPr>
              <w:t>2</w:t>
            </w:r>
          </w:p>
        </w:tc>
        <w:tc>
          <w:tcPr>
            <w:tcW w:w="1334" w:type="dxa"/>
            <w:vAlign w:val="center"/>
          </w:tcPr>
          <w:p w:rsidR="005C1741" w:rsidRDefault="004B27D8">
            <w:pPr>
              <w:jc w:val="center"/>
            </w:pPr>
            <w:r>
              <w:rPr>
                <w:color w:val="000000"/>
                <w:sz w:val="24"/>
                <w:szCs w:val="24"/>
              </w:rPr>
              <w:t>300033</w:t>
            </w:r>
          </w:p>
        </w:tc>
        <w:tc>
          <w:tcPr>
            <w:tcW w:w="1777" w:type="dxa"/>
            <w:vAlign w:val="center"/>
          </w:tcPr>
          <w:p w:rsidR="005C1741" w:rsidRDefault="004B27D8">
            <w:pPr>
              <w:jc w:val="center"/>
            </w:pPr>
            <w:r>
              <w:rPr>
                <w:color w:val="000000"/>
                <w:sz w:val="24"/>
                <w:szCs w:val="24"/>
              </w:rPr>
              <w:t>同花顺</w:t>
            </w:r>
          </w:p>
        </w:tc>
        <w:tc>
          <w:tcPr>
            <w:tcW w:w="1334" w:type="dxa"/>
            <w:vAlign w:val="center"/>
          </w:tcPr>
          <w:p w:rsidR="005C1741" w:rsidRDefault="004B27D8">
            <w:pPr>
              <w:jc w:val="right"/>
            </w:pPr>
            <w:r>
              <w:rPr>
                <w:color w:val="000000"/>
                <w:sz w:val="24"/>
                <w:szCs w:val="24"/>
              </w:rPr>
              <w:t>2,374,654</w:t>
            </w:r>
          </w:p>
        </w:tc>
        <w:tc>
          <w:tcPr>
            <w:tcW w:w="1924" w:type="dxa"/>
            <w:vAlign w:val="center"/>
          </w:tcPr>
          <w:p w:rsidR="005C1741" w:rsidRDefault="004B27D8">
            <w:pPr>
              <w:jc w:val="right"/>
            </w:pPr>
            <w:r>
              <w:rPr>
                <w:color w:val="000000"/>
                <w:sz w:val="24"/>
                <w:szCs w:val="24"/>
              </w:rPr>
              <w:t>193,415,568.30</w:t>
            </w:r>
          </w:p>
        </w:tc>
        <w:tc>
          <w:tcPr>
            <w:tcW w:w="1644" w:type="dxa"/>
            <w:vAlign w:val="center"/>
          </w:tcPr>
          <w:p w:rsidR="005C1741" w:rsidRDefault="004B27D8">
            <w:pPr>
              <w:jc w:val="right"/>
            </w:pPr>
            <w:r>
              <w:rPr>
                <w:color w:val="000000"/>
                <w:sz w:val="24"/>
                <w:szCs w:val="24"/>
              </w:rPr>
              <w:t>7.17</w:t>
            </w:r>
          </w:p>
        </w:tc>
      </w:tr>
      <w:tr w:rsidR="005C1741">
        <w:trPr>
          <w:jc w:val="center"/>
        </w:trPr>
        <w:tc>
          <w:tcPr>
            <w:tcW w:w="855" w:type="dxa"/>
            <w:vAlign w:val="center"/>
          </w:tcPr>
          <w:p w:rsidR="005C1741" w:rsidRDefault="004B27D8">
            <w:pPr>
              <w:jc w:val="center"/>
            </w:pPr>
            <w:r>
              <w:rPr>
                <w:color w:val="000000"/>
                <w:sz w:val="24"/>
                <w:szCs w:val="24"/>
              </w:rPr>
              <w:t>3</w:t>
            </w:r>
          </w:p>
        </w:tc>
        <w:tc>
          <w:tcPr>
            <w:tcW w:w="1334" w:type="dxa"/>
            <w:vAlign w:val="center"/>
          </w:tcPr>
          <w:p w:rsidR="005C1741" w:rsidRDefault="004B27D8">
            <w:pPr>
              <w:jc w:val="center"/>
            </w:pPr>
            <w:r>
              <w:rPr>
                <w:color w:val="000000"/>
                <w:sz w:val="24"/>
                <w:szCs w:val="24"/>
              </w:rPr>
              <w:t>000538</w:t>
            </w:r>
          </w:p>
        </w:tc>
        <w:tc>
          <w:tcPr>
            <w:tcW w:w="1777" w:type="dxa"/>
            <w:vAlign w:val="center"/>
          </w:tcPr>
          <w:p w:rsidR="005C1741" w:rsidRDefault="004B27D8">
            <w:pPr>
              <w:jc w:val="center"/>
            </w:pPr>
            <w:r>
              <w:rPr>
                <w:color w:val="000000"/>
                <w:sz w:val="24"/>
                <w:szCs w:val="24"/>
              </w:rPr>
              <w:t>云南白药</w:t>
            </w:r>
          </w:p>
        </w:tc>
        <w:tc>
          <w:tcPr>
            <w:tcW w:w="1334" w:type="dxa"/>
            <w:vAlign w:val="center"/>
          </w:tcPr>
          <w:p w:rsidR="005C1741" w:rsidRDefault="004B27D8">
            <w:pPr>
              <w:jc w:val="right"/>
            </w:pPr>
            <w:r>
              <w:rPr>
                <w:color w:val="000000"/>
                <w:sz w:val="24"/>
                <w:szCs w:val="24"/>
              </w:rPr>
              <w:t>2,983,198</w:t>
            </w:r>
          </w:p>
        </w:tc>
        <w:tc>
          <w:tcPr>
            <w:tcW w:w="1924" w:type="dxa"/>
            <w:vAlign w:val="center"/>
          </w:tcPr>
          <w:p w:rsidR="005C1741" w:rsidRDefault="004B27D8">
            <w:pPr>
              <w:jc w:val="right"/>
            </w:pPr>
            <w:r>
              <w:rPr>
                <w:color w:val="000000"/>
                <w:sz w:val="24"/>
                <w:szCs w:val="24"/>
              </w:rPr>
              <w:t>191,819,631.40</w:t>
            </w:r>
          </w:p>
        </w:tc>
        <w:tc>
          <w:tcPr>
            <w:tcW w:w="1644" w:type="dxa"/>
            <w:vAlign w:val="center"/>
          </w:tcPr>
          <w:p w:rsidR="005C1741" w:rsidRDefault="004B27D8">
            <w:pPr>
              <w:jc w:val="right"/>
            </w:pPr>
            <w:r>
              <w:rPr>
                <w:color w:val="000000"/>
                <w:sz w:val="24"/>
                <w:szCs w:val="24"/>
              </w:rPr>
              <w:t>7.11</w:t>
            </w:r>
          </w:p>
        </w:tc>
      </w:tr>
      <w:tr w:rsidR="005C1741">
        <w:trPr>
          <w:jc w:val="center"/>
        </w:trPr>
        <w:tc>
          <w:tcPr>
            <w:tcW w:w="855" w:type="dxa"/>
            <w:vAlign w:val="center"/>
          </w:tcPr>
          <w:p w:rsidR="005C1741" w:rsidRDefault="004B27D8">
            <w:pPr>
              <w:jc w:val="center"/>
            </w:pPr>
            <w:r>
              <w:rPr>
                <w:color w:val="000000"/>
                <w:sz w:val="24"/>
                <w:szCs w:val="24"/>
              </w:rPr>
              <w:t>4</w:t>
            </w:r>
          </w:p>
        </w:tc>
        <w:tc>
          <w:tcPr>
            <w:tcW w:w="1334" w:type="dxa"/>
            <w:vAlign w:val="center"/>
          </w:tcPr>
          <w:p w:rsidR="005C1741" w:rsidRDefault="004B27D8">
            <w:pPr>
              <w:jc w:val="center"/>
            </w:pPr>
            <w:r>
              <w:rPr>
                <w:color w:val="000000"/>
                <w:sz w:val="24"/>
                <w:szCs w:val="24"/>
              </w:rPr>
              <w:t>600887</w:t>
            </w:r>
          </w:p>
        </w:tc>
        <w:tc>
          <w:tcPr>
            <w:tcW w:w="1777" w:type="dxa"/>
            <w:vAlign w:val="center"/>
          </w:tcPr>
          <w:p w:rsidR="005C1741" w:rsidRDefault="004B27D8">
            <w:pPr>
              <w:jc w:val="center"/>
            </w:pPr>
            <w:r>
              <w:rPr>
                <w:color w:val="000000"/>
                <w:sz w:val="24"/>
                <w:szCs w:val="24"/>
              </w:rPr>
              <w:t>伊利股份</w:t>
            </w:r>
          </w:p>
        </w:tc>
        <w:tc>
          <w:tcPr>
            <w:tcW w:w="1334" w:type="dxa"/>
            <w:vAlign w:val="center"/>
          </w:tcPr>
          <w:p w:rsidR="005C1741" w:rsidRDefault="004B27D8">
            <w:pPr>
              <w:jc w:val="right"/>
            </w:pPr>
            <w:r>
              <w:rPr>
                <w:color w:val="000000"/>
                <w:sz w:val="24"/>
                <w:szCs w:val="24"/>
              </w:rPr>
              <w:t>11,141,733</w:t>
            </w:r>
          </w:p>
        </w:tc>
        <w:tc>
          <w:tcPr>
            <w:tcW w:w="1924" w:type="dxa"/>
            <w:vAlign w:val="center"/>
          </w:tcPr>
          <w:p w:rsidR="005C1741" w:rsidRDefault="004B27D8">
            <w:pPr>
              <w:jc w:val="right"/>
            </w:pPr>
            <w:r>
              <w:rPr>
                <w:color w:val="000000"/>
                <w:sz w:val="24"/>
                <w:szCs w:val="24"/>
              </w:rPr>
              <w:t>185,732,689.11</w:t>
            </w:r>
          </w:p>
        </w:tc>
        <w:tc>
          <w:tcPr>
            <w:tcW w:w="1644" w:type="dxa"/>
            <w:vAlign w:val="center"/>
          </w:tcPr>
          <w:p w:rsidR="005C1741" w:rsidRDefault="004B27D8">
            <w:pPr>
              <w:jc w:val="right"/>
            </w:pPr>
            <w:r>
              <w:rPr>
                <w:color w:val="000000"/>
                <w:sz w:val="24"/>
                <w:szCs w:val="24"/>
              </w:rPr>
              <w:t>6.88</w:t>
            </w:r>
          </w:p>
        </w:tc>
      </w:tr>
      <w:tr w:rsidR="005C1741">
        <w:trPr>
          <w:jc w:val="center"/>
        </w:trPr>
        <w:tc>
          <w:tcPr>
            <w:tcW w:w="855" w:type="dxa"/>
            <w:vAlign w:val="center"/>
          </w:tcPr>
          <w:p w:rsidR="005C1741" w:rsidRDefault="004B27D8">
            <w:pPr>
              <w:jc w:val="center"/>
            </w:pPr>
            <w:r>
              <w:rPr>
                <w:color w:val="000000"/>
                <w:sz w:val="24"/>
                <w:szCs w:val="24"/>
              </w:rPr>
              <w:t>5</w:t>
            </w:r>
          </w:p>
        </w:tc>
        <w:tc>
          <w:tcPr>
            <w:tcW w:w="1334" w:type="dxa"/>
            <w:vAlign w:val="center"/>
          </w:tcPr>
          <w:p w:rsidR="005C1741" w:rsidRDefault="004B27D8">
            <w:pPr>
              <w:jc w:val="center"/>
            </w:pPr>
            <w:r>
              <w:rPr>
                <w:color w:val="000000"/>
                <w:sz w:val="24"/>
                <w:szCs w:val="24"/>
              </w:rPr>
              <w:t>600622</w:t>
            </w:r>
          </w:p>
        </w:tc>
        <w:tc>
          <w:tcPr>
            <w:tcW w:w="1777" w:type="dxa"/>
            <w:vAlign w:val="center"/>
          </w:tcPr>
          <w:p w:rsidR="005C1741" w:rsidRDefault="004B27D8">
            <w:pPr>
              <w:jc w:val="center"/>
            </w:pPr>
            <w:r>
              <w:rPr>
                <w:color w:val="000000"/>
                <w:sz w:val="24"/>
                <w:szCs w:val="24"/>
              </w:rPr>
              <w:t>嘉宝集团</w:t>
            </w:r>
          </w:p>
        </w:tc>
        <w:tc>
          <w:tcPr>
            <w:tcW w:w="1334" w:type="dxa"/>
            <w:vAlign w:val="center"/>
          </w:tcPr>
          <w:p w:rsidR="005C1741" w:rsidRDefault="004B27D8">
            <w:pPr>
              <w:jc w:val="right"/>
            </w:pPr>
            <w:r>
              <w:rPr>
                <w:color w:val="000000"/>
                <w:sz w:val="24"/>
                <w:szCs w:val="24"/>
              </w:rPr>
              <w:t>12,363,079</w:t>
            </w:r>
          </w:p>
        </w:tc>
        <w:tc>
          <w:tcPr>
            <w:tcW w:w="1924" w:type="dxa"/>
            <w:vAlign w:val="center"/>
          </w:tcPr>
          <w:p w:rsidR="005C1741" w:rsidRDefault="004B27D8">
            <w:pPr>
              <w:jc w:val="right"/>
            </w:pPr>
            <w:r>
              <w:rPr>
                <w:color w:val="000000"/>
                <w:sz w:val="24"/>
                <w:szCs w:val="24"/>
              </w:rPr>
              <w:t>169,992,336.25</w:t>
            </w:r>
          </w:p>
        </w:tc>
        <w:tc>
          <w:tcPr>
            <w:tcW w:w="1644" w:type="dxa"/>
            <w:vAlign w:val="center"/>
          </w:tcPr>
          <w:p w:rsidR="005C1741" w:rsidRDefault="004B27D8">
            <w:pPr>
              <w:jc w:val="right"/>
            </w:pPr>
            <w:r>
              <w:rPr>
                <w:color w:val="000000"/>
                <w:sz w:val="24"/>
                <w:szCs w:val="24"/>
              </w:rPr>
              <w:t>6.30</w:t>
            </w:r>
          </w:p>
        </w:tc>
      </w:tr>
      <w:tr w:rsidR="005C1741">
        <w:trPr>
          <w:jc w:val="center"/>
        </w:trPr>
        <w:tc>
          <w:tcPr>
            <w:tcW w:w="855" w:type="dxa"/>
            <w:vAlign w:val="center"/>
          </w:tcPr>
          <w:p w:rsidR="005C1741" w:rsidRDefault="004B27D8">
            <w:pPr>
              <w:jc w:val="center"/>
            </w:pPr>
            <w:r>
              <w:rPr>
                <w:color w:val="000000"/>
                <w:sz w:val="24"/>
                <w:szCs w:val="24"/>
              </w:rPr>
              <w:t>6</w:t>
            </w:r>
          </w:p>
        </w:tc>
        <w:tc>
          <w:tcPr>
            <w:tcW w:w="1334" w:type="dxa"/>
            <w:vAlign w:val="center"/>
          </w:tcPr>
          <w:p w:rsidR="005C1741" w:rsidRDefault="004B27D8">
            <w:pPr>
              <w:jc w:val="center"/>
            </w:pPr>
            <w:r>
              <w:rPr>
                <w:color w:val="000000"/>
                <w:sz w:val="24"/>
                <w:szCs w:val="24"/>
              </w:rPr>
              <w:t>300144</w:t>
            </w:r>
          </w:p>
        </w:tc>
        <w:tc>
          <w:tcPr>
            <w:tcW w:w="1777" w:type="dxa"/>
            <w:vAlign w:val="center"/>
          </w:tcPr>
          <w:p w:rsidR="005C1741" w:rsidRDefault="004B27D8">
            <w:pPr>
              <w:jc w:val="center"/>
            </w:pPr>
            <w:r>
              <w:rPr>
                <w:color w:val="000000"/>
                <w:sz w:val="24"/>
                <w:szCs w:val="24"/>
              </w:rPr>
              <w:t>宋城演艺</w:t>
            </w:r>
          </w:p>
        </w:tc>
        <w:tc>
          <w:tcPr>
            <w:tcW w:w="1334" w:type="dxa"/>
            <w:vAlign w:val="center"/>
          </w:tcPr>
          <w:p w:rsidR="005C1741" w:rsidRDefault="004B27D8">
            <w:pPr>
              <w:jc w:val="right"/>
            </w:pPr>
            <w:r>
              <w:rPr>
                <w:color w:val="000000"/>
                <w:sz w:val="24"/>
                <w:szCs w:val="24"/>
              </w:rPr>
              <w:t>4,676,461</w:t>
            </w:r>
          </w:p>
        </w:tc>
        <w:tc>
          <w:tcPr>
            <w:tcW w:w="1924" w:type="dxa"/>
            <w:vAlign w:val="center"/>
          </w:tcPr>
          <w:p w:rsidR="005C1741" w:rsidRDefault="004B27D8">
            <w:pPr>
              <w:jc w:val="right"/>
            </w:pPr>
            <w:r>
              <w:rPr>
                <w:color w:val="000000"/>
                <w:sz w:val="24"/>
                <w:szCs w:val="24"/>
              </w:rPr>
              <w:t>116,490,643.51</w:t>
            </w:r>
          </w:p>
        </w:tc>
        <w:tc>
          <w:tcPr>
            <w:tcW w:w="1644" w:type="dxa"/>
            <w:vAlign w:val="center"/>
          </w:tcPr>
          <w:p w:rsidR="005C1741" w:rsidRDefault="004B27D8">
            <w:pPr>
              <w:jc w:val="right"/>
            </w:pPr>
            <w:r>
              <w:rPr>
                <w:color w:val="000000"/>
                <w:sz w:val="24"/>
                <w:szCs w:val="24"/>
              </w:rPr>
              <w:t>4.32</w:t>
            </w:r>
          </w:p>
        </w:tc>
      </w:tr>
      <w:tr w:rsidR="005C1741">
        <w:trPr>
          <w:jc w:val="center"/>
        </w:trPr>
        <w:tc>
          <w:tcPr>
            <w:tcW w:w="855" w:type="dxa"/>
            <w:vAlign w:val="center"/>
          </w:tcPr>
          <w:p w:rsidR="005C1741" w:rsidRDefault="004B27D8">
            <w:pPr>
              <w:jc w:val="center"/>
            </w:pPr>
            <w:r>
              <w:rPr>
                <w:color w:val="000000"/>
                <w:sz w:val="24"/>
                <w:szCs w:val="24"/>
              </w:rPr>
              <w:t>7</w:t>
            </w:r>
          </w:p>
        </w:tc>
        <w:tc>
          <w:tcPr>
            <w:tcW w:w="1334" w:type="dxa"/>
            <w:vAlign w:val="center"/>
          </w:tcPr>
          <w:p w:rsidR="005C1741" w:rsidRDefault="004B27D8">
            <w:pPr>
              <w:jc w:val="center"/>
            </w:pPr>
            <w:r>
              <w:rPr>
                <w:color w:val="000000"/>
                <w:sz w:val="24"/>
                <w:szCs w:val="24"/>
              </w:rPr>
              <w:t>600519</w:t>
            </w:r>
          </w:p>
        </w:tc>
        <w:tc>
          <w:tcPr>
            <w:tcW w:w="1777" w:type="dxa"/>
            <w:vAlign w:val="center"/>
          </w:tcPr>
          <w:p w:rsidR="005C1741" w:rsidRDefault="004B27D8">
            <w:pPr>
              <w:jc w:val="center"/>
            </w:pPr>
            <w:r>
              <w:rPr>
                <w:color w:val="000000"/>
                <w:sz w:val="24"/>
                <w:szCs w:val="24"/>
              </w:rPr>
              <w:t>贵州茅台</w:t>
            </w:r>
          </w:p>
        </w:tc>
        <w:tc>
          <w:tcPr>
            <w:tcW w:w="1334" w:type="dxa"/>
            <w:vAlign w:val="center"/>
          </w:tcPr>
          <w:p w:rsidR="005C1741" w:rsidRDefault="004B27D8">
            <w:pPr>
              <w:jc w:val="right"/>
            </w:pPr>
            <w:r>
              <w:rPr>
                <w:color w:val="000000"/>
                <w:sz w:val="24"/>
                <w:szCs w:val="24"/>
              </w:rPr>
              <w:t>385,201</w:t>
            </w:r>
          </w:p>
        </w:tc>
        <w:tc>
          <w:tcPr>
            <w:tcW w:w="1924" w:type="dxa"/>
            <w:vAlign w:val="center"/>
          </w:tcPr>
          <w:p w:rsidR="005C1741" w:rsidRDefault="004B27D8">
            <w:pPr>
              <w:jc w:val="right"/>
            </w:pPr>
            <w:r>
              <w:rPr>
                <w:color w:val="000000"/>
                <w:sz w:val="24"/>
                <w:szCs w:val="24"/>
              </w:rPr>
              <w:t>112,447,875.92</w:t>
            </w:r>
          </w:p>
        </w:tc>
        <w:tc>
          <w:tcPr>
            <w:tcW w:w="1644" w:type="dxa"/>
            <w:vAlign w:val="center"/>
          </w:tcPr>
          <w:p w:rsidR="005C1741" w:rsidRDefault="004B27D8">
            <w:pPr>
              <w:jc w:val="right"/>
            </w:pPr>
            <w:r>
              <w:rPr>
                <w:color w:val="000000"/>
                <w:sz w:val="24"/>
                <w:szCs w:val="24"/>
              </w:rPr>
              <w:t>4.17</w:t>
            </w:r>
          </w:p>
        </w:tc>
      </w:tr>
      <w:tr w:rsidR="005C1741">
        <w:trPr>
          <w:jc w:val="center"/>
        </w:trPr>
        <w:tc>
          <w:tcPr>
            <w:tcW w:w="855" w:type="dxa"/>
            <w:vAlign w:val="center"/>
          </w:tcPr>
          <w:p w:rsidR="005C1741" w:rsidRDefault="004B27D8">
            <w:pPr>
              <w:jc w:val="center"/>
            </w:pPr>
            <w:r>
              <w:rPr>
                <w:color w:val="000000"/>
                <w:sz w:val="24"/>
                <w:szCs w:val="24"/>
              </w:rPr>
              <w:t>8</w:t>
            </w:r>
          </w:p>
        </w:tc>
        <w:tc>
          <w:tcPr>
            <w:tcW w:w="1334" w:type="dxa"/>
            <w:vAlign w:val="center"/>
          </w:tcPr>
          <w:p w:rsidR="005C1741" w:rsidRDefault="004B27D8">
            <w:pPr>
              <w:jc w:val="center"/>
            </w:pPr>
            <w:r>
              <w:rPr>
                <w:color w:val="000000"/>
                <w:sz w:val="24"/>
                <w:szCs w:val="24"/>
              </w:rPr>
              <w:t>002594</w:t>
            </w:r>
          </w:p>
        </w:tc>
        <w:tc>
          <w:tcPr>
            <w:tcW w:w="1777" w:type="dxa"/>
            <w:vAlign w:val="center"/>
          </w:tcPr>
          <w:p w:rsidR="005C1741" w:rsidRDefault="004B27D8">
            <w:pPr>
              <w:jc w:val="center"/>
            </w:pPr>
            <w:r>
              <w:rPr>
                <w:color w:val="000000"/>
                <w:sz w:val="24"/>
                <w:szCs w:val="24"/>
              </w:rPr>
              <w:t>比亚</w:t>
            </w:r>
            <w:proofErr w:type="gramStart"/>
            <w:r>
              <w:rPr>
                <w:color w:val="000000"/>
                <w:sz w:val="24"/>
                <w:szCs w:val="24"/>
              </w:rPr>
              <w:t>迪</w:t>
            </w:r>
            <w:proofErr w:type="gramEnd"/>
          </w:p>
        </w:tc>
        <w:tc>
          <w:tcPr>
            <w:tcW w:w="1334" w:type="dxa"/>
            <w:vAlign w:val="center"/>
          </w:tcPr>
          <w:p w:rsidR="005C1741" w:rsidRDefault="004B27D8">
            <w:pPr>
              <w:jc w:val="right"/>
            </w:pPr>
            <w:r>
              <w:rPr>
                <w:color w:val="000000"/>
                <w:sz w:val="24"/>
                <w:szCs w:val="24"/>
              </w:rPr>
              <w:t>1,709,382</w:t>
            </w:r>
          </w:p>
        </w:tc>
        <w:tc>
          <w:tcPr>
            <w:tcW w:w="1924" w:type="dxa"/>
            <w:vAlign w:val="center"/>
          </w:tcPr>
          <w:p w:rsidR="005C1741" w:rsidRDefault="004B27D8">
            <w:pPr>
              <w:jc w:val="right"/>
            </w:pPr>
            <w:r>
              <w:rPr>
                <w:color w:val="000000"/>
                <w:sz w:val="24"/>
                <w:szCs w:val="24"/>
              </w:rPr>
              <w:t>104,289,395.82</w:t>
            </w:r>
          </w:p>
        </w:tc>
        <w:tc>
          <w:tcPr>
            <w:tcW w:w="1644" w:type="dxa"/>
            <w:vAlign w:val="center"/>
          </w:tcPr>
          <w:p w:rsidR="005C1741" w:rsidRDefault="004B27D8">
            <w:pPr>
              <w:jc w:val="right"/>
            </w:pPr>
            <w:r>
              <w:rPr>
                <w:color w:val="000000"/>
                <w:sz w:val="24"/>
                <w:szCs w:val="24"/>
              </w:rPr>
              <w:t>3.86</w:t>
            </w:r>
          </w:p>
        </w:tc>
      </w:tr>
      <w:tr w:rsidR="005C1741">
        <w:trPr>
          <w:jc w:val="center"/>
        </w:trPr>
        <w:tc>
          <w:tcPr>
            <w:tcW w:w="855" w:type="dxa"/>
            <w:vAlign w:val="center"/>
          </w:tcPr>
          <w:p w:rsidR="005C1741" w:rsidRDefault="004B27D8">
            <w:pPr>
              <w:jc w:val="center"/>
            </w:pPr>
            <w:r>
              <w:rPr>
                <w:color w:val="000000"/>
                <w:sz w:val="24"/>
                <w:szCs w:val="24"/>
              </w:rPr>
              <w:t>9</w:t>
            </w:r>
          </w:p>
        </w:tc>
        <w:tc>
          <w:tcPr>
            <w:tcW w:w="1334" w:type="dxa"/>
            <w:vAlign w:val="center"/>
          </w:tcPr>
          <w:p w:rsidR="005C1741" w:rsidRDefault="004B27D8">
            <w:pPr>
              <w:jc w:val="center"/>
            </w:pPr>
            <w:r>
              <w:rPr>
                <w:color w:val="000000"/>
                <w:sz w:val="24"/>
                <w:szCs w:val="24"/>
              </w:rPr>
              <w:t>000333</w:t>
            </w:r>
          </w:p>
        </w:tc>
        <w:tc>
          <w:tcPr>
            <w:tcW w:w="1777" w:type="dxa"/>
            <w:vAlign w:val="center"/>
          </w:tcPr>
          <w:p w:rsidR="005C1741" w:rsidRDefault="004B27D8">
            <w:pPr>
              <w:jc w:val="center"/>
            </w:pPr>
            <w:r>
              <w:rPr>
                <w:color w:val="000000"/>
                <w:sz w:val="24"/>
                <w:szCs w:val="24"/>
              </w:rPr>
              <w:t>美的集团</w:t>
            </w:r>
          </w:p>
        </w:tc>
        <w:tc>
          <w:tcPr>
            <w:tcW w:w="1334" w:type="dxa"/>
            <w:vAlign w:val="center"/>
          </w:tcPr>
          <w:p w:rsidR="005C1741" w:rsidRDefault="004B27D8">
            <w:pPr>
              <w:jc w:val="right"/>
            </w:pPr>
            <w:r>
              <w:rPr>
                <w:color w:val="000000"/>
                <w:sz w:val="24"/>
                <w:szCs w:val="24"/>
              </w:rPr>
              <w:t>4,108,578</w:t>
            </w:r>
          </w:p>
        </w:tc>
        <w:tc>
          <w:tcPr>
            <w:tcW w:w="1924" w:type="dxa"/>
            <w:vAlign w:val="center"/>
          </w:tcPr>
          <w:p w:rsidR="005C1741" w:rsidRDefault="004B27D8">
            <w:pPr>
              <w:jc w:val="right"/>
            </w:pPr>
            <w:r>
              <w:rPr>
                <w:color w:val="000000"/>
                <w:sz w:val="24"/>
                <w:szCs w:val="24"/>
              </w:rPr>
              <w:t>97,455,470.16</w:t>
            </w:r>
          </w:p>
        </w:tc>
        <w:tc>
          <w:tcPr>
            <w:tcW w:w="1644" w:type="dxa"/>
            <w:vAlign w:val="center"/>
          </w:tcPr>
          <w:p w:rsidR="005C1741" w:rsidRDefault="004B27D8">
            <w:pPr>
              <w:jc w:val="right"/>
            </w:pPr>
            <w:r>
              <w:rPr>
                <w:color w:val="000000"/>
                <w:sz w:val="24"/>
                <w:szCs w:val="24"/>
              </w:rPr>
              <w:t>3.61</w:t>
            </w:r>
          </w:p>
        </w:tc>
      </w:tr>
      <w:tr w:rsidR="005C1741">
        <w:trPr>
          <w:jc w:val="center"/>
        </w:trPr>
        <w:tc>
          <w:tcPr>
            <w:tcW w:w="855" w:type="dxa"/>
            <w:vAlign w:val="center"/>
          </w:tcPr>
          <w:p w:rsidR="005C1741" w:rsidRDefault="004B27D8">
            <w:pPr>
              <w:jc w:val="center"/>
            </w:pPr>
            <w:r>
              <w:rPr>
                <w:color w:val="000000"/>
                <w:sz w:val="24"/>
                <w:szCs w:val="24"/>
              </w:rPr>
              <w:t>10</w:t>
            </w:r>
          </w:p>
        </w:tc>
        <w:tc>
          <w:tcPr>
            <w:tcW w:w="1334" w:type="dxa"/>
            <w:vAlign w:val="center"/>
          </w:tcPr>
          <w:p w:rsidR="005C1741" w:rsidRDefault="004B27D8">
            <w:pPr>
              <w:jc w:val="center"/>
            </w:pPr>
            <w:r>
              <w:rPr>
                <w:color w:val="000000"/>
                <w:sz w:val="24"/>
                <w:szCs w:val="24"/>
              </w:rPr>
              <w:t>000963</w:t>
            </w:r>
          </w:p>
        </w:tc>
        <w:tc>
          <w:tcPr>
            <w:tcW w:w="1777" w:type="dxa"/>
            <w:vAlign w:val="center"/>
          </w:tcPr>
          <w:p w:rsidR="005C1741" w:rsidRDefault="004B27D8">
            <w:pPr>
              <w:jc w:val="center"/>
            </w:pPr>
            <w:r>
              <w:rPr>
                <w:color w:val="000000"/>
                <w:sz w:val="24"/>
                <w:szCs w:val="24"/>
              </w:rPr>
              <w:t>华东医药</w:t>
            </w:r>
          </w:p>
        </w:tc>
        <w:tc>
          <w:tcPr>
            <w:tcW w:w="1334" w:type="dxa"/>
            <w:vAlign w:val="center"/>
          </w:tcPr>
          <w:p w:rsidR="005C1741" w:rsidRDefault="004B27D8">
            <w:pPr>
              <w:jc w:val="right"/>
            </w:pPr>
            <w:r>
              <w:rPr>
                <w:color w:val="000000"/>
                <w:sz w:val="24"/>
                <w:szCs w:val="24"/>
              </w:rPr>
              <w:t>1,401,203</w:t>
            </w:r>
          </w:p>
        </w:tc>
        <w:tc>
          <w:tcPr>
            <w:tcW w:w="1924" w:type="dxa"/>
            <w:vAlign w:val="center"/>
          </w:tcPr>
          <w:p w:rsidR="005C1741" w:rsidRDefault="004B27D8">
            <w:pPr>
              <w:jc w:val="right"/>
            </w:pPr>
            <w:r>
              <w:rPr>
                <w:color w:val="000000"/>
                <w:sz w:val="24"/>
                <w:szCs w:val="24"/>
              </w:rPr>
              <w:t>94,441,082.20</w:t>
            </w:r>
          </w:p>
        </w:tc>
        <w:tc>
          <w:tcPr>
            <w:tcW w:w="1644" w:type="dxa"/>
            <w:vAlign w:val="center"/>
          </w:tcPr>
          <w:p w:rsidR="005C1741" w:rsidRDefault="004B27D8">
            <w:pPr>
              <w:jc w:val="right"/>
            </w:pPr>
            <w:r>
              <w:rPr>
                <w:color w:val="000000"/>
                <w:sz w:val="24"/>
                <w:szCs w:val="24"/>
              </w:rPr>
              <w:t>3.50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9,585.30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9,585.30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C1741">
        <w:trPr>
          <w:jc w:val="center"/>
        </w:trPr>
        <w:tc>
          <w:tcPr>
            <w:tcW w:w="850" w:type="dxa"/>
            <w:vAlign w:val="center"/>
          </w:tcPr>
          <w:p w:rsidR="005C1741" w:rsidRDefault="004B27D8">
            <w:pPr>
              <w:jc w:val="center"/>
            </w:pPr>
            <w:r>
              <w:rPr>
                <w:color w:val="000000"/>
                <w:sz w:val="24"/>
                <w:szCs w:val="24"/>
              </w:rPr>
              <w:t>1</w:t>
            </w:r>
          </w:p>
        </w:tc>
        <w:tc>
          <w:tcPr>
            <w:tcW w:w="1475" w:type="dxa"/>
            <w:vAlign w:val="center"/>
          </w:tcPr>
          <w:p w:rsidR="005C1741" w:rsidRDefault="004B27D8">
            <w:pPr>
              <w:jc w:val="center"/>
            </w:pPr>
            <w:r>
              <w:rPr>
                <w:color w:val="000000"/>
                <w:sz w:val="24"/>
                <w:szCs w:val="24"/>
              </w:rPr>
              <w:t>123001</w:t>
            </w:r>
          </w:p>
        </w:tc>
        <w:tc>
          <w:tcPr>
            <w:tcW w:w="1769" w:type="dxa"/>
            <w:vAlign w:val="center"/>
          </w:tcPr>
          <w:p w:rsidR="005C1741" w:rsidRDefault="004B27D8">
            <w:pPr>
              <w:jc w:val="center"/>
            </w:pPr>
            <w:proofErr w:type="gramStart"/>
            <w:r>
              <w:rPr>
                <w:color w:val="000000"/>
                <w:sz w:val="24"/>
                <w:szCs w:val="24"/>
              </w:rPr>
              <w:t>蓝标转</w:t>
            </w:r>
            <w:proofErr w:type="gramEnd"/>
            <w:r>
              <w:rPr>
                <w:color w:val="000000"/>
                <w:sz w:val="24"/>
                <w:szCs w:val="24"/>
              </w:rPr>
              <w:t>债</w:t>
            </w:r>
          </w:p>
        </w:tc>
        <w:tc>
          <w:tcPr>
            <w:tcW w:w="1387" w:type="dxa"/>
            <w:vAlign w:val="center"/>
          </w:tcPr>
          <w:p w:rsidR="005C1741" w:rsidRDefault="004B27D8">
            <w:pPr>
              <w:jc w:val="right"/>
            </w:pPr>
            <w:r>
              <w:rPr>
                <w:color w:val="000000"/>
                <w:sz w:val="24"/>
                <w:szCs w:val="24"/>
              </w:rPr>
              <w:t>89</w:t>
            </w:r>
          </w:p>
        </w:tc>
        <w:tc>
          <w:tcPr>
            <w:tcW w:w="2150" w:type="dxa"/>
            <w:vAlign w:val="center"/>
          </w:tcPr>
          <w:p w:rsidR="005C1741" w:rsidRDefault="004B27D8">
            <w:pPr>
              <w:jc w:val="right"/>
            </w:pPr>
            <w:r>
              <w:rPr>
                <w:color w:val="000000"/>
                <w:sz w:val="24"/>
                <w:szCs w:val="24"/>
              </w:rPr>
              <w:t>9,585.30</w:t>
            </w:r>
          </w:p>
        </w:tc>
        <w:tc>
          <w:tcPr>
            <w:tcW w:w="1237" w:type="dxa"/>
            <w:vAlign w:val="center"/>
          </w:tcPr>
          <w:p w:rsidR="005C1741" w:rsidRDefault="004B27D8">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报告期内本基金投资的前十名证券的发行主体除华海药业（证券代码：</w:t>
      </w:r>
      <w:r w:rsidRPr="00BE5388">
        <w:rPr>
          <w:bCs/>
          <w:color w:val="000000"/>
          <w:kern w:val="0"/>
          <w:sz w:val="24"/>
          <w:szCs w:val="24"/>
        </w:rPr>
        <w:t>600521</w:t>
      </w:r>
      <w:r w:rsidRPr="00BE5388">
        <w:rPr>
          <w:bCs/>
          <w:color w:val="000000"/>
          <w:kern w:val="0"/>
          <w:sz w:val="24"/>
          <w:szCs w:val="24"/>
        </w:rPr>
        <w:t>）外，未出现被监管部门立案调查，或在报告编制日前一年内受到公开谴责、处罚的情形。</w:t>
      </w:r>
    </w:p>
    <w:p w:rsidR="005C1741" w:rsidRDefault="004B27D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报告期内本基金投资的前十名证券之一华海药业（证券代码：</w:t>
      </w:r>
      <w:r>
        <w:rPr>
          <w:bCs/>
          <w:color w:val="000000"/>
          <w:kern w:val="0"/>
          <w:sz w:val="24"/>
          <w:szCs w:val="24"/>
        </w:rPr>
        <w:t>600521</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23</w:t>
      </w:r>
      <w:r>
        <w:rPr>
          <w:bCs/>
          <w:color w:val="000000"/>
          <w:kern w:val="0"/>
          <w:sz w:val="24"/>
          <w:szCs w:val="24"/>
        </w:rPr>
        <w:t>日因川南</w:t>
      </w:r>
      <w:proofErr w:type="gramStart"/>
      <w:r>
        <w:rPr>
          <w:bCs/>
          <w:color w:val="000000"/>
          <w:kern w:val="0"/>
          <w:sz w:val="24"/>
          <w:szCs w:val="24"/>
        </w:rPr>
        <w:t>一</w:t>
      </w:r>
      <w:proofErr w:type="gramEnd"/>
      <w:r>
        <w:rPr>
          <w:bCs/>
          <w:color w:val="000000"/>
          <w:kern w:val="0"/>
          <w:sz w:val="24"/>
          <w:szCs w:val="24"/>
        </w:rPr>
        <w:t>分厂不正常使用大气污染物处理设施的行为被临海市环境保护局</w:t>
      </w:r>
      <w:proofErr w:type="gramStart"/>
      <w:r>
        <w:rPr>
          <w:bCs/>
          <w:color w:val="000000"/>
          <w:kern w:val="0"/>
          <w:sz w:val="24"/>
          <w:szCs w:val="24"/>
        </w:rPr>
        <w:t>以临环罚字</w:t>
      </w:r>
      <w:proofErr w:type="gramEnd"/>
      <w:r>
        <w:rPr>
          <w:bCs/>
          <w:color w:val="000000"/>
          <w:kern w:val="0"/>
          <w:sz w:val="24"/>
          <w:szCs w:val="24"/>
        </w:rPr>
        <w:t>［</w:t>
      </w:r>
      <w:r>
        <w:rPr>
          <w:bCs/>
          <w:color w:val="000000"/>
          <w:kern w:val="0"/>
          <w:sz w:val="24"/>
          <w:szCs w:val="24"/>
        </w:rPr>
        <w:t>2015</w:t>
      </w:r>
      <w:r>
        <w:rPr>
          <w:bCs/>
          <w:color w:val="000000"/>
          <w:kern w:val="0"/>
          <w:sz w:val="24"/>
          <w:szCs w:val="24"/>
        </w:rPr>
        <w:t>］</w:t>
      </w:r>
      <w:r>
        <w:rPr>
          <w:bCs/>
          <w:color w:val="000000"/>
          <w:kern w:val="0"/>
          <w:sz w:val="24"/>
          <w:szCs w:val="24"/>
        </w:rPr>
        <w:t>108</w:t>
      </w:r>
      <w:r>
        <w:rPr>
          <w:bCs/>
          <w:color w:val="000000"/>
          <w:kern w:val="0"/>
          <w:sz w:val="24"/>
          <w:szCs w:val="24"/>
        </w:rPr>
        <w:t>号《行政处罚决定书》处以责令停止违法行为和罚款人民币</w:t>
      </w:r>
      <w:r>
        <w:rPr>
          <w:bCs/>
          <w:color w:val="000000"/>
          <w:kern w:val="0"/>
          <w:sz w:val="24"/>
          <w:szCs w:val="24"/>
        </w:rPr>
        <w:t>5</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24</w:t>
      </w:r>
      <w:r>
        <w:rPr>
          <w:bCs/>
          <w:color w:val="000000"/>
          <w:kern w:val="0"/>
          <w:sz w:val="24"/>
          <w:szCs w:val="24"/>
        </w:rPr>
        <w:t>日因川南</w:t>
      </w:r>
      <w:proofErr w:type="gramStart"/>
      <w:r>
        <w:rPr>
          <w:bCs/>
          <w:color w:val="000000"/>
          <w:kern w:val="0"/>
          <w:sz w:val="24"/>
          <w:szCs w:val="24"/>
        </w:rPr>
        <w:t>一</w:t>
      </w:r>
      <w:proofErr w:type="gramEnd"/>
      <w:r>
        <w:rPr>
          <w:bCs/>
          <w:color w:val="000000"/>
          <w:kern w:val="0"/>
          <w:sz w:val="24"/>
          <w:szCs w:val="24"/>
        </w:rPr>
        <w:t>分厂废水超标排放被临海市环境保护局</w:t>
      </w:r>
      <w:proofErr w:type="gramStart"/>
      <w:r>
        <w:rPr>
          <w:bCs/>
          <w:color w:val="000000"/>
          <w:kern w:val="0"/>
          <w:sz w:val="24"/>
          <w:szCs w:val="24"/>
        </w:rPr>
        <w:t>以临环罚字</w:t>
      </w:r>
      <w:proofErr w:type="gramEnd"/>
      <w:r>
        <w:rPr>
          <w:bCs/>
          <w:color w:val="000000"/>
          <w:kern w:val="0"/>
          <w:sz w:val="24"/>
          <w:szCs w:val="24"/>
        </w:rPr>
        <w:t>［</w:t>
      </w:r>
      <w:r>
        <w:rPr>
          <w:bCs/>
          <w:color w:val="000000"/>
          <w:kern w:val="0"/>
          <w:sz w:val="24"/>
          <w:szCs w:val="24"/>
        </w:rPr>
        <w:t>2015</w:t>
      </w:r>
      <w:r>
        <w:rPr>
          <w:bCs/>
          <w:color w:val="000000"/>
          <w:kern w:val="0"/>
          <w:sz w:val="24"/>
          <w:szCs w:val="24"/>
        </w:rPr>
        <w:t>］</w:t>
      </w:r>
      <w:r>
        <w:rPr>
          <w:bCs/>
          <w:color w:val="000000"/>
          <w:kern w:val="0"/>
          <w:sz w:val="24"/>
          <w:szCs w:val="24"/>
        </w:rPr>
        <w:t>119</w:t>
      </w:r>
      <w:r>
        <w:rPr>
          <w:bCs/>
          <w:color w:val="000000"/>
          <w:kern w:val="0"/>
          <w:sz w:val="24"/>
          <w:szCs w:val="24"/>
        </w:rPr>
        <w:t>号《行政处罚决定书》处以责令停止违法行为、罚款人民币</w:t>
      </w:r>
      <w:r>
        <w:rPr>
          <w:bCs/>
          <w:color w:val="000000"/>
          <w:kern w:val="0"/>
          <w:sz w:val="24"/>
          <w:szCs w:val="24"/>
        </w:rPr>
        <w:t>58.6</w:t>
      </w:r>
      <w:r>
        <w:rPr>
          <w:bCs/>
          <w:color w:val="000000"/>
          <w:kern w:val="0"/>
          <w:sz w:val="24"/>
          <w:szCs w:val="24"/>
        </w:rPr>
        <w:t>万元的处罚。</w:t>
      </w:r>
    </w:p>
    <w:p w:rsidR="005C1741" w:rsidRDefault="004B27D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w:t>
      </w:r>
      <w:r>
        <w:rPr>
          <w:bCs/>
          <w:color w:val="000000"/>
          <w:kern w:val="0"/>
          <w:sz w:val="24"/>
          <w:szCs w:val="24"/>
        </w:rPr>
        <w:lastRenderedPageBreak/>
        <w:t>股的投资有严格的投</w:t>
      </w:r>
      <w:r>
        <w:rPr>
          <w:bCs/>
          <w:color w:val="000000"/>
          <w:kern w:val="0"/>
          <w:sz w:val="24"/>
          <w:szCs w:val="24"/>
        </w:rPr>
        <w:t>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1,452,954.76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24,788,779.29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80,073.64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331,144.91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26,652,952.60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C1741">
        <w:trPr>
          <w:jc w:val="center"/>
        </w:trPr>
        <w:tc>
          <w:tcPr>
            <w:tcW w:w="1883" w:type="dxa"/>
            <w:vAlign w:val="center"/>
          </w:tcPr>
          <w:p w:rsidR="005C1741" w:rsidRDefault="004B27D8">
            <w:pPr>
              <w:jc w:val="center"/>
            </w:pPr>
            <w:r>
              <w:rPr>
                <w:color w:val="000000"/>
                <w:sz w:val="24"/>
                <w:szCs w:val="24"/>
              </w:rPr>
              <w:t>1</w:t>
            </w:r>
          </w:p>
        </w:tc>
        <w:tc>
          <w:tcPr>
            <w:tcW w:w="1801" w:type="dxa"/>
            <w:vAlign w:val="center"/>
          </w:tcPr>
          <w:p w:rsidR="005C1741" w:rsidRDefault="004B27D8">
            <w:pPr>
              <w:jc w:val="center"/>
            </w:pPr>
            <w:r>
              <w:rPr>
                <w:color w:val="000000"/>
                <w:sz w:val="24"/>
                <w:szCs w:val="24"/>
              </w:rPr>
              <w:t>123001</w:t>
            </w:r>
          </w:p>
        </w:tc>
        <w:tc>
          <w:tcPr>
            <w:tcW w:w="1727" w:type="dxa"/>
            <w:vAlign w:val="center"/>
          </w:tcPr>
          <w:p w:rsidR="005C1741" w:rsidRDefault="004B27D8">
            <w:pPr>
              <w:jc w:val="center"/>
            </w:pPr>
            <w:proofErr w:type="gramStart"/>
            <w:r>
              <w:rPr>
                <w:color w:val="000000"/>
                <w:sz w:val="24"/>
                <w:szCs w:val="24"/>
              </w:rPr>
              <w:t>蓝标转</w:t>
            </w:r>
            <w:proofErr w:type="gramEnd"/>
            <w:r>
              <w:rPr>
                <w:color w:val="000000"/>
                <w:sz w:val="24"/>
                <w:szCs w:val="24"/>
              </w:rPr>
              <w:t>债</w:t>
            </w:r>
          </w:p>
        </w:tc>
        <w:tc>
          <w:tcPr>
            <w:tcW w:w="1768" w:type="dxa"/>
            <w:vAlign w:val="center"/>
          </w:tcPr>
          <w:p w:rsidR="005C1741" w:rsidRDefault="004B27D8">
            <w:pPr>
              <w:jc w:val="right"/>
            </w:pPr>
            <w:r>
              <w:rPr>
                <w:color w:val="000000"/>
                <w:sz w:val="24"/>
                <w:szCs w:val="24"/>
              </w:rPr>
              <w:t>9,585.30</w:t>
            </w:r>
          </w:p>
        </w:tc>
        <w:tc>
          <w:tcPr>
            <w:tcW w:w="1689" w:type="dxa"/>
            <w:vAlign w:val="center"/>
          </w:tcPr>
          <w:p w:rsidR="005C1741" w:rsidRDefault="004B27D8">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2,530,177,229.94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29,746,411.14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119,033,077.13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2,440,890,563.95</w:t>
            </w:r>
          </w:p>
        </w:tc>
      </w:tr>
    </w:tbl>
    <w:p w:rsidR="005C1741" w:rsidRDefault="004B27D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B27D8">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4.59</w:t>
            </w:r>
          </w:p>
        </w:tc>
      </w:tr>
    </w:tbl>
    <w:p w:rsidR="005C1741" w:rsidRDefault="004B27D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4B27D8">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C1741" w:rsidRDefault="004B27D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5C1741" w:rsidRDefault="004B27D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C1741" w:rsidRDefault="004B27D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C1741" w:rsidRDefault="004B27D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5C1741">
      <w:rPr>
        <w:kern w:val="0"/>
        <w:szCs w:val="21"/>
      </w:rPr>
      <w:fldChar w:fldCharType="begin"/>
    </w:r>
    <w:r>
      <w:rPr>
        <w:kern w:val="0"/>
        <w:szCs w:val="21"/>
      </w:rPr>
      <w:instrText xml:space="preserve"> PAGE </w:instrText>
    </w:r>
    <w:r w:rsidR="005C1741">
      <w:rPr>
        <w:kern w:val="0"/>
        <w:szCs w:val="21"/>
      </w:rPr>
      <w:fldChar w:fldCharType="separate"/>
    </w:r>
    <w:r w:rsidR="004B27D8">
      <w:rPr>
        <w:noProof/>
        <w:kern w:val="0"/>
        <w:szCs w:val="21"/>
      </w:rPr>
      <w:t>12</w:t>
    </w:r>
    <w:r w:rsidR="005C174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5C1741">
      <w:rPr>
        <w:kern w:val="0"/>
        <w:szCs w:val="21"/>
      </w:rPr>
      <w:fldChar w:fldCharType="begin"/>
    </w:r>
    <w:r>
      <w:rPr>
        <w:kern w:val="0"/>
        <w:szCs w:val="21"/>
      </w:rPr>
      <w:instrText xml:space="preserve"> NUMPAGES </w:instrText>
    </w:r>
    <w:r w:rsidR="005C1741">
      <w:rPr>
        <w:kern w:val="0"/>
        <w:szCs w:val="21"/>
      </w:rPr>
      <w:fldChar w:fldCharType="separate"/>
    </w:r>
    <w:r w:rsidR="004B27D8">
      <w:rPr>
        <w:noProof/>
        <w:kern w:val="0"/>
        <w:szCs w:val="21"/>
      </w:rPr>
      <w:t>12</w:t>
    </w:r>
    <w:r w:rsidR="005C174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7D8"/>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1741"/>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8FFA6-9098-496F-B5F5-2545027D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黄莹</cp:lastModifiedBy>
  <cp:revision>562</cp:revision>
  <dcterms:created xsi:type="dcterms:W3CDTF">2012-10-16T06:07:00Z</dcterms:created>
  <dcterms:modified xsi:type="dcterms:W3CDTF">2016-07-12T09:45:00Z</dcterms:modified>
</cp:coreProperties>
</file>