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w:t>
      </w:r>
      <w:proofErr w:type="gramStart"/>
      <w:r w:rsidRPr="006A23FB">
        <w:rPr>
          <w:b/>
          <w:sz w:val="36"/>
          <w:szCs w:val="36"/>
        </w:rPr>
        <w:t>银施罗德全球</w:t>
      </w:r>
      <w:proofErr w:type="gramEnd"/>
      <w:r w:rsidRPr="006A23FB">
        <w:rPr>
          <w:b/>
          <w:sz w:val="36"/>
          <w:szCs w:val="36"/>
        </w:rPr>
        <w:t>自然资源证券投资基金</w:t>
      </w:r>
    </w:p>
    <w:p w:rsidR="00F22F00" w:rsidRPr="006A23FB" w:rsidRDefault="00F22F00" w:rsidP="005546C0">
      <w:pPr>
        <w:spacing w:before="29" w:line="288" w:lineRule="auto"/>
        <w:jc w:val="center"/>
        <w:rPr>
          <w:b/>
          <w:sz w:val="36"/>
          <w:szCs w:val="36"/>
        </w:rPr>
      </w:pPr>
      <w:r w:rsidRPr="006A23FB">
        <w:rPr>
          <w:b/>
          <w:sz w:val="36"/>
          <w:szCs w:val="36"/>
        </w:rPr>
        <w:t>2016</w:t>
      </w:r>
      <w:r w:rsidRPr="006A23FB">
        <w:rPr>
          <w:b/>
          <w:sz w:val="36"/>
          <w:szCs w:val="36"/>
        </w:rPr>
        <w:t>年第</w:t>
      </w:r>
      <w:r w:rsidRPr="006A23FB">
        <w:rPr>
          <w:b/>
          <w:sz w:val="36"/>
          <w:szCs w:val="36"/>
        </w:rPr>
        <w:t>2</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2016</w:t>
      </w:r>
      <w:r w:rsidRPr="006A23FB">
        <w:rPr>
          <w:b/>
          <w:sz w:val="36"/>
          <w:szCs w:val="36"/>
        </w:rPr>
        <w:t>年</w:t>
      </w:r>
      <w:r w:rsidRPr="006A23FB">
        <w:rPr>
          <w:b/>
          <w:sz w:val="36"/>
          <w:szCs w:val="36"/>
        </w:rPr>
        <w:t>6</w:t>
      </w:r>
      <w:r w:rsidRPr="006A23FB">
        <w:rPr>
          <w:b/>
          <w:sz w:val="36"/>
          <w:szCs w:val="36"/>
        </w:rPr>
        <w:t>月</w:t>
      </w:r>
      <w:r w:rsidRPr="006A23FB">
        <w:rPr>
          <w:b/>
          <w:sz w:val="36"/>
          <w:szCs w:val="36"/>
        </w:rPr>
        <w:t>30</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基金托管人：中国建设银行股份有限公司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二〇一六年七月二十一日</w:t>
      </w:r>
    </w:p>
    <w:p w:rsidR="00CC4CB4" w:rsidRPr="008640AE" w:rsidRDefault="00CC4CB4" w:rsidP="005546C0">
      <w:pPr>
        <w:spacing w:before="29" w:line="288" w:lineRule="auto"/>
        <w:ind w:firstLineChars="900" w:firstLine="2168"/>
        <w:rPr>
          <w:b/>
          <w:color w:val="000000"/>
          <w:sz w:val="24"/>
        </w:rPr>
        <w:sectPr w:rsidR="00CC4CB4" w:rsidRPr="008640AE" w:rsidSect="002537A4">
          <w:headerReference w:type="default" r:id="rId7"/>
          <w:footerReference w:type="default" r:id="rId8"/>
          <w:pgSz w:w="11926" w:h="15840"/>
          <w:pgMar w:top="1418" w:right="1440" w:bottom="851" w:left="1440" w:header="851" w:footer="992" w:gutter="0"/>
          <w:cols w:space="720"/>
          <w:noEndnote/>
        </w:sectPr>
      </w:pPr>
    </w:p>
    <w:p w:rsidR="0076518F" w:rsidRPr="008640AE" w:rsidRDefault="0076518F" w:rsidP="0010282F">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003E3B" w:rsidRDefault="00150DF0">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003E3B" w:rsidRDefault="00150DF0">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2016</w:t>
      </w:r>
      <w:r>
        <w:rPr>
          <w:color w:val="000000"/>
          <w:sz w:val="24"/>
        </w:rPr>
        <w:t>年</w:t>
      </w:r>
      <w:r>
        <w:rPr>
          <w:color w:val="000000"/>
          <w:sz w:val="24"/>
        </w:rPr>
        <w:t>7</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003E3B" w:rsidRDefault="00150DF0">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03E3B" w:rsidRDefault="00150DF0">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w:t>
      </w:r>
      <w:r>
        <w:rPr>
          <w:color w:val="000000"/>
          <w:sz w:val="24"/>
        </w:rPr>
        <w:t xml:space="preserve"> </w:t>
      </w:r>
    </w:p>
    <w:p w:rsidR="00003E3B" w:rsidRDefault="00150DF0">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2016</w:t>
      </w:r>
      <w:r w:rsidRPr="008640AE">
        <w:rPr>
          <w:color w:val="000000"/>
          <w:sz w:val="24"/>
        </w:rPr>
        <w:t>年</w:t>
      </w:r>
      <w:r w:rsidRPr="008640AE">
        <w:rPr>
          <w:color w:val="000000"/>
          <w:sz w:val="24"/>
        </w:rPr>
        <w:t>4</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6</w:t>
      </w:r>
      <w:r w:rsidRPr="008640AE">
        <w:rPr>
          <w:color w:val="000000"/>
          <w:sz w:val="24"/>
        </w:rPr>
        <w:t>月</w:t>
      </w:r>
      <w:r w:rsidRPr="008640AE">
        <w:rPr>
          <w:color w:val="000000"/>
          <w:sz w:val="24"/>
        </w:rPr>
        <w:t>30</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w:t>
            </w:r>
            <w:proofErr w:type="gramStart"/>
            <w:r w:rsidRPr="008640AE">
              <w:rPr>
                <w:color w:val="000000"/>
                <w:kern w:val="0"/>
                <w:sz w:val="24"/>
              </w:rPr>
              <w:t>银全球</w:t>
            </w:r>
            <w:proofErr w:type="gramEnd"/>
            <w:r w:rsidRPr="008640AE">
              <w:rPr>
                <w:color w:val="000000"/>
                <w:kern w:val="0"/>
                <w:sz w:val="24"/>
              </w:rPr>
              <w:t>资源混合</w:t>
            </w:r>
            <w:r w:rsidRPr="008640AE">
              <w:rPr>
                <w:color w:val="000000"/>
                <w:kern w:val="0"/>
                <w:sz w:val="24"/>
              </w:rPr>
              <w:t>(QDII)</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519709</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519709</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2012</w:t>
            </w:r>
            <w:r w:rsidRPr="008640AE">
              <w:rPr>
                <w:color w:val="000000"/>
                <w:kern w:val="0"/>
                <w:sz w:val="24"/>
              </w:rPr>
              <w:t>年</w:t>
            </w:r>
            <w:r w:rsidRPr="008640AE">
              <w:rPr>
                <w:color w:val="000000"/>
                <w:kern w:val="0"/>
                <w:sz w:val="24"/>
              </w:rPr>
              <w:t>5</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26,260,072.06</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在全球范围内精选自然资源相关行业的上市公司，通过积极主动的资产配置和组合管理，在有效控制组合下行风险的前提下力争实现资本的长期保值增值。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w:t>
            </w:r>
            <w:r w:rsidRPr="008640AE">
              <w:rPr>
                <w:color w:val="000000"/>
                <w:kern w:val="0"/>
                <w:sz w:val="24"/>
              </w:rPr>
              <w:lastRenderedPageBreak/>
              <w:t>相关资源价格上涨的上市公司股票进行投资，在有效控制下行风险的前提下，优化组合收益，构建具有长期投资价值的投资组合，实现资产的保值增值。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MSCI</w:t>
            </w:r>
            <w:r w:rsidRPr="008640AE">
              <w:rPr>
                <w:color w:val="000000"/>
                <w:kern w:val="0"/>
                <w:sz w:val="24"/>
              </w:rPr>
              <w:t>全球原材料总收益指数收益率</w:t>
            </w:r>
            <w:r w:rsidRPr="008640AE">
              <w:rPr>
                <w:color w:val="000000"/>
                <w:kern w:val="0"/>
                <w:sz w:val="24"/>
              </w:rPr>
              <w:t>×65%</w:t>
            </w:r>
            <w:r w:rsidRPr="008640AE">
              <w:rPr>
                <w:color w:val="000000"/>
                <w:kern w:val="0"/>
                <w:sz w:val="24"/>
              </w:rPr>
              <w:t>＋</w:t>
            </w:r>
            <w:r w:rsidRPr="008640AE">
              <w:rPr>
                <w:color w:val="000000"/>
                <w:kern w:val="0"/>
                <w:sz w:val="24"/>
              </w:rPr>
              <w:t>MSCI</w:t>
            </w:r>
            <w:r w:rsidRPr="008640AE">
              <w:rPr>
                <w:color w:val="000000"/>
                <w:kern w:val="0"/>
                <w:sz w:val="24"/>
              </w:rPr>
              <w:t>全球能源总收益指数收益率</w:t>
            </w:r>
            <w:r w:rsidRPr="008640AE">
              <w:rPr>
                <w:color w:val="000000"/>
                <w:kern w:val="0"/>
                <w:sz w:val="24"/>
              </w:rPr>
              <w:t>×35%</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为主要投资全球范围内自然资源相关行业上市公司的主动混合型基金，基金所投之标的与全球经济景气度、大宗商品市场表现及各相关产业联动性相对较高，波动性较大，其风险和预期收益高于债券型基金和货币市场基金，低于股票型基金。属于承担较高风险、预期收益较高的证券投资基金品种。</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C6784" w:rsidRPr="008640AE" w:rsidTr="00CC6784">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(2016</w:t>
            </w:r>
            <w:r w:rsidRPr="008640AE">
              <w:rPr>
                <w:color w:val="000000"/>
                <w:sz w:val="24"/>
              </w:rPr>
              <w:t>年</w:t>
            </w:r>
            <w:r w:rsidRPr="008640AE">
              <w:rPr>
                <w:color w:val="000000"/>
                <w:sz w:val="24"/>
              </w:rPr>
              <w:t>4</w:t>
            </w:r>
            <w:r w:rsidRPr="008640AE">
              <w:rPr>
                <w:color w:val="000000"/>
                <w:sz w:val="24"/>
              </w:rPr>
              <w:t>月</w:t>
            </w:r>
            <w:r w:rsidRPr="008640AE">
              <w:rPr>
                <w:color w:val="000000"/>
                <w:sz w:val="24"/>
              </w:rPr>
              <w:t>1</w:t>
            </w:r>
            <w:r w:rsidRPr="008640AE">
              <w:rPr>
                <w:color w:val="000000"/>
                <w:sz w:val="24"/>
              </w:rPr>
              <w:t>日</w:t>
            </w:r>
            <w:r w:rsidRPr="008640AE">
              <w:rPr>
                <w:color w:val="000000"/>
                <w:sz w:val="24"/>
              </w:rPr>
              <w:t>-2016</w:t>
            </w:r>
            <w:r w:rsidRPr="008640AE">
              <w:rPr>
                <w:color w:val="000000"/>
                <w:sz w:val="24"/>
              </w:rPr>
              <w:t>年</w:t>
            </w:r>
            <w:r w:rsidRPr="008640AE">
              <w:rPr>
                <w:color w:val="000000"/>
                <w:sz w:val="24"/>
              </w:rPr>
              <w:t>6</w:t>
            </w:r>
            <w:r w:rsidRPr="008640AE">
              <w:rPr>
                <w:color w:val="000000"/>
                <w:sz w:val="24"/>
              </w:rPr>
              <w:t>月</w:t>
            </w:r>
            <w:r w:rsidRPr="008640AE">
              <w:rPr>
                <w:color w:val="000000"/>
                <w:sz w:val="24"/>
              </w:rPr>
              <w:t>30</w:t>
            </w:r>
            <w:r w:rsidRPr="008640AE">
              <w:rPr>
                <w:color w:val="000000"/>
                <w:sz w:val="24"/>
              </w:rPr>
              <w:t>日</w:t>
            </w:r>
            <w:r w:rsidRPr="008640AE">
              <w:rPr>
                <w:color w:val="000000"/>
                <w:sz w:val="24"/>
              </w:rPr>
              <w:t>)</w:t>
            </w:r>
          </w:p>
        </w:tc>
      </w:tr>
      <w:tr w:rsidR="00CC6784" w:rsidRPr="008640AE" w:rsidTr="00CC6784">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-2,289,388.70</w:t>
            </w:r>
          </w:p>
        </w:tc>
      </w:tr>
      <w:tr w:rsidR="00CC6784" w:rsidRPr="008640AE" w:rsidTr="00CC6784">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22,178.94</w:t>
            </w:r>
          </w:p>
        </w:tc>
      </w:tr>
      <w:tr w:rsidR="00CC6784" w:rsidRPr="008640AE" w:rsidTr="00CC6784">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0.0009</w:t>
            </w:r>
          </w:p>
        </w:tc>
      </w:tr>
      <w:tr w:rsidR="00CC6784" w:rsidRPr="008640AE" w:rsidTr="00CC6784">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29,415,643.36</w:t>
            </w:r>
          </w:p>
        </w:tc>
      </w:tr>
      <w:tr w:rsidR="00CC6784" w:rsidRPr="008640AE" w:rsidTr="00CC6784">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1.120</w:t>
            </w:r>
          </w:p>
        </w:tc>
      </w:tr>
    </w:tbl>
    <w:p w:rsidR="00003E3B" w:rsidRDefault="00150DF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b/>
            <w:color w:val="000000"/>
            <w:kern w:val="0"/>
            <w:sz w:val="24"/>
          </w:rPr>
          <w:t>3.2.1</w:t>
        </w:r>
      </w:smartTag>
      <w:r w:rsidR="004A36FD" w:rsidRPr="008640AE">
        <w:rPr>
          <w:b/>
          <w:color w:val="000000"/>
          <w:kern w:val="0"/>
          <w:sz w:val="24"/>
        </w:rPr>
        <w:t xml:space="preserve"> </w:t>
      </w:r>
      <w:r w:rsidRPr="008640AE">
        <w:rPr>
          <w:b/>
          <w:color w:val="000000"/>
          <w:kern w:val="0"/>
          <w:sz w:val="24"/>
        </w:rPr>
        <w:t>本报告</w:t>
      </w:r>
      <w:proofErr w:type="gramStart"/>
      <w:r w:rsidRPr="008640AE">
        <w:rPr>
          <w:b/>
          <w:color w:val="000000"/>
          <w:kern w:val="0"/>
          <w:sz w:val="24"/>
        </w:rPr>
        <w:t>期基金</w:t>
      </w:r>
      <w:proofErr w:type="gramEnd"/>
      <w:r w:rsidRPr="008640AE">
        <w:rPr>
          <w:b/>
          <w:color w:val="000000"/>
          <w:kern w:val="0"/>
          <w:sz w:val="24"/>
        </w:rPr>
        <w:t>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003E3B">
        <w:trPr>
          <w:jc w:val="center"/>
        </w:trPr>
        <w:tc>
          <w:tcPr>
            <w:tcW w:w="1701" w:type="dxa"/>
            <w:vAlign w:val="center"/>
          </w:tcPr>
          <w:p w:rsidR="00003E3B" w:rsidRDefault="00150DF0">
            <w:pPr>
              <w:jc w:val="left"/>
            </w:pPr>
            <w:r>
              <w:rPr>
                <w:color w:val="000000"/>
                <w:sz w:val="24"/>
              </w:rPr>
              <w:t>过去三个月</w:t>
            </w:r>
          </w:p>
        </w:tc>
        <w:tc>
          <w:tcPr>
            <w:tcW w:w="1194" w:type="dxa"/>
            <w:vAlign w:val="center"/>
          </w:tcPr>
          <w:p w:rsidR="00003E3B" w:rsidRDefault="00150DF0">
            <w:pPr>
              <w:jc w:val="right"/>
            </w:pPr>
            <w:r>
              <w:rPr>
                <w:color w:val="000000"/>
                <w:sz w:val="24"/>
              </w:rPr>
              <w:t>0.00%</w:t>
            </w:r>
          </w:p>
        </w:tc>
        <w:tc>
          <w:tcPr>
            <w:tcW w:w="1194" w:type="dxa"/>
            <w:vAlign w:val="center"/>
          </w:tcPr>
          <w:p w:rsidR="00003E3B" w:rsidRDefault="00150DF0">
            <w:pPr>
              <w:jc w:val="right"/>
            </w:pPr>
            <w:r>
              <w:rPr>
                <w:color w:val="000000"/>
                <w:sz w:val="24"/>
              </w:rPr>
              <w:t>0.90%</w:t>
            </w:r>
          </w:p>
        </w:tc>
        <w:tc>
          <w:tcPr>
            <w:tcW w:w="1194" w:type="dxa"/>
            <w:vAlign w:val="center"/>
          </w:tcPr>
          <w:p w:rsidR="00003E3B" w:rsidRDefault="00150DF0">
            <w:pPr>
              <w:jc w:val="right"/>
            </w:pPr>
            <w:r>
              <w:rPr>
                <w:color w:val="000000"/>
                <w:sz w:val="24"/>
              </w:rPr>
              <w:t>5.47%</w:t>
            </w:r>
          </w:p>
        </w:tc>
        <w:tc>
          <w:tcPr>
            <w:tcW w:w="1343" w:type="dxa"/>
            <w:vAlign w:val="center"/>
          </w:tcPr>
          <w:p w:rsidR="00003E3B" w:rsidRDefault="00150DF0">
            <w:pPr>
              <w:jc w:val="right"/>
            </w:pPr>
            <w:r>
              <w:rPr>
                <w:color w:val="000000"/>
                <w:sz w:val="24"/>
              </w:rPr>
              <w:t>1.45%</w:t>
            </w:r>
          </w:p>
        </w:tc>
        <w:tc>
          <w:tcPr>
            <w:tcW w:w="1194" w:type="dxa"/>
            <w:vAlign w:val="center"/>
          </w:tcPr>
          <w:p w:rsidR="00003E3B" w:rsidRDefault="00150DF0">
            <w:pPr>
              <w:jc w:val="right"/>
            </w:pPr>
            <w:r>
              <w:rPr>
                <w:color w:val="000000"/>
                <w:sz w:val="24"/>
              </w:rPr>
              <w:t>-5.47%</w:t>
            </w:r>
          </w:p>
        </w:tc>
        <w:tc>
          <w:tcPr>
            <w:tcW w:w="1048" w:type="dxa"/>
            <w:vAlign w:val="center"/>
          </w:tcPr>
          <w:p w:rsidR="00003E3B" w:rsidRDefault="00150DF0">
            <w:pPr>
              <w:jc w:val="right"/>
            </w:pPr>
            <w:r>
              <w:rPr>
                <w:color w:val="000000"/>
                <w:sz w:val="24"/>
              </w:rPr>
              <w:t>-0.55%</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Pr>
          <w:rFonts w:hint="eastAsia"/>
          <w:b/>
          <w:color w:val="000000"/>
          <w:kern w:val="0"/>
          <w:sz w:val="24"/>
        </w:rPr>
        <w:t xml:space="preserve">  </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交银施罗德全球自然资源证券投资基金</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2012</w:t>
      </w:r>
      <w:r w:rsidR="00623556" w:rsidRPr="008640AE">
        <w:rPr>
          <w:color w:val="000000"/>
          <w:kern w:val="0"/>
          <w:sz w:val="24"/>
        </w:rPr>
        <w:t>年</w:t>
      </w:r>
      <w:r w:rsidR="00623556" w:rsidRPr="008640AE">
        <w:rPr>
          <w:color w:val="000000"/>
          <w:kern w:val="0"/>
          <w:sz w:val="24"/>
        </w:rPr>
        <w:t>5</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2016</w:t>
      </w:r>
      <w:r w:rsidRPr="008640AE">
        <w:rPr>
          <w:color w:val="000000"/>
          <w:kern w:val="0"/>
          <w:sz w:val="24"/>
        </w:rPr>
        <w:t>年</w:t>
      </w:r>
      <w:r w:rsidRPr="008640AE">
        <w:rPr>
          <w:color w:val="000000"/>
          <w:kern w:val="0"/>
          <w:sz w:val="24"/>
        </w:rPr>
        <w:t>6</w:t>
      </w:r>
      <w:r w:rsidRPr="008640AE">
        <w:rPr>
          <w:color w:val="000000"/>
          <w:kern w:val="0"/>
          <w:sz w:val="24"/>
        </w:rPr>
        <w:t>月</w:t>
      </w:r>
      <w:r w:rsidRPr="008640AE">
        <w:rPr>
          <w:color w:val="000000"/>
          <w:kern w:val="0"/>
          <w:sz w:val="24"/>
        </w:rPr>
        <w:t>30</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003E3B">
        <w:trPr>
          <w:jc w:val="center"/>
        </w:trPr>
        <w:tc>
          <w:tcPr>
            <w:tcW w:w="846" w:type="dxa"/>
            <w:vAlign w:val="center"/>
          </w:tcPr>
          <w:p w:rsidR="00003E3B" w:rsidRDefault="00150DF0">
            <w:pPr>
              <w:jc w:val="center"/>
            </w:pPr>
            <w:r>
              <w:rPr>
                <w:color w:val="000000"/>
                <w:sz w:val="24"/>
              </w:rPr>
              <w:t>蔡铮</w:t>
            </w:r>
          </w:p>
        </w:tc>
        <w:tc>
          <w:tcPr>
            <w:tcW w:w="845" w:type="dxa"/>
            <w:vAlign w:val="center"/>
          </w:tcPr>
          <w:p w:rsidR="00003E3B" w:rsidRDefault="00150DF0">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、交银中证互联网金融指数分级、交银中证环境治理指数分级的基金经理，公司量化投资部助理总经理</w:t>
            </w:r>
          </w:p>
        </w:tc>
        <w:tc>
          <w:tcPr>
            <w:tcW w:w="1549" w:type="dxa"/>
            <w:vAlign w:val="center"/>
          </w:tcPr>
          <w:p w:rsidR="00003E3B" w:rsidRDefault="00150DF0">
            <w:pPr>
              <w:jc w:val="center"/>
            </w:pPr>
            <w:r>
              <w:rPr>
                <w:color w:val="000000"/>
                <w:sz w:val="24"/>
              </w:rPr>
              <w:t>2015-04-22</w:t>
            </w:r>
          </w:p>
        </w:tc>
        <w:tc>
          <w:tcPr>
            <w:tcW w:w="1548" w:type="dxa"/>
            <w:vAlign w:val="center"/>
          </w:tcPr>
          <w:p w:rsidR="00003E3B" w:rsidRDefault="00150DF0">
            <w:pPr>
              <w:jc w:val="center"/>
            </w:pPr>
            <w:r>
              <w:rPr>
                <w:color w:val="000000"/>
                <w:sz w:val="24"/>
              </w:rPr>
              <w:t>-</w:t>
            </w:r>
          </w:p>
        </w:tc>
        <w:tc>
          <w:tcPr>
            <w:tcW w:w="1407" w:type="dxa"/>
            <w:vAlign w:val="center"/>
          </w:tcPr>
          <w:p w:rsidR="00003E3B" w:rsidRDefault="00150DF0">
            <w:pPr>
              <w:jc w:val="center"/>
            </w:pPr>
            <w:r>
              <w:rPr>
                <w:color w:val="000000"/>
                <w:sz w:val="24"/>
              </w:rPr>
              <w:t>7</w:t>
            </w:r>
            <w:r>
              <w:rPr>
                <w:color w:val="000000"/>
                <w:sz w:val="24"/>
              </w:rPr>
              <w:t>年</w:t>
            </w:r>
          </w:p>
        </w:tc>
        <w:tc>
          <w:tcPr>
            <w:tcW w:w="2673" w:type="dxa"/>
            <w:vAlign w:val="center"/>
          </w:tcPr>
          <w:p w:rsidR="00003E3B" w:rsidRDefault="00150DF0">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p>
        </w:tc>
      </w:tr>
      <w:tr w:rsidR="00003E3B">
        <w:trPr>
          <w:jc w:val="center"/>
        </w:trPr>
        <w:tc>
          <w:tcPr>
            <w:tcW w:w="846" w:type="dxa"/>
            <w:vAlign w:val="center"/>
          </w:tcPr>
          <w:p w:rsidR="00003E3B" w:rsidRDefault="00150DF0">
            <w:pPr>
              <w:jc w:val="center"/>
            </w:pPr>
            <w:r>
              <w:rPr>
                <w:color w:val="000000"/>
                <w:sz w:val="24"/>
              </w:rPr>
              <w:t>陈俊华</w:t>
            </w:r>
          </w:p>
        </w:tc>
        <w:tc>
          <w:tcPr>
            <w:tcW w:w="845" w:type="dxa"/>
            <w:vAlign w:val="center"/>
          </w:tcPr>
          <w:p w:rsidR="00003E3B" w:rsidRDefault="00150DF0">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的基金经理</w:t>
            </w:r>
          </w:p>
        </w:tc>
        <w:tc>
          <w:tcPr>
            <w:tcW w:w="1549" w:type="dxa"/>
            <w:vAlign w:val="center"/>
          </w:tcPr>
          <w:p w:rsidR="00003E3B" w:rsidRDefault="00150DF0">
            <w:pPr>
              <w:jc w:val="center"/>
            </w:pPr>
            <w:r>
              <w:rPr>
                <w:color w:val="000000"/>
                <w:sz w:val="24"/>
              </w:rPr>
              <w:t>2015-11-21</w:t>
            </w:r>
          </w:p>
        </w:tc>
        <w:tc>
          <w:tcPr>
            <w:tcW w:w="1548" w:type="dxa"/>
            <w:vAlign w:val="center"/>
          </w:tcPr>
          <w:p w:rsidR="00003E3B" w:rsidRDefault="00150DF0">
            <w:pPr>
              <w:jc w:val="center"/>
            </w:pPr>
            <w:r>
              <w:rPr>
                <w:color w:val="000000"/>
                <w:sz w:val="24"/>
              </w:rPr>
              <w:t>-</w:t>
            </w:r>
          </w:p>
        </w:tc>
        <w:tc>
          <w:tcPr>
            <w:tcW w:w="1407" w:type="dxa"/>
            <w:vAlign w:val="center"/>
          </w:tcPr>
          <w:p w:rsidR="00003E3B" w:rsidRDefault="00150DF0">
            <w:pPr>
              <w:jc w:val="center"/>
            </w:pPr>
            <w:r>
              <w:rPr>
                <w:color w:val="000000"/>
                <w:sz w:val="24"/>
              </w:rPr>
              <w:t>11</w:t>
            </w:r>
            <w:r>
              <w:rPr>
                <w:color w:val="000000"/>
                <w:sz w:val="24"/>
              </w:rPr>
              <w:t>年</w:t>
            </w:r>
          </w:p>
        </w:tc>
        <w:tc>
          <w:tcPr>
            <w:tcW w:w="2673" w:type="dxa"/>
            <w:vAlign w:val="center"/>
          </w:tcPr>
          <w:p w:rsidR="00003E3B" w:rsidRDefault="00150DF0">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w:t>
            </w:r>
            <w:r>
              <w:rPr>
                <w:color w:val="000000"/>
                <w:sz w:val="24"/>
              </w:rPr>
              <w:t>银施罗德基金管理有限公司。</w:t>
            </w:r>
          </w:p>
        </w:tc>
      </w:tr>
      <w:tr w:rsidR="00003E3B">
        <w:trPr>
          <w:jc w:val="center"/>
        </w:trPr>
        <w:tc>
          <w:tcPr>
            <w:tcW w:w="846" w:type="dxa"/>
            <w:vAlign w:val="center"/>
          </w:tcPr>
          <w:p w:rsidR="00003E3B" w:rsidRDefault="00150DF0">
            <w:pPr>
              <w:jc w:val="center"/>
            </w:pPr>
            <w:r>
              <w:rPr>
                <w:color w:val="000000"/>
                <w:sz w:val="24"/>
              </w:rPr>
              <w:t>周中</w:t>
            </w:r>
          </w:p>
        </w:tc>
        <w:tc>
          <w:tcPr>
            <w:tcW w:w="845" w:type="dxa"/>
            <w:vAlign w:val="center"/>
          </w:tcPr>
          <w:p w:rsidR="00003E3B" w:rsidRDefault="00150DF0">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的基金经理</w:t>
            </w:r>
          </w:p>
        </w:tc>
        <w:tc>
          <w:tcPr>
            <w:tcW w:w="1549" w:type="dxa"/>
            <w:vAlign w:val="center"/>
          </w:tcPr>
          <w:p w:rsidR="00003E3B" w:rsidRDefault="00150DF0">
            <w:pPr>
              <w:jc w:val="center"/>
            </w:pPr>
            <w:r>
              <w:rPr>
                <w:color w:val="000000"/>
                <w:sz w:val="24"/>
              </w:rPr>
              <w:t>2015-12-12</w:t>
            </w:r>
          </w:p>
        </w:tc>
        <w:tc>
          <w:tcPr>
            <w:tcW w:w="1548" w:type="dxa"/>
            <w:vAlign w:val="center"/>
          </w:tcPr>
          <w:p w:rsidR="00003E3B" w:rsidRDefault="00150DF0">
            <w:pPr>
              <w:jc w:val="center"/>
            </w:pPr>
            <w:r>
              <w:rPr>
                <w:color w:val="000000"/>
                <w:sz w:val="24"/>
              </w:rPr>
              <w:t>-</w:t>
            </w:r>
          </w:p>
        </w:tc>
        <w:tc>
          <w:tcPr>
            <w:tcW w:w="1407" w:type="dxa"/>
            <w:vAlign w:val="center"/>
          </w:tcPr>
          <w:p w:rsidR="00003E3B" w:rsidRDefault="00150DF0">
            <w:pPr>
              <w:jc w:val="center"/>
            </w:pPr>
            <w:r>
              <w:rPr>
                <w:color w:val="000000"/>
                <w:sz w:val="24"/>
              </w:rPr>
              <w:t>7</w:t>
            </w:r>
            <w:r>
              <w:rPr>
                <w:color w:val="000000"/>
                <w:sz w:val="24"/>
              </w:rPr>
              <w:t>年</w:t>
            </w:r>
          </w:p>
        </w:tc>
        <w:tc>
          <w:tcPr>
            <w:tcW w:w="2673" w:type="dxa"/>
            <w:vAlign w:val="center"/>
          </w:tcPr>
          <w:p w:rsidR="00003E3B" w:rsidRDefault="00150DF0">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F077D2" w:rsidRPr="008640AE">
        <w:rPr>
          <w:b/>
          <w:color w:val="000000"/>
          <w:kern w:val="0"/>
          <w:sz w:val="24"/>
        </w:rPr>
        <w:t>2</w:t>
      </w:r>
      <w:r w:rsidR="004A36FD" w:rsidRPr="008640AE">
        <w:rPr>
          <w:b/>
          <w:color w:val="000000"/>
          <w:kern w:val="0"/>
          <w:sz w:val="24"/>
        </w:rPr>
        <w:t xml:space="preserve"> </w:t>
      </w:r>
      <w:r w:rsidRPr="008640A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firstRow="1" w:lastRow="0" w:firstColumn="1" w:lastColumn="0" w:noHBand="0" w:noVBand="1"/>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w="2366"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003E3B">
        <w:trPr>
          <w:jc w:val="center"/>
        </w:trPr>
        <w:tc>
          <w:tcPr>
            <w:tcW w:w="2070" w:type="dxa"/>
            <w:vAlign w:val="center"/>
          </w:tcPr>
          <w:p w:rsidR="00003E3B" w:rsidRDefault="00150DF0">
            <w:pPr>
              <w:jc w:val="center"/>
            </w:pPr>
            <w:r>
              <w:rPr>
                <w:color w:val="000000"/>
                <w:sz w:val="24"/>
              </w:rPr>
              <w:t>Simon Webber</w:t>
            </w:r>
          </w:p>
        </w:tc>
        <w:tc>
          <w:tcPr>
            <w:tcW w:w="2465" w:type="dxa"/>
            <w:vAlign w:val="center"/>
          </w:tcPr>
          <w:p w:rsidR="00003E3B" w:rsidRDefault="00150DF0">
            <w:pPr>
              <w:jc w:val="center"/>
            </w:pPr>
            <w:r>
              <w:rPr>
                <w:color w:val="000000"/>
                <w:sz w:val="24"/>
              </w:rPr>
              <w:t>施罗德集团多区域（全球及国际）股票投资主管、全球和国际股票基金经理、全球气候变化股票基金经理</w:t>
            </w:r>
          </w:p>
        </w:tc>
        <w:tc>
          <w:tcPr>
            <w:tcW w:w="2116" w:type="dxa"/>
            <w:vAlign w:val="center"/>
          </w:tcPr>
          <w:p w:rsidR="00003E3B" w:rsidRDefault="00150DF0">
            <w:pPr>
              <w:jc w:val="center"/>
            </w:pPr>
            <w:r>
              <w:rPr>
                <w:color w:val="000000"/>
                <w:sz w:val="24"/>
              </w:rPr>
              <w:t>17</w:t>
            </w:r>
            <w:r>
              <w:rPr>
                <w:color w:val="000000"/>
                <w:sz w:val="24"/>
              </w:rPr>
              <w:t>年</w:t>
            </w:r>
          </w:p>
        </w:tc>
        <w:tc>
          <w:tcPr>
            <w:tcW w:w="2217" w:type="dxa"/>
            <w:vAlign w:val="center"/>
          </w:tcPr>
          <w:p w:rsidR="00003E3B" w:rsidRDefault="00150DF0">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0017526E" w:rsidRPr="008640AE">
        <w:rPr>
          <w:b/>
          <w:color w:val="000000"/>
          <w:kern w:val="0"/>
          <w:sz w:val="24"/>
        </w:rPr>
        <w:t xml:space="preserve"> </w:t>
      </w:r>
      <w:r w:rsidRPr="008640AE">
        <w:rPr>
          <w:b/>
          <w:color w:val="000000"/>
          <w:kern w:val="0"/>
          <w:sz w:val="24"/>
        </w:rPr>
        <w:t>报告期内本基金运作遵规守信情况说明</w:t>
      </w:r>
    </w:p>
    <w:p w:rsidR="00003E3B" w:rsidRDefault="00150DF0">
      <w:pPr>
        <w:spacing w:before="29" w:line="288" w:lineRule="auto"/>
        <w:ind w:firstLineChars="200" w:firstLine="48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363E15" w:rsidRPr="008640AE" w:rsidRDefault="00363E15" w:rsidP="005546C0">
      <w:pPr>
        <w:spacing w:before="29" w:line="288" w:lineRule="auto"/>
        <w:ind w:firstLineChars="200" w:firstLine="480"/>
        <w:rPr>
          <w:color w:val="000000"/>
          <w:sz w:val="24"/>
        </w:rPr>
      </w:pPr>
      <w:r w:rsidRPr="008640AE">
        <w:rPr>
          <w:color w:val="000000"/>
          <w:sz w:val="24"/>
        </w:rPr>
        <w:t>中国证监会于</w:t>
      </w:r>
      <w:r w:rsidRPr="008640AE">
        <w:rPr>
          <w:color w:val="000000"/>
          <w:sz w:val="24"/>
        </w:rPr>
        <w:t>2015</w:t>
      </w:r>
      <w:r w:rsidRPr="008640AE">
        <w:rPr>
          <w:color w:val="000000"/>
          <w:sz w:val="24"/>
        </w:rPr>
        <w:t>年对公司进行了</w:t>
      </w:r>
      <w:r w:rsidRPr="008640AE">
        <w:rPr>
          <w:color w:val="000000"/>
          <w:sz w:val="24"/>
        </w:rPr>
        <w:t>“</w:t>
      </w:r>
      <w:r w:rsidRPr="008640AE">
        <w:rPr>
          <w:color w:val="000000"/>
          <w:sz w:val="24"/>
        </w:rPr>
        <w:t>两加强两遏制</w:t>
      </w:r>
      <w:r w:rsidRPr="008640AE">
        <w:rPr>
          <w:color w:val="000000"/>
          <w:sz w:val="24"/>
        </w:rPr>
        <w:t>”</w:t>
      </w:r>
      <w:r w:rsidRPr="008640AE">
        <w:rPr>
          <w:color w:val="000000"/>
          <w:sz w:val="24"/>
        </w:rPr>
        <w:t>检查，后续并就公司内部控制提出了相应改进意见及采取责令改正的行政监管措施。公司已经完成了相关问题的整改，并已向监管部门上报了专项报告。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0017526E" w:rsidRPr="008640AE">
        <w:rPr>
          <w:b/>
          <w:color w:val="000000"/>
          <w:kern w:val="0"/>
          <w:sz w:val="24"/>
        </w:rPr>
        <w:t xml:space="preserve"> </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003E3B" w:rsidRDefault="00150DF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03E3B" w:rsidRDefault="00150DF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003E3B" w:rsidRDefault="00150DF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0017526E" w:rsidRPr="008640AE">
        <w:rPr>
          <w:sz w:val="24"/>
        </w:rPr>
        <w:t xml:space="preserve"> </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本基金于本报告期内未发现异常交易行为。本报告期内，本公司管理的所有投资组合参与的交易所公开竞价同日反向交易成交较少的单边交易量超过该证券当日总成交量</w:t>
      </w:r>
      <w:r w:rsidRPr="008640AE">
        <w:rPr>
          <w:color w:val="000000"/>
          <w:sz w:val="24"/>
        </w:rPr>
        <w:t>5%</w:t>
      </w:r>
      <w:r w:rsidRPr="008640AE">
        <w:rPr>
          <w:color w:val="000000"/>
          <w:sz w:val="24"/>
        </w:rPr>
        <w:t>的情况有</w:t>
      </w:r>
      <w:r w:rsidRPr="008640AE">
        <w:rPr>
          <w:color w:val="000000"/>
          <w:sz w:val="24"/>
        </w:rPr>
        <w:t>1</w:t>
      </w:r>
      <w:r w:rsidRPr="008640AE">
        <w:rPr>
          <w:color w:val="000000"/>
          <w:sz w:val="24"/>
        </w:rPr>
        <w:t>次，是由于投资组合被动超标的合规调整需要而发生同日反向交易，未发现不公平交易和利益输送的情况。本基金与本公司管理的其他投资组合在不同时间窗下（如日内、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日内）同向交易的交易价差未发现异常。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4.5</w:t>
      </w:r>
      <w:r w:rsidR="00195D4D" w:rsidRPr="008640AE">
        <w:rPr>
          <w:b/>
          <w:color w:val="000000"/>
          <w:kern w:val="0"/>
          <w:sz w:val="24"/>
        </w:rPr>
        <w:t xml:space="preserve"> </w:t>
      </w:r>
      <w:r w:rsidRPr="008640AE">
        <w:rPr>
          <w:b/>
          <w:color w:val="000000"/>
          <w:kern w:val="0"/>
          <w:sz w:val="24"/>
        </w:rPr>
        <w:t>报告期内基金的投资策略和业绩表现说明</w:t>
      </w:r>
    </w:p>
    <w:p w:rsidR="00003E3B" w:rsidRDefault="00150DF0">
      <w:pPr>
        <w:spacing w:before="29" w:line="288" w:lineRule="auto"/>
        <w:ind w:firstLineChars="200" w:firstLine="480"/>
        <w:rPr>
          <w:color w:val="000000"/>
          <w:sz w:val="24"/>
        </w:rPr>
      </w:pPr>
      <w:r>
        <w:rPr>
          <w:color w:val="000000"/>
          <w:sz w:val="24"/>
        </w:rPr>
        <w:t>2016</w:t>
      </w:r>
      <w:r>
        <w:rPr>
          <w:color w:val="000000"/>
          <w:sz w:val="24"/>
        </w:rPr>
        <w:t>年二季度海外市场先涨后跌，特别是受到英国退欧影响，</w:t>
      </w:r>
      <w:r>
        <w:rPr>
          <w:color w:val="000000"/>
          <w:sz w:val="24"/>
        </w:rPr>
        <w:t>2016</w:t>
      </w:r>
      <w:r>
        <w:rPr>
          <w:color w:val="000000"/>
          <w:sz w:val="24"/>
        </w:rPr>
        <w:t>年</w:t>
      </w:r>
      <w:r>
        <w:rPr>
          <w:color w:val="000000"/>
          <w:sz w:val="24"/>
        </w:rPr>
        <w:t>6</w:t>
      </w:r>
      <w:r>
        <w:rPr>
          <w:color w:val="000000"/>
          <w:sz w:val="24"/>
        </w:rPr>
        <w:t>月底全球资本市场出现了大幅调整。全</w:t>
      </w:r>
      <w:r>
        <w:rPr>
          <w:color w:val="000000"/>
          <w:sz w:val="24"/>
        </w:rPr>
        <w:t>球主要证券市场中，美国市场在美元加息的支撑之下表现基本稳定，英国退欧之后市场较快地收复了失地。欧洲市场则下跌幅度较大。中国经历了</w:t>
      </w:r>
      <w:r>
        <w:rPr>
          <w:color w:val="000000"/>
          <w:sz w:val="24"/>
        </w:rPr>
        <w:t>2016</w:t>
      </w:r>
      <w:r>
        <w:rPr>
          <w:color w:val="000000"/>
          <w:sz w:val="24"/>
        </w:rPr>
        <w:t>年一季度的人民币汇率调整之后经济有所企稳，但可持续性待观察。香港市场总体上呈区间震荡态势。</w:t>
      </w:r>
    </w:p>
    <w:p w:rsidR="00003E3B" w:rsidRDefault="00150DF0">
      <w:pPr>
        <w:spacing w:before="29" w:line="288" w:lineRule="auto"/>
        <w:ind w:firstLineChars="200" w:firstLine="480"/>
        <w:rPr>
          <w:color w:val="000000"/>
          <w:sz w:val="24"/>
        </w:rPr>
      </w:pPr>
      <w:r>
        <w:rPr>
          <w:color w:val="000000"/>
          <w:sz w:val="24"/>
        </w:rPr>
        <w:t>本基金在</w:t>
      </w:r>
      <w:r>
        <w:rPr>
          <w:color w:val="000000"/>
          <w:sz w:val="24"/>
        </w:rPr>
        <w:t>2016</w:t>
      </w:r>
      <w:r>
        <w:rPr>
          <w:color w:val="000000"/>
          <w:sz w:val="24"/>
        </w:rPr>
        <w:t>年二季度总体保持偏低的仓位以对应市场的大幅波动，配置方面逐步加大了对能源、矿产等股票的配置。随着经济逐步企稳，流动性依然充裕，我们认为资源类资产将在未来两个季度成为市场关注的重点。个股方面，我们重点配置基本面见底回升并且估值比较合理的股票，并更加注重公司的行业地位和市</w:t>
      </w:r>
      <w:r>
        <w:rPr>
          <w:color w:val="000000"/>
          <w:sz w:val="24"/>
        </w:rPr>
        <w:t>场份额等指标。</w:t>
      </w:r>
    </w:p>
    <w:p w:rsidR="00B0116D" w:rsidRPr="008640AE" w:rsidRDefault="00B0116D" w:rsidP="005546C0">
      <w:pPr>
        <w:spacing w:before="29" w:line="288" w:lineRule="auto"/>
        <w:ind w:firstLineChars="200" w:firstLine="480"/>
        <w:rPr>
          <w:color w:val="000000"/>
          <w:sz w:val="24"/>
        </w:rPr>
      </w:pPr>
      <w:r w:rsidRPr="008640AE">
        <w:rPr>
          <w:color w:val="000000"/>
          <w:sz w:val="24"/>
        </w:rPr>
        <w:t>我们预计未来</w:t>
      </w:r>
      <w:r w:rsidRPr="008640AE">
        <w:rPr>
          <w:color w:val="000000"/>
          <w:sz w:val="24"/>
        </w:rPr>
        <w:t>1-2</w:t>
      </w:r>
      <w:r w:rsidRPr="008640AE">
        <w:rPr>
          <w:color w:val="000000"/>
          <w:sz w:val="24"/>
        </w:rPr>
        <w:t>个季度全球宏观经济增长的前景依然不乐观，负利率情景之下资产价格的定价体系可能也面临较大的不确定性，目前来看股市的风险依然不容忽视。注重风险防范依然是未来一个阶段的重点。大类资产方面，预计全球大宗商品和自然资源类资产可能正处在一个长期的底部区间，中期来看出现震荡向上的可能性较大。本基金将重点考虑农产品和大宗商品类资产配置，努力为投资人创造更好的回报。</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2016</w:t>
      </w:r>
      <w:r w:rsidRPr="008640AE">
        <w:rPr>
          <w:color w:val="000000"/>
          <w:sz w:val="24"/>
        </w:rPr>
        <w:t>年</w:t>
      </w:r>
      <w:r w:rsidRPr="008640AE">
        <w:rPr>
          <w:color w:val="000000"/>
          <w:sz w:val="24"/>
        </w:rPr>
        <w:t>6</w:t>
      </w:r>
      <w:r w:rsidRPr="008640AE">
        <w:rPr>
          <w:color w:val="000000"/>
          <w:sz w:val="24"/>
        </w:rPr>
        <w:t>月</w:t>
      </w:r>
      <w:r w:rsidRPr="008640AE">
        <w:rPr>
          <w:color w:val="000000"/>
          <w:sz w:val="24"/>
        </w:rPr>
        <w:t>30</w:t>
      </w:r>
      <w:r w:rsidRPr="008640AE">
        <w:rPr>
          <w:color w:val="000000"/>
          <w:sz w:val="24"/>
        </w:rPr>
        <w:t>日，本基金份额净值为</w:t>
      </w:r>
      <w:r w:rsidRPr="008640AE">
        <w:rPr>
          <w:color w:val="000000"/>
          <w:sz w:val="24"/>
        </w:rPr>
        <w:t xml:space="preserve">1.120 </w:t>
      </w:r>
      <w:r w:rsidRPr="008640AE">
        <w:rPr>
          <w:color w:val="000000"/>
          <w:sz w:val="24"/>
        </w:rPr>
        <w:t>元，本报告期份额净值增长率为</w:t>
      </w:r>
      <w:r w:rsidRPr="008640AE">
        <w:rPr>
          <w:color w:val="000000"/>
          <w:sz w:val="24"/>
        </w:rPr>
        <w:t>0.00%</w:t>
      </w:r>
      <w:r w:rsidRPr="008640AE">
        <w:rPr>
          <w:color w:val="000000"/>
          <w:sz w:val="24"/>
        </w:rPr>
        <w:t>，同期业绩比较基准增长率为</w:t>
      </w:r>
      <w:r w:rsidRPr="008640AE">
        <w:rPr>
          <w:color w:val="000000"/>
          <w:sz w:val="24"/>
        </w:rPr>
        <w:t>5.47%</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截至本报告期末，本基金已经连续六十个工作日以上出现基金资产净值低于五千万元的情形，基金管理人已向中国证券监督管理委员会进行了报告，拟通过终止基金合同等方式解决。</w:t>
      </w:r>
    </w:p>
    <w:p w:rsidR="00EA3F21" w:rsidRPr="008640AE" w:rsidRDefault="00EA3F21" w:rsidP="005546C0">
      <w:pPr>
        <w:spacing w:before="29" w:line="288" w:lineRule="auto"/>
        <w:ind w:firstLineChars="200" w:firstLine="480"/>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19,950,981.98</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66.60</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19,950,981.98</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66.60</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9,566,045.77</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31.93</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440,791.38</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1.47</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29,957,819.13</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注：本基金本报告期末未持有通过沪港通投资的股票。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003E3B">
        <w:trPr>
          <w:jc w:val="center"/>
        </w:trPr>
        <w:tc>
          <w:tcPr>
            <w:tcW w:w="2484" w:type="dxa"/>
            <w:vAlign w:val="center"/>
          </w:tcPr>
          <w:p w:rsidR="00003E3B" w:rsidRDefault="00150DF0">
            <w:pPr>
              <w:jc w:val="left"/>
            </w:pPr>
            <w:r>
              <w:rPr>
                <w:color w:val="000000"/>
                <w:sz w:val="24"/>
              </w:rPr>
              <w:t>香港</w:t>
            </w:r>
          </w:p>
        </w:tc>
        <w:tc>
          <w:tcPr>
            <w:tcW w:w="3214" w:type="dxa"/>
            <w:vAlign w:val="center"/>
          </w:tcPr>
          <w:p w:rsidR="00003E3B" w:rsidRDefault="00150DF0">
            <w:pPr>
              <w:jc w:val="right"/>
            </w:pPr>
            <w:r>
              <w:rPr>
                <w:color w:val="000000"/>
                <w:sz w:val="24"/>
              </w:rPr>
              <w:t>19,950,981.98</w:t>
            </w:r>
          </w:p>
        </w:tc>
        <w:tc>
          <w:tcPr>
            <w:tcW w:w="3170" w:type="dxa"/>
            <w:vAlign w:val="center"/>
          </w:tcPr>
          <w:p w:rsidR="00003E3B" w:rsidRDefault="00150DF0">
            <w:pPr>
              <w:jc w:val="right"/>
            </w:pPr>
            <w:r>
              <w:rPr>
                <w:color w:val="000000"/>
                <w:sz w:val="24"/>
              </w:rPr>
              <w:t>67.82</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19,950,981.98</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67.82</w:t>
            </w:r>
          </w:p>
        </w:tc>
      </w:tr>
    </w:tbl>
    <w:p w:rsidR="00003E3B" w:rsidRDefault="00150DF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tbl>
      <w:tblPr>
        <w:tblStyle w:val="af7"/>
        <w:tblW w:w="8868" w:type="dxa"/>
        <w:jc w:val="center"/>
        <w:tblLayout w:type="fixed"/>
        <w:tblCellMar>
          <w:top w:w="57" w:type="dxa"/>
          <w:bottom w:w="57" w:type="dxa"/>
        </w:tblCellMar>
        <w:tblLook w:val="04A0" w:firstRow="1" w:lastRow="0" w:firstColumn="1" w:lastColumn="0" w:noHBand="0" w:noVBand="1"/>
      </w:tblPr>
      <w:tblGrid>
        <w:gridCol w:w="2904"/>
        <w:gridCol w:w="2657"/>
        <w:gridCol w:w="3307"/>
      </w:tblGrid>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p>
        </w:tc>
        <w:tc>
          <w:tcPr>
            <w:tcW w:w="2551"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公允价值（人民币元）</w:t>
            </w:r>
          </w:p>
        </w:tc>
        <w:tc>
          <w:tcPr>
            <w:tcW w:w="3175"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003E3B">
        <w:trPr>
          <w:jc w:val="center"/>
        </w:trPr>
        <w:tc>
          <w:tcPr>
            <w:tcW w:w="2904" w:type="dxa"/>
            <w:vAlign w:val="center"/>
          </w:tcPr>
          <w:p w:rsidR="00003E3B" w:rsidRDefault="00150DF0">
            <w:pPr>
              <w:jc w:val="left"/>
            </w:pPr>
            <w:r>
              <w:rPr>
                <w:color w:val="000000"/>
                <w:sz w:val="24"/>
              </w:rPr>
              <w:t>材料</w:t>
            </w:r>
          </w:p>
        </w:tc>
        <w:tc>
          <w:tcPr>
            <w:tcW w:w="2657" w:type="dxa"/>
            <w:vAlign w:val="center"/>
          </w:tcPr>
          <w:p w:rsidR="00003E3B" w:rsidRDefault="00150DF0">
            <w:pPr>
              <w:jc w:val="right"/>
            </w:pPr>
            <w:r>
              <w:rPr>
                <w:color w:val="000000"/>
                <w:sz w:val="24"/>
              </w:rPr>
              <w:t>3,484,088.74</w:t>
            </w:r>
          </w:p>
        </w:tc>
        <w:tc>
          <w:tcPr>
            <w:tcW w:w="3307" w:type="dxa"/>
            <w:vAlign w:val="center"/>
          </w:tcPr>
          <w:p w:rsidR="00003E3B" w:rsidRDefault="00150DF0">
            <w:pPr>
              <w:jc w:val="right"/>
            </w:pPr>
            <w:r>
              <w:rPr>
                <w:color w:val="000000"/>
                <w:sz w:val="24"/>
              </w:rPr>
              <w:t>11.84</w:t>
            </w:r>
          </w:p>
        </w:tc>
      </w:tr>
      <w:tr w:rsidR="00003E3B">
        <w:trPr>
          <w:jc w:val="center"/>
        </w:trPr>
        <w:tc>
          <w:tcPr>
            <w:tcW w:w="2904" w:type="dxa"/>
            <w:vAlign w:val="center"/>
          </w:tcPr>
          <w:p w:rsidR="00003E3B" w:rsidRDefault="00150DF0">
            <w:pPr>
              <w:jc w:val="left"/>
            </w:pPr>
            <w:r>
              <w:rPr>
                <w:color w:val="000000"/>
                <w:sz w:val="24"/>
              </w:rPr>
              <w:t>金融</w:t>
            </w:r>
          </w:p>
        </w:tc>
        <w:tc>
          <w:tcPr>
            <w:tcW w:w="2657" w:type="dxa"/>
            <w:vAlign w:val="center"/>
          </w:tcPr>
          <w:p w:rsidR="00003E3B" w:rsidRDefault="00150DF0">
            <w:pPr>
              <w:jc w:val="right"/>
            </w:pPr>
            <w:r>
              <w:rPr>
                <w:color w:val="000000"/>
                <w:sz w:val="24"/>
              </w:rPr>
              <w:t>3,344,081.10</w:t>
            </w:r>
          </w:p>
        </w:tc>
        <w:tc>
          <w:tcPr>
            <w:tcW w:w="3307" w:type="dxa"/>
            <w:vAlign w:val="center"/>
          </w:tcPr>
          <w:p w:rsidR="00003E3B" w:rsidRDefault="00150DF0">
            <w:pPr>
              <w:jc w:val="right"/>
            </w:pPr>
            <w:r>
              <w:rPr>
                <w:color w:val="000000"/>
                <w:sz w:val="24"/>
              </w:rPr>
              <w:t>11.37</w:t>
            </w:r>
          </w:p>
        </w:tc>
      </w:tr>
      <w:tr w:rsidR="00003E3B">
        <w:trPr>
          <w:jc w:val="center"/>
        </w:trPr>
        <w:tc>
          <w:tcPr>
            <w:tcW w:w="2904" w:type="dxa"/>
            <w:vAlign w:val="center"/>
          </w:tcPr>
          <w:p w:rsidR="00003E3B" w:rsidRDefault="00150DF0">
            <w:pPr>
              <w:jc w:val="left"/>
            </w:pPr>
            <w:r>
              <w:rPr>
                <w:color w:val="000000"/>
                <w:sz w:val="24"/>
              </w:rPr>
              <w:t>能源</w:t>
            </w:r>
          </w:p>
        </w:tc>
        <w:tc>
          <w:tcPr>
            <w:tcW w:w="2657" w:type="dxa"/>
            <w:vAlign w:val="center"/>
          </w:tcPr>
          <w:p w:rsidR="00003E3B" w:rsidRDefault="00150DF0">
            <w:pPr>
              <w:jc w:val="right"/>
            </w:pPr>
            <w:r>
              <w:rPr>
                <w:color w:val="000000"/>
                <w:sz w:val="24"/>
              </w:rPr>
              <w:t>3,162,407.06</w:t>
            </w:r>
          </w:p>
        </w:tc>
        <w:tc>
          <w:tcPr>
            <w:tcW w:w="3307" w:type="dxa"/>
            <w:vAlign w:val="center"/>
          </w:tcPr>
          <w:p w:rsidR="00003E3B" w:rsidRDefault="00150DF0">
            <w:pPr>
              <w:jc w:val="right"/>
            </w:pPr>
            <w:r>
              <w:rPr>
                <w:color w:val="000000"/>
                <w:sz w:val="24"/>
              </w:rPr>
              <w:t>10.75</w:t>
            </w:r>
          </w:p>
        </w:tc>
      </w:tr>
      <w:tr w:rsidR="00003E3B">
        <w:trPr>
          <w:jc w:val="center"/>
        </w:trPr>
        <w:tc>
          <w:tcPr>
            <w:tcW w:w="2904" w:type="dxa"/>
            <w:vAlign w:val="center"/>
          </w:tcPr>
          <w:p w:rsidR="00003E3B" w:rsidRDefault="00150DF0">
            <w:pPr>
              <w:jc w:val="left"/>
            </w:pPr>
            <w:r>
              <w:rPr>
                <w:color w:val="000000"/>
                <w:sz w:val="24"/>
              </w:rPr>
              <w:t>工业</w:t>
            </w:r>
          </w:p>
        </w:tc>
        <w:tc>
          <w:tcPr>
            <w:tcW w:w="2657" w:type="dxa"/>
            <w:vAlign w:val="center"/>
          </w:tcPr>
          <w:p w:rsidR="00003E3B" w:rsidRDefault="00150DF0">
            <w:pPr>
              <w:jc w:val="right"/>
            </w:pPr>
            <w:r>
              <w:rPr>
                <w:color w:val="000000"/>
                <w:sz w:val="24"/>
              </w:rPr>
              <w:t>2,840,665.52</w:t>
            </w:r>
          </w:p>
        </w:tc>
        <w:tc>
          <w:tcPr>
            <w:tcW w:w="3307" w:type="dxa"/>
            <w:vAlign w:val="center"/>
          </w:tcPr>
          <w:p w:rsidR="00003E3B" w:rsidRDefault="00150DF0">
            <w:pPr>
              <w:jc w:val="right"/>
            </w:pPr>
            <w:r>
              <w:rPr>
                <w:color w:val="000000"/>
                <w:sz w:val="24"/>
              </w:rPr>
              <w:t>9.66</w:t>
            </w:r>
          </w:p>
        </w:tc>
      </w:tr>
      <w:tr w:rsidR="00003E3B">
        <w:trPr>
          <w:jc w:val="center"/>
        </w:trPr>
        <w:tc>
          <w:tcPr>
            <w:tcW w:w="2904" w:type="dxa"/>
            <w:vAlign w:val="center"/>
          </w:tcPr>
          <w:p w:rsidR="00003E3B" w:rsidRDefault="00150DF0">
            <w:pPr>
              <w:jc w:val="left"/>
            </w:pPr>
            <w:r>
              <w:rPr>
                <w:color w:val="000000"/>
                <w:sz w:val="24"/>
              </w:rPr>
              <w:t>公共事业</w:t>
            </w:r>
          </w:p>
        </w:tc>
        <w:tc>
          <w:tcPr>
            <w:tcW w:w="2657" w:type="dxa"/>
            <w:vAlign w:val="center"/>
          </w:tcPr>
          <w:p w:rsidR="00003E3B" w:rsidRDefault="00150DF0">
            <w:pPr>
              <w:jc w:val="right"/>
            </w:pPr>
            <w:r>
              <w:rPr>
                <w:color w:val="000000"/>
                <w:sz w:val="24"/>
              </w:rPr>
              <w:t>2,792,033.36</w:t>
            </w:r>
          </w:p>
        </w:tc>
        <w:tc>
          <w:tcPr>
            <w:tcW w:w="3307" w:type="dxa"/>
            <w:vAlign w:val="center"/>
          </w:tcPr>
          <w:p w:rsidR="00003E3B" w:rsidRDefault="00150DF0">
            <w:pPr>
              <w:jc w:val="right"/>
            </w:pPr>
            <w:r>
              <w:rPr>
                <w:color w:val="000000"/>
                <w:sz w:val="24"/>
              </w:rPr>
              <w:t>9.49</w:t>
            </w:r>
          </w:p>
        </w:tc>
      </w:tr>
      <w:tr w:rsidR="00003E3B">
        <w:trPr>
          <w:jc w:val="center"/>
        </w:trPr>
        <w:tc>
          <w:tcPr>
            <w:tcW w:w="2904" w:type="dxa"/>
            <w:vAlign w:val="center"/>
          </w:tcPr>
          <w:p w:rsidR="00003E3B" w:rsidRDefault="00150DF0">
            <w:pPr>
              <w:jc w:val="left"/>
            </w:pPr>
            <w:r>
              <w:rPr>
                <w:color w:val="000000"/>
                <w:sz w:val="24"/>
              </w:rPr>
              <w:t>非必需消费品</w:t>
            </w:r>
          </w:p>
        </w:tc>
        <w:tc>
          <w:tcPr>
            <w:tcW w:w="2657" w:type="dxa"/>
            <w:vAlign w:val="center"/>
          </w:tcPr>
          <w:p w:rsidR="00003E3B" w:rsidRDefault="00150DF0">
            <w:pPr>
              <w:jc w:val="right"/>
            </w:pPr>
            <w:r>
              <w:rPr>
                <w:color w:val="000000"/>
                <w:sz w:val="24"/>
              </w:rPr>
              <w:t>2,190,514.79</w:t>
            </w:r>
          </w:p>
        </w:tc>
        <w:tc>
          <w:tcPr>
            <w:tcW w:w="3307" w:type="dxa"/>
            <w:vAlign w:val="center"/>
          </w:tcPr>
          <w:p w:rsidR="00003E3B" w:rsidRDefault="00150DF0">
            <w:pPr>
              <w:jc w:val="right"/>
            </w:pPr>
            <w:r>
              <w:rPr>
                <w:color w:val="000000"/>
                <w:sz w:val="24"/>
              </w:rPr>
              <w:t>7.45</w:t>
            </w:r>
          </w:p>
        </w:tc>
      </w:tr>
      <w:tr w:rsidR="00003E3B">
        <w:trPr>
          <w:jc w:val="center"/>
        </w:trPr>
        <w:tc>
          <w:tcPr>
            <w:tcW w:w="2904" w:type="dxa"/>
            <w:vAlign w:val="center"/>
          </w:tcPr>
          <w:p w:rsidR="00003E3B" w:rsidRDefault="00150DF0">
            <w:pPr>
              <w:jc w:val="left"/>
            </w:pPr>
            <w:r>
              <w:rPr>
                <w:color w:val="000000"/>
                <w:sz w:val="24"/>
              </w:rPr>
              <w:t>信息技术</w:t>
            </w:r>
          </w:p>
        </w:tc>
        <w:tc>
          <w:tcPr>
            <w:tcW w:w="2657" w:type="dxa"/>
            <w:vAlign w:val="center"/>
          </w:tcPr>
          <w:p w:rsidR="00003E3B" w:rsidRDefault="00150DF0">
            <w:pPr>
              <w:jc w:val="right"/>
            </w:pPr>
            <w:r>
              <w:rPr>
                <w:color w:val="000000"/>
                <w:sz w:val="24"/>
              </w:rPr>
              <w:t>1,098,736.54</w:t>
            </w:r>
          </w:p>
        </w:tc>
        <w:tc>
          <w:tcPr>
            <w:tcW w:w="3307" w:type="dxa"/>
            <w:vAlign w:val="center"/>
          </w:tcPr>
          <w:p w:rsidR="00003E3B" w:rsidRDefault="00150DF0">
            <w:pPr>
              <w:jc w:val="right"/>
            </w:pPr>
            <w:r>
              <w:rPr>
                <w:color w:val="000000"/>
                <w:sz w:val="24"/>
              </w:rPr>
              <w:t>3.74</w:t>
            </w:r>
          </w:p>
        </w:tc>
      </w:tr>
      <w:tr w:rsidR="00003E3B">
        <w:trPr>
          <w:jc w:val="center"/>
        </w:trPr>
        <w:tc>
          <w:tcPr>
            <w:tcW w:w="2904" w:type="dxa"/>
            <w:vAlign w:val="center"/>
          </w:tcPr>
          <w:p w:rsidR="00003E3B" w:rsidRDefault="00150DF0">
            <w:pPr>
              <w:jc w:val="left"/>
            </w:pPr>
            <w:r>
              <w:rPr>
                <w:color w:val="000000"/>
                <w:sz w:val="24"/>
              </w:rPr>
              <w:t>必需消费品</w:t>
            </w:r>
          </w:p>
        </w:tc>
        <w:tc>
          <w:tcPr>
            <w:tcW w:w="2657" w:type="dxa"/>
            <w:vAlign w:val="center"/>
          </w:tcPr>
          <w:p w:rsidR="00003E3B" w:rsidRDefault="00150DF0">
            <w:pPr>
              <w:jc w:val="right"/>
            </w:pPr>
            <w:r>
              <w:rPr>
                <w:color w:val="000000"/>
                <w:sz w:val="24"/>
              </w:rPr>
              <w:t>566,663.03</w:t>
            </w:r>
          </w:p>
        </w:tc>
        <w:tc>
          <w:tcPr>
            <w:tcW w:w="3307" w:type="dxa"/>
            <w:vAlign w:val="center"/>
          </w:tcPr>
          <w:p w:rsidR="00003E3B" w:rsidRDefault="00150DF0">
            <w:pPr>
              <w:jc w:val="right"/>
            </w:pPr>
            <w:r>
              <w:rPr>
                <w:color w:val="000000"/>
                <w:sz w:val="24"/>
              </w:rPr>
              <w:t>1.93</w:t>
            </w:r>
          </w:p>
        </w:tc>
      </w:tr>
      <w:tr w:rsidR="00003E3B">
        <w:trPr>
          <w:jc w:val="center"/>
        </w:trPr>
        <w:tc>
          <w:tcPr>
            <w:tcW w:w="2904" w:type="dxa"/>
            <w:vAlign w:val="center"/>
          </w:tcPr>
          <w:p w:rsidR="00003E3B" w:rsidRDefault="00150DF0">
            <w:pPr>
              <w:jc w:val="left"/>
            </w:pPr>
            <w:r>
              <w:rPr>
                <w:color w:val="000000"/>
                <w:sz w:val="24"/>
              </w:rPr>
              <w:t>保健</w:t>
            </w:r>
          </w:p>
        </w:tc>
        <w:tc>
          <w:tcPr>
            <w:tcW w:w="2657" w:type="dxa"/>
            <w:vAlign w:val="center"/>
          </w:tcPr>
          <w:p w:rsidR="00003E3B" w:rsidRDefault="00150DF0">
            <w:pPr>
              <w:jc w:val="right"/>
            </w:pPr>
            <w:r>
              <w:rPr>
                <w:color w:val="000000"/>
                <w:sz w:val="24"/>
              </w:rPr>
              <w:t>471,791.84</w:t>
            </w:r>
          </w:p>
        </w:tc>
        <w:tc>
          <w:tcPr>
            <w:tcW w:w="3307" w:type="dxa"/>
            <w:vAlign w:val="center"/>
          </w:tcPr>
          <w:p w:rsidR="00003E3B" w:rsidRDefault="00150DF0">
            <w:pPr>
              <w:jc w:val="right"/>
            </w:pPr>
            <w:r>
              <w:rPr>
                <w:color w:val="000000"/>
                <w:sz w:val="24"/>
              </w:rPr>
              <w:t>1.60</w:t>
            </w:r>
          </w:p>
        </w:tc>
      </w:tr>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left"/>
              <w:rPr>
                <w:color w:val="000000"/>
                <w:sz w:val="24"/>
              </w:rPr>
            </w:pPr>
            <w:r w:rsidRPr="008640AE">
              <w:rPr>
                <w:color w:val="000000"/>
                <w:sz w:val="24"/>
              </w:rPr>
              <w:t>合计</w:t>
            </w:r>
          </w:p>
        </w:tc>
        <w:tc>
          <w:tcPr>
            <w:tcW w:w="2551"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19,950,981.98</w:t>
            </w:r>
          </w:p>
        </w:tc>
        <w:tc>
          <w:tcPr>
            <w:tcW w:w="3175"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67.82</w:t>
            </w:r>
          </w:p>
        </w:tc>
      </w:tr>
    </w:tbl>
    <w:p w:rsidR="005B6AC7" w:rsidRPr="008640AE"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5546C0">
      <w:pPr>
        <w:autoSpaceDE w:val="0"/>
        <w:autoSpaceDN w:val="0"/>
        <w:adjustRightInd w:val="0"/>
        <w:spacing w:before="29" w:line="288" w:lineRule="auto"/>
        <w:jc w:val="left"/>
        <w:rPr>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w="0" w:type="auto"/>
        <w:jc w:val="center"/>
        <w:tblLayout w:type="fixed"/>
        <w:tblCellMar>
          <w:top w:w="57" w:type="dxa"/>
          <w:bottom w:w="57" w:type="dxa"/>
        </w:tblCellMar>
        <w:tblLook w:val="04A0" w:firstRow="1" w:lastRow="0" w:firstColumn="1" w:lastColumn="0" w:noHBand="0" w:noVBand="1"/>
      </w:tblPr>
      <w:tblGrid>
        <w:gridCol w:w="1243"/>
        <w:gridCol w:w="971"/>
        <w:gridCol w:w="993"/>
        <w:gridCol w:w="725"/>
        <w:gridCol w:w="747"/>
        <w:gridCol w:w="975"/>
        <w:gridCol w:w="1175"/>
        <w:gridCol w:w="975"/>
        <w:gridCol w:w="1175"/>
      </w:tblGrid>
      <w:tr w:rsidR="001C7D5D" w:rsidRPr="00293A87" w:rsidTr="00811B44">
        <w:trPr>
          <w:jc w:val="center"/>
        </w:trPr>
        <w:tc>
          <w:tcPr>
            <w:tcW w:w="1243"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w="971"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公司名称（英文）</w:t>
            </w:r>
          </w:p>
        </w:tc>
        <w:tc>
          <w:tcPr>
            <w:tcW w:w="993"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公司名称（中文）</w:t>
            </w:r>
          </w:p>
        </w:tc>
        <w:tc>
          <w:tcPr>
            <w:tcW w:w="725"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证券代码</w:t>
            </w:r>
          </w:p>
        </w:tc>
        <w:tc>
          <w:tcPr>
            <w:tcW w:w="747" w:type="dxa"/>
            <w:vAlign w:val="center"/>
          </w:tcPr>
          <w:p w:rsidR="001C7D5D" w:rsidRPr="00293A87" w:rsidRDefault="009B6E8F"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rsidR="00003E3B">
        <w:trPr>
          <w:jc w:val="center"/>
        </w:trPr>
        <w:tc>
          <w:tcPr>
            <w:tcW w:w="1243" w:type="dxa"/>
            <w:vAlign w:val="center"/>
          </w:tcPr>
          <w:p w:rsidR="00003E3B" w:rsidRDefault="00150DF0">
            <w:pPr>
              <w:jc w:val="center"/>
            </w:pPr>
            <w:r>
              <w:rPr>
                <w:color w:val="000000"/>
                <w:sz w:val="24"/>
              </w:rPr>
              <w:t>1</w:t>
            </w:r>
          </w:p>
        </w:tc>
        <w:tc>
          <w:tcPr>
            <w:tcW w:w="971" w:type="dxa"/>
            <w:vAlign w:val="center"/>
          </w:tcPr>
          <w:p w:rsidR="00003E3B" w:rsidRDefault="00150DF0">
            <w:pPr>
              <w:jc w:val="center"/>
            </w:pPr>
            <w:proofErr w:type="spellStart"/>
            <w:r>
              <w:rPr>
                <w:color w:val="000000"/>
                <w:sz w:val="24"/>
              </w:rPr>
              <w:t>Tencent</w:t>
            </w:r>
            <w:proofErr w:type="spellEnd"/>
            <w:r>
              <w:rPr>
                <w:color w:val="000000"/>
                <w:sz w:val="24"/>
              </w:rPr>
              <w:t xml:space="preserve"> Holdings Limited</w:t>
            </w:r>
          </w:p>
        </w:tc>
        <w:tc>
          <w:tcPr>
            <w:tcW w:w="993" w:type="dxa"/>
            <w:vAlign w:val="center"/>
          </w:tcPr>
          <w:p w:rsidR="00003E3B" w:rsidRDefault="00150DF0">
            <w:pPr>
              <w:jc w:val="center"/>
            </w:pPr>
            <w:r>
              <w:rPr>
                <w:color w:val="000000"/>
                <w:sz w:val="24"/>
              </w:rPr>
              <w:t>腾讯控股有限公司</w:t>
            </w:r>
          </w:p>
        </w:tc>
        <w:tc>
          <w:tcPr>
            <w:tcW w:w="725" w:type="dxa"/>
            <w:vAlign w:val="center"/>
          </w:tcPr>
          <w:p w:rsidR="00003E3B" w:rsidRDefault="00150DF0">
            <w:pPr>
              <w:jc w:val="center"/>
            </w:pPr>
            <w:r>
              <w:rPr>
                <w:color w:val="000000"/>
                <w:sz w:val="24"/>
              </w:rPr>
              <w:t>700 HK</w:t>
            </w:r>
          </w:p>
        </w:tc>
        <w:tc>
          <w:tcPr>
            <w:tcW w:w="747" w:type="dxa"/>
            <w:vAlign w:val="center"/>
          </w:tcPr>
          <w:p w:rsidR="00003E3B" w:rsidRDefault="00150DF0">
            <w:pPr>
              <w:jc w:val="center"/>
            </w:pPr>
            <w:r>
              <w:rPr>
                <w:color w:val="000000"/>
                <w:sz w:val="24"/>
              </w:rPr>
              <w:t>香港证券交易所</w:t>
            </w:r>
          </w:p>
        </w:tc>
        <w:tc>
          <w:tcPr>
            <w:tcW w:w="975" w:type="dxa"/>
            <w:vAlign w:val="center"/>
          </w:tcPr>
          <w:p w:rsidR="00003E3B" w:rsidRDefault="00150DF0">
            <w:pPr>
              <w:jc w:val="center"/>
            </w:pPr>
            <w:r>
              <w:rPr>
                <w:color w:val="000000"/>
                <w:sz w:val="24"/>
              </w:rPr>
              <w:t>香港</w:t>
            </w:r>
          </w:p>
        </w:tc>
        <w:tc>
          <w:tcPr>
            <w:tcW w:w="1175" w:type="dxa"/>
            <w:vAlign w:val="center"/>
          </w:tcPr>
          <w:p w:rsidR="00003E3B" w:rsidRDefault="00150DF0">
            <w:pPr>
              <w:jc w:val="right"/>
            </w:pPr>
            <w:r>
              <w:rPr>
                <w:color w:val="000000"/>
                <w:sz w:val="24"/>
              </w:rPr>
              <w:t>7,300</w:t>
            </w:r>
          </w:p>
        </w:tc>
        <w:tc>
          <w:tcPr>
            <w:tcW w:w="975" w:type="dxa"/>
            <w:vAlign w:val="center"/>
          </w:tcPr>
          <w:p w:rsidR="00003E3B" w:rsidRDefault="00150DF0">
            <w:pPr>
              <w:jc w:val="right"/>
            </w:pPr>
            <w:r>
              <w:rPr>
                <w:color w:val="000000"/>
                <w:sz w:val="24"/>
              </w:rPr>
              <w:t>1,098,736.54</w:t>
            </w:r>
          </w:p>
        </w:tc>
        <w:tc>
          <w:tcPr>
            <w:tcW w:w="1175" w:type="dxa"/>
            <w:vAlign w:val="center"/>
          </w:tcPr>
          <w:p w:rsidR="00003E3B" w:rsidRDefault="00150DF0">
            <w:pPr>
              <w:jc w:val="right"/>
            </w:pPr>
            <w:r>
              <w:rPr>
                <w:color w:val="000000"/>
                <w:sz w:val="24"/>
              </w:rPr>
              <w:t>3.74</w:t>
            </w:r>
          </w:p>
        </w:tc>
      </w:tr>
      <w:tr w:rsidR="00003E3B">
        <w:trPr>
          <w:jc w:val="center"/>
        </w:trPr>
        <w:tc>
          <w:tcPr>
            <w:tcW w:w="1243" w:type="dxa"/>
            <w:vAlign w:val="center"/>
          </w:tcPr>
          <w:p w:rsidR="00003E3B" w:rsidRDefault="00150DF0">
            <w:pPr>
              <w:jc w:val="center"/>
            </w:pPr>
            <w:r>
              <w:rPr>
                <w:color w:val="000000"/>
                <w:sz w:val="24"/>
              </w:rPr>
              <w:t>2</w:t>
            </w:r>
          </w:p>
        </w:tc>
        <w:tc>
          <w:tcPr>
            <w:tcW w:w="971" w:type="dxa"/>
            <w:vAlign w:val="center"/>
          </w:tcPr>
          <w:p w:rsidR="00003E3B" w:rsidRDefault="00150DF0">
            <w:pPr>
              <w:jc w:val="center"/>
            </w:pPr>
            <w:r>
              <w:rPr>
                <w:color w:val="000000"/>
                <w:sz w:val="24"/>
              </w:rPr>
              <w:t>CNOOC Limited</w:t>
            </w:r>
          </w:p>
        </w:tc>
        <w:tc>
          <w:tcPr>
            <w:tcW w:w="993" w:type="dxa"/>
            <w:vAlign w:val="center"/>
          </w:tcPr>
          <w:p w:rsidR="00003E3B" w:rsidRDefault="00150DF0">
            <w:pPr>
              <w:jc w:val="center"/>
            </w:pPr>
            <w:r>
              <w:rPr>
                <w:color w:val="000000"/>
                <w:sz w:val="24"/>
              </w:rPr>
              <w:t>中国海洋石油有限公司</w:t>
            </w:r>
          </w:p>
        </w:tc>
        <w:tc>
          <w:tcPr>
            <w:tcW w:w="725" w:type="dxa"/>
            <w:vAlign w:val="center"/>
          </w:tcPr>
          <w:p w:rsidR="00003E3B" w:rsidRDefault="00150DF0">
            <w:pPr>
              <w:jc w:val="center"/>
            </w:pPr>
            <w:r>
              <w:rPr>
                <w:color w:val="000000"/>
                <w:sz w:val="24"/>
              </w:rPr>
              <w:t>883 HK</w:t>
            </w:r>
          </w:p>
        </w:tc>
        <w:tc>
          <w:tcPr>
            <w:tcW w:w="747" w:type="dxa"/>
            <w:vAlign w:val="center"/>
          </w:tcPr>
          <w:p w:rsidR="00003E3B" w:rsidRDefault="00150DF0">
            <w:pPr>
              <w:jc w:val="center"/>
            </w:pPr>
            <w:r>
              <w:rPr>
                <w:color w:val="000000"/>
                <w:sz w:val="24"/>
              </w:rPr>
              <w:t>香港证券交易所</w:t>
            </w:r>
          </w:p>
        </w:tc>
        <w:tc>
          <w:tcPr>
            <w:tcW w:w="975" w:type="dxa"/>
            <w:vAlign w:val="center"/>
          </w:tcPr>
          <w:p w:rsidR="00003E3B" w:rsidRDefault="00150DF0">
            <w:pPr>
              <w:jc w:val="center"/>
            </w:pPr>
            <w:r>
              <w:rPr>
                <w:color w:val="000000"/>
                <w:sz w:val="24"/>
              </w:rPr>
              <w:t>香港</w:t>
            </w:r>
          </w:p>
        </w:tc>
        <w:tc>
          <w:tcPr>
            <w:tcW w:w="1175" w:type="dxa"/>
            <w:vAlign w:val="center"/>
          </w:tcPr>
          <w:p w:rsidR="00003E3B" w:rsidRDefault="00150DF0">
            <w:pPr>
              <w:jc w:val="right"/>
            </w:pPr>
            <w:r>
              <w:rPr>
                <w:color w:val="000000"/>
                <w:sz w:val="24"/>
              </w:rPr>
              <w:t>130,000</w:t>
            </w:r>
          </w:p>
        </w:tc>
        <w:tc>
          <w:tcPr>
            <w:tcW w:w="975" w:type="dxa"/>
            <w:vAlign w:val="center"/>
          </w:tcPr>
          <w:p w:rsidR="00003E3B" w:rsidRDefault="00150DF0">
            <w:pPr>
              <w:jc w:val="right"/>
            </w:pPr>
            <w:r>
              <w:rPr>
                <w:color w:val="000000"/>
                <w:sz w:val="24"/>
              </w:rPr>
              <w:t>1,068,882.03</w:t>
            </w:r>
          </w:p>
        </w:tc>
        <w:tc>
          <w:tcPr>
            <w:tcW w:w="1175" w:type="dxa"/>
            <w:vAlign w:val="center"/>
          </w:tcPr>
          <w:p w:rsidR="00003E3B" w:rsidRDefault="00150DF0">
            <w:pPr>
              <w:jc w:val="right"/>
            </w:pPr>
            <w:r>
              <w:rPr>
                <w:color w:val="000000"/>
                <w:sz w:val="24"/>
              </w:rPr>
              <w:t>3.63</w:t>
            </w:r>
          </w:p>
        </w:tc>
      </w:tr>
      <w:tr w:rsidR="00003E3B">
        <w:trPr>
          <w:jc w:val="center"/>
        </w:trPr>
        <w:tc>
          <w:tcPr>
            <w:tcW w:w="1243" w:type="dxa"/>
            <w:vAlign w:val="center"/>
          </w:tcPr>
          <w:p w:rsidR="00003E3B" w:rsidRDefault="00150DF0">
            <w:pPr>
              <w:jc w:val="center"/>
            </w:pPr>
            <w:r>
              <w:rPr>
                <w:color w:val="000000"/>
                <w:sz w:val="24"/>
              </w:rPr>
              <w:t>3</w:t>
            </w:r>
          </w:p>
        </w:tc>
        <w:tc>
          <w:tcPr>
            <w:tcW w:w="971" w:type="dxa"/>
            <w:vAlign w:val="center"/>
          </w:tcPr>
          <w:p w:rsidR="00003E3B" w:rsidRDefault="00150DF0">
            <w:pPr>
              <w:jc w:val="center"/>
            </w:pPr>
            <w:proofErr w:type="spellStart"/>
            <w:r>
              <w:rPr>
                <w:color w:val="000000"/>
                <w:sz w:val="24"/>
              </w:rPr>
              <w:t>Huaneng</w:t>
            </w:r>
            <w:proofErr w:type="spellEnd"/>
            <w:r>
              <w:rPr>
                <w:color w:val="000000"/>
                <w:sz w:val="24"/>
              </w:rPr>
              <w:t xml:space="preserve"> Power </w:t>
            </w:r>
            <w:proofErr w:type="spellStart"/>
            <w:r>
              <w:rPr>
                <w:color w:val="000000"/>
                <w:sz w:val="24"/>
              </w:rPr>
              <w:t>International,Inc</w:t>
            </w:r>
            <w:proofErr w:type="spellEnd"/>
            <w:r>
              <w:rPr>
                <w:color w:val="000000"/>
                <w:sz w:val="24"/>
              </w:rPr>
              <w:t>.</w:t>
            </w:r>
          </w:p>
        </w:tc>
        <w:tc>
          <w:tcPr>
            <w:tcW w:w="993" w:type="dxa"/>
            <w:vAlign w:val="center"/>
          </w:tcPr>
          <w:p w:rsidR="00003E3B" w:rsidRDefault="00150DF0">
            <w:pPr>
              <w:jc w:val="center"/>
            </w:pPr>
            <w:r>
              <w:rPr>
                <w:color w:val="000000"/>
                <w:sz w:val="24"/>
              </w:rPr>
              <w:t>华能国际电力股份有限公司</w:t>
            </w:r>
          </w:p>
        </w:tc>
        <w:tc>
          <w:tcPr>
            <w:tcW w:w="725" w:type="dxa"/>
            <w:vAlign w:val="center"/>
          </w:tcPr>
          <w:p w:rsidR="00003E3B" w:rsidRDefault="00150DF0">
            <w:pPr>
              <w:jc w:val="center"/>
            </w:pPr>
            <w:r>
              <w:rPr>
                <w:color w:val="000000"/>
                <w:sz w:val="24"/>
              </w:rPr>
              <w:t>902 HK</w:t>
            </w:r>
          </w:p>
        </w:tc>
        <w:tc>
          <w:tcPr>
            <w:tcW w:w="747" w:type="dxa"/>
            <w:vAlign w:val="center"/>
          </w:tcPr>
          <w:p w:rsidR="00003E3B" w:rsidRDefault="00150DF0">
            <w:pPr>
              <w:jc w:val="center"/>
            </w:pPr>
            <w:r>
              <w:rPr>
                <w:color w:val="000000"/>
                <w:sz w:val="24"/>
              </w:rPr>
              <w:t>香港证券交易所</w:t>
            </w:r>
          </w:p>
        </w:tc>
        <w:tc>
          <w:tcPr>
            <w:tcW w:w="975" w:type="dxa"/>
            <w:vAlign w:val="center"/>
          </w:tcPr>
          <w:p w:rsidR="00003E3B" w:rsidRDefault="00150DF0">
            <w:pPr>
              <w:jc w:val="center"/>
            </w:pPr>
            <w:r>
              <w:rPr>
                <w:color w:val="000000"/>
                <w:sz w:val="24"/>
              </w:rPr>
              <w:t>香港</w:t>
            </w:r>
          </w:p>
        </w:tc>
        <w:tc>
          <w:tcPr>
            <w:tcW w:w="1175" w:type="dxa"/>
            <w:vAlign w:val="center"/>
          </w:tcPr>
          <w:p w:rsidR="00003E3B" w:rsidRDefault="00150DF0">
            <w:pPr>
              <w:jc w:val="right"/>
            </w:pPr>
            <w:r>
              <w:rPr>
                <w:color w:val="000000"/>
                <w:sz w:val="24"/>
              </w:rPr>
              <w:t>240,000</w:t>
            </w:r>
          </w:p>
        </w:tc>
        <w:tc>
          <w:tcPr>
            <w:tcW w:w="975" w:type="dxa"/>
            <w:vAlign w:val="center"/>
          </w:tcPr>
          <w:p w:rsidR="00003E3B" w:rsidRDefault="00150DF0">
            <w:pPr>
              <w:jc w:val="right"/>
            </w:pPr>
            <w:r>
              <w:rPr>
                <w:color w:val="000000"/>
                <w:sz w:val="24"/>
              </w:rPr>
              <w:t>980,506.53</w:t>
            </w:r>
          </w:p>
        </w:tc>
        <w:tc>
          <w:tcPr>
            <w:tcW w:w="1175" w:type="dxa"/>
            <w:vAlign w:val="center"/>
          </w:tcPr>
          <w:p w:rsidR="00003E3B" w:rsidRDefault="00150DF0">
            <w:pPr>
              <w:jc w:val="right"/>
            </w:pPr>
            <w:r>
              <w:rPr>
                <w:color w:val="000000"/>
                <w:sz w:val="24"/>
              </w:rPr>
              <w:t>3.33</w:t>
            </w:r>
          </w:p>
        </w:tc>
      </w:tr>
      <w:tr w:rsidR="00003E3B">
        <w:trPr>
          <w:jc w:val="center"/>
        </w:trPr>
        <w:tc>
          <w:tcPr>
            <w:tcW w:w="1243" w:type="dxa"/>
            <w:vAlign w:val="center"/>
          </w:tcPr>
          <w:p w:rsidR="00003E3B" w:rsidRDefault="00150DF0">
            <w:pPr>
              <w:jc w:val="center"/>
            </w:pPr>
            <w:r>
              <w:rPr>
                <w:color w:val="000000"/>
                <w:sz w:val="24"/>
              </w:rPr>
              <w:t>4</w:t>
            </w:r>
          </w:p>
        </w:tc>
        <w:tc>
          <w:tcPr>
            <w:tcW w:w="971" w:type="dxa"/>
            <w:vAlign w:val="center"/>
          </w:tcPr>
          <w:p w:rsidR="00003E3B" w:rsidRDefault="00150DF0">
            <w:pPr>
              <w:jc w:val="center"/>
            </w:pPr>
            <w:proofErr w:type="spellStart"/>
            <w:r>
              <w:rPr>
                <w:color w:val="000000"/>
                <w:sz w:val="24"/>
              </w:rPr>
              <w:t>Huadian</w:t>
            </w:r>
            <w:proofErr w:type="spellEnd"/>
            <w:r>
              <w:rPr>
                <w:color w:val="000000"/>
                <w:sz w:val="24"/>
              </w:rPr>
              <w:t xml:space="preserve"> Power International Corporation Limited</w:t>
            </w:r>
          </w:p>
        </w:tc>
        <w:tc>
          <w:tcPr>
            <w:tcW w:w="993" w:type="dxa"/>
            <w:vAlign w:val="center"/>
          </w:tcPr>
          <w:p w:rsidR="00003E3B" w:rsidRDefault="00150DF0">
            <w:pPr>
              <w:jc w:val="center"/>
            </w:pPr>
            <w:r>
              <w:rPr>
                <w:color w:val="000000"/>
                <w:sz w:val="24"/>
              </w:rPr>
              <w:t>华电国际电力股份有限公司</w:t>
            </w:r>
          </w:p>
        </w:tc>
        <w:tc>
          <w:tcPr>
            <w:tcW w:w="725" w:type="dxa"/>
            <w:vAlign w:val="center"/>
          </w:tcPr>
          <w:p w:rsidR="00003E3B" w:rsidRDefault="00150DF0">
            <w:pPr>
              <w:jc w:val="center"/>
            </w:pPr>
            <w:r>
              <w:rPr>
                <w:color w:val="000000"/>
                <w:sz w:val="24"/>
              </w:rPr>
              <w:t>1071 HK</w:t>
            </w:r>
          </w:p>
        </w:tc>
        <w:tc>
          <w:tcPr>
            <w:tcW w:w="747" w:type="dxa"/>
            <w:vAlign w:val="center"/>
          </w:tcPr>
          <w:p w:rsidR="00003E3B" w:rsidRDefault="00150DF0">
            <w:pPr>
              <w:jc w:val="center"/>
            </w:pPr>
            <w:r>
              <w:rPr>
                <w:color w:val="000000"/>
                <w:sz w:val="24"/>
              </w:rPr>
              <w:t>香港证券交易所</w:t>
            </w:r>
          </w:p>
        </w:tc>
        <w:tc>
          <w:tcPr>
            <w:tcW w:w="975" w:type="dxa"/>
            <w:vAlign w:val="center"/>
          </w:tcPr>
          <w:p w:rsidR="00003E3B" w:rsidRDefault="00150DF0">
            <w:pPr>
              <w:jc w:val="center"/>
            </w:pPr>
            <w:r>
              <w:rPr>
                <w:color w:val="000000"/>
                <w:sz w:val="24"/>
              </w:rPr>
              <w:t>香港</w:t>
            </w:r>
          </w:p>
        </w:tc>
        <w:tc>
          <w:tcPr>
            <w:tcW w:w="1175" w:type="dxa"/>
            <w:vAlign w:val="center"/>
          </w:tcPr>
          <w:p w:rsidR="00003E3B" w:rsidRDefault="00150DF0">
            <w:pPr>
              <w:jc w:val="right"/>
            </w:pPr>
            <w:r>
              <w:rPr>
                <w:color w:val="000000"/>
                <w:sz w:val="24"/>
              </w:rPr>
              <w:t>300,000</w:t>
            </w:r>
          </w:p>
        </w:tc>
        <w:tc>
          <w:tcPr>
            <w:tcW w:w="975" w:type="dxa"/>
            <w:vAlign w:val="center"/>
          </w:tcPr>
          <w:p w:rsidR="00003E3B" w:rsidRDefault="00150DF0">
            <w:pPr>
              <w:jc w:val="right"/>
            </w:pPr>
            <w:r>
              <w:rPr>
                <w:color w:val="000000"/>
                <w:sz w:val="24"/>
              </w:rPr>
              <w:t>946,147.77</w:t>
            </w:r>
          </w:p>
        </w:tc>
        <w:tc>
          <w:tcPr>
            <w:tcW w:w="1175" w:type="dxa"/>
            <w:vAlign w:val="center"/>
          </w:tcPr>
          <w:p w:rsidR="00003E3B" w:rsidRDefault="00150DF0">
            <w:pPr>
              <w:jc w:val="right"/>
            </w:pPr>
            <w:r>
              <w:rPr>
                <w:color w:val="000000"/>
                <w:sz w:val="24"/>
              </w:rPr>
              <w:t>3.22</w:t>
            </w:r>
          </w:p>
        </w:tc>
      </w:tr>
      <w:tr w:rsidR="00003E3B">
        <w:trPr>
          <w:jc w:val="center"/>
        </w:trPr>
        <w:tc>
          <w:tcPr>
            <w:tcW w:w="1243" w:type="dxa"/>
            <w:vAlign w:val="center"/>
          </w:tcPr>
          <w:p w:rsidR="00003E3B" w:rsidRDefault="00150DF0">
            <w:pPr>
              <w:jc w:val="center"/>
            </w:pPr>
            <w:r>
              <w:rPr>
                <w:color w:val="000000"/>
                <w:sz w:val="24"/>
              </w:rPr>
              <w:t>5</w:t>
            </w:r>
          </w:p>
        </w:tc>
        <w:tc>
          <w:tcPr>
            <w:tcW w:w="971" w:type="dxa"/>
            <w:vAlign w:val="center"/>
          </w:tcPr>
          <w:p w:rsidR="00003E3B" w:rsidRDefault="00150DF0">
            <w:pPr>
              <w:jc w:val="center"/>
            </w:pPr>
            <w:r>
              <w:rPr>
                <w:color w:val="000000"/>
                <w:sz w:val="24"/>
              </w:rPr>
              <w:t xml:space="preserve">Beijing Urban Construction Design &amp; </w:t>
            </w:r>
            <w:r>
              <w:rPr>
                <w:color w:val="000000"/>
                <w:sz w:val="24"/>
              </w:rPr>
              <w:t>Development Group Co., Limited</w:t>
            </w:r>
          </w:p>
        </w:tc>
        <w:tc>
          <w:tcPr>
            <w:tcW w:w="993" w:type="dxa"/>
            <w:vAlign w:val="center"/>
          </w:tcPr>
          <w:p w:rsidR="00003E3B" w:rsidRDefault="00150DF0">
            <w:pPr>
              <w:jc w:val="center"/>
            </w:pPr>
            <w:r>
              <w:rPr>
                <w:color w:val="000000"/>
                <w:sz w:val="24"/>
              </w:rPr>
              <w:t>北京城建设计发展集团股份有限公司</w:t>
            </w:r>
          </w:p>
        </w:tc>
        <w:tc>
          <w:tcPr>
            <w:tcW w:w="725" w:type="dxa"/>
            <w:vAlign w:val="center"/>
          </w:tcPr>
          <w:p w:rsidR="00003E3B" w:rsidRDefault="00150DF0">
            <w:pPr>
              <w:jc w:val="center"/>
            </w:pPr>
            <w:r>
              <w:rPr>
                <w:color w:val="000000"/>
                <w:sz w:val="24"/>
              </w:rPr>
              <w:t>1599 HK</w:t>
            </w:r>
          </w:p>
        </w:tc>
        <w:tc>
          <w:tcPr>
            <w:tcW w:w="747" w:type="dxa"/>
            <w:vAlign w:val="center"/>
          </w:tcPr>
          <w:p w:rsidR="00003E3B" w:rsidRDefault="00150DF0">
            <w:pPr>
              <w:jc w:val="center"/>
            </w:pPr>
            <w:r>
              <w:rPr>
                <w:color w:val="000000"/>
                <w:sz w:val="24"/>
              </w:rPr>
              <w:t>香港证券交易所</w:t>
            </w:r>
          </w:p>
        </w:tc>
        <w:tc>
          <w:tcPr>
            <w:tcW w:w="975" w:type="dxa"/>
            <w:vAlign w:val="center"/>
          </w:tcPr>
          <w:p w:rsidR="00003E3B" w:rsidRDefault="00150DF0">
            <w:pPr>
              <w:jc w:val="center"/>
            </w:pPr>
            <w:r>
              <w:rPr>
                <w:color w:val="000000"/>
                <w:sz w:val="24"/>
              </w:rPr>
              <w:t>香港</w:t>
            </w:r>
          </w:p>
        </w:tc>
        <w:tc>
          <w:tcPr>
            <w:tcW w:w="1175" w:type="dxa"/>
            <w:vAlign w:val="center"/>
          </w:tcPr>
          <w:p w:rsidR="00003E3B" w:rsidRDefault="00150DF0">
            <w:pPr>
              <w:jc w:val="right"/>
            </w:pPr>
            <w:r>
              <w:rPr>
                <w:color w:val="000000"/>
                <w:sz w:val="24"/>
              </w:rPr>
              <w:t>250,000</w:t>
            </w:r>
          </w:p>
        </w:tc>
        <w:tc>
          <w:tcPr>
            <w:tcW w:w="975" w:type="dxa"/>
            <w:vAlign w:val="center"/>
          </w:tcPr>
          <w:p w:rsidR="00003E3B" w:rsidRDefault="00150DF0">
            <w:pPr>
              <w:jc w:val="right"/>
            </w:pPr>
            <w:r>
              <w:rPr>
                <w:color w:val="000000"/>
                <w:sz w:val="24"/>
              </w:rPr>
              <w:t>897,430.14</w:t>
            </w:r>
          </w:p>
        </w:tc>
        <w:tc>
          <w:tcPr>
            <w:tcW w:w="1175" w:type="dxa"/>
            <w:vAlign w:val="center"/>
          </w:tcPr>
          <w:p w:rsidR="00003E3B" w:rsidRDefault="00150DF0">
            <w:pPr>
              <w:jc w:val="right"/>
            </w:pPr>
            <w:r>
              <w:rPr>
                <w:color w:val="000000"/>
                <w:sz w:val="24"/>
              </w:rPr>
              <w:t>3.05</w:t>
            </w:r>
          </w:p>
        </w:tc>
      </w:tr>
      <w:tr w:rsidR="00003E3B">
        <w:trPr>
          <w:jc w:val="center"/>
        </w:trPr>
        <w:tc>
          <w:tcPr>
            <w:tcW w:w="1243" w:type="dxa"/>
            <w:vAlign w:val="center"/>
          </w:tcPr>
          <w:p w:rsidR="00003E3B" w:rsidRDefault="00150DF0">
            <w:pPr>
              <w:jc w:val="center"/>
            </w:pPr>
            <w:r>
              <w:rPr>
                <w:color w:val="000000"/>
                <w:sz w:val="24"/>
              </w:rPr>
              <w:t>6</w:t>
            </w:r>
          </w:p>
        </w:tc>
        <w:tc>
          <w:tcPr>
            <w:tcW w:w="971" w:type="dxa"/>
            <w:vAlign w:val="center"/>
          </w:tcPr>
          <w:p w:rsidR="00003E3B" w:rsidRDefault="00150DF0">
            <w:pPr>
              <w:jc w:val="center"/>
            </w:pPr>
            <w:r>
              <w:rPr>
                <w:color w:val="000000"/>
                <w:sz w:val="24"/>
              </w:rPr>
              <w:t xml:space="preserve">Ping An Insurance (Group) Company Of </w:t>
            </w:r>
            <w:proofErr w:type="spellStart"/>
            <w:r>
              <w:rPr>
                <w:color w:val="000000"/>
                <w:sz w:val="24"/>
              </w:rPr>
              <w:t>China,Ltd</w:t>
            </w:r>
            <w:proofErr w:type="spellEnd"/>
            <w:r>
              <w:rPr>
                <w:color w:val="000000"/>
                <w:sz w:val="24"/>
              </w:rPr>
              <w:t>.</w:t>
            </w:r>
          </w:p>
        </w:tc>
        <w:tc>
          <w:tcPr>
            <w:tcW w:w="993" w:type="dxa"/>
            <w:vAlign w:val="center"/>
          </w:tcPr>
          <w:p w:rsidR="00003E3B" w:rsidRDefault="00150DF0">
            <w:pPr>
              <w:jc w:val="center"/>
            </w:pPr>
            <w:r>
              <w:rPr>
                <w:color w:val="000000"/>
                <w:sz w:val="24"/>
              </w:rPr>
              <w:t>中国平安保险</w:t>
            </w:r>
            <w:r>
              <w:rPr>
                <w:color w:val="000000"/>
                <w:sz w:val="24"/>
              </w:rPr>
              <w:t>(</w:t>
            </w:r>
            <w:r>
              <w:rPr>
                <w:color w:val="000000"/>
                <w:sz w:val="24"/>
              </w:rPr>
              <w:t>集团</w:t>
            </w:r>
            <w:r>
              <w:rPr>
                <w:color w:val="000000"/>
                <w:sz w:val="24"/>
              </w:rPr>
              <w:t>)</w:t>
            </w:r>
            <w:r>
              <w:rPr>
                <w:color w:val="000000"/>
                <w:sz w:val="24"/>
              </w:rPr>
              <w:t>股份有限公司</w:t>
            </w:r>
          </w:p>
        </w:tc>
        <w:tc>
          <w:tcPr>
            <w:tcW w:w="725" w:type="dxa"/>
            <w:vAlign w:val="center"/>
          </w:tcPr>
          <w:p w:rsidR="00003E3B" w:rsidRDefault="00150DF0">
            <w:pPr>
              <w:jc w:val="center"/>
            </w:pPr>
            <w:r>
              <w:rPr>
                <w:color w:val="000000"/>
                <w:sz w:val="24"/>
              </w:rPr>
              <w:t>2318 HK</w:t>
            </w:r>
          </w:p>
        </w:tc>
        <w:tc>
          <w:tcPr>
            <w:tcW w:w="747" w:type="dxa"/>
            <w:vAlign w:val="center"/>
          </w:tcPr>
          <w:p w:rsidR="00003E3B" w:rsidRDefault="00150DF0">
            <w:pPr>
              <w:jc w:val="center"/>
            </w:pPr>
            <w:r>
              <w:rPr>
                <w:color w:val="000000"/>
                <w:sz w:val="24"/>
              </w:rPr>
              <w:t>香港证券交易所</w:t>
            </w:r>
          </w:p>
        </w:tc>
        <w:tc>
          <w:tcPr>
            <w:tcW w:w="975" w:type="dxa"/>
            <w:vAlign w:val="center"/>
          </w:tcPr>
          <w:p w:rsidR="00003E3B" w:rsidRDefault="00150DF0">
            <w:pPr>
              <w:jc w:val="center"/>
            </w:pPr>
            <w:r>
              <w:rPr>
                <w:color w:val="000000"/>
                <w:sz w:val="24"/>
              </w:rPr>
              <w:t>香港</w:t>
            </w:r>
          </w:p>
        </w:tc>
        <w:tc>
          <w:tcPr>
            <w:tcW w:w="1175" w:type="dxa"/>
            <w:vAlign w:val="center"/>
          </w:tcPr>
          <w:p w:rsidR="00003E3B" w:rsidRDefault="00150DF0">
            <w:pPr>
              <w:jc w:val="right"/>
            </w:pPr>
            <w:r>
              <w:rPr>
                <w:color w:val="000000"/>
                <w:sz w:val="24"/>
              </w:rPr>
              <w:t>30,000</w:t>
            </w:r>
          </w:p>
        </w:tc>
        <w:tc>
          <w:tcPr>
            <w:tcW w:w="975" w:type="dxa"/>
            <w:vAlign w:val="center"/>
          </w:tcPr>
          <w:p w:rsidR="00003E3B" w:rsidRDefault="00150DF0">
            <w:pPr>
              <w:jc w:val="right"/>
            </w:pPr>
            <w:r>
              <w:rPr>
                <w:color w:val="000000"/>
                <w:sz w:val="24"/>
              </w:rPr>
              <w:t>875,635.40</w:t>
            </w:r>
          </w:p>
        </w:tc>
        <w:tc>
          <w:tcPr>
            <w:tcW w:w="1175" w:type="dxa"/>
            <w:vAlign w:val="center"/>
          </w:tcPr>
          <w:p w:rsidR="00003E3B" w:rsidRDefault="00150DF0">
            <w:pPr>
              <w:jc w:val="right"/>
            </w:pPr>
            <w:r>
              <w:rPr>
                <w:color w:val="000000"/>
                <w:sz w:val="24"/>
              </w:rPr>
              <w:t>2.98</w:t>
            </w:r>
          </w:p>
        </w:tc>
      </w:tr>
      <w:tr w:rsidR="00003E3B">
        <w:trPr>
          <w:jc w:val="center"/>
        </w:trPr>
        <w:tc>
          <w:tcPr>
            <w:tcW w:w="1243" w:type="dxa"/>
            <w:vAlign w:val="center"/>
          </w:tcPr>
          <w:p w:rsidR="00003E3B" w:rsidRDefault="00150DF0">
            <w:pPr>
              <w:jc w:val="center"/>
            </w:pPr>
            <w:r>
              <w:rPr>
                <w:color w:val="000000"/>
                <w:sz w:val="24"/>
              </w:rPr>
              <w:t>7</w:t>
            </w:r>
          </w:p>
        </w:tc>
        <w:tc>
          <w:tcPr>
            <w:tcW w:w="971" w:type="dxa"/>
            <w:vAlign w:val="center"/>
          </w:tcPr>
          <w:p w:rsidR="00003E3B" w:rsidRDefault="00150DF0">
            <w:pPr>
              <w:jc w:val="center"/>
            </w:pPr>
            <w:r>
              <w:rPr>
                <w:color w:val="000000"/>
                <w:sz w:val="24"/>
              </w:rPr>
              <w:t xml:space="preserve">Yunnan Water Investment </w:t>
            </w:r>
            <w:proofErr w:type="spellStart"/>
            <w:r>
              <w:rPr>
                <w:color w:val="000000"/>
                <w:sz w:val="24"/>
              </w:rPr>
              <w:t>Co.,Ltd</w:t>
            </w:r>
            <w:proofErr w:type="spellEnd"/>
            <w:r>
              <w:rPr>
                <w:color w:val="000000"/>
                <w:sz w:val="24"/>
              </w:rPr>
              <w:t>.</w:t>
            </w:r>
          </w:p>
        </w:tc>
        <w:tc>
          <w:tcPr>
            <w:tcW w:w="993" w:type="dxa"/>
            <w:vAlign w:val="center"/>
          </w:tcPr>
          <w:p w:rsidR="00003E3B" w:rsidRDefault="00150DF0">
            <w:pPr>
              <w:jc w:val="center"/>
            </w:pPr>
            <w:r>
              <w:rPr>
                <w:color w:val="000000"/>
                <w:sz w:val="24"/>
              </w:rPr>
              <w:t>云南水务投资股份有限公司</w:t>
            </w:r>
          </w:p>
        </w:tc>
        <w:tc>
          <w:tcPr>
            <w:tcW w:w="725" w:type="dxa"/>
            <w:vAlign w:val="center"/>
          </w:tcPr>
          <w:p w:rsidR="00003E3B" w:rsidRDefault="00150DF0">
            <w:pPr>
              <w:jc w:val="center"/>
            </w:pPr>
            <w:r>
              <w:rPr>
                <w:color w:val="000000"/>
                <w:sz w:val="24"/>
              </w:rPr>
              <w:t xml:space="preserve">6839 </w:t>
            </w:r>
            <w:r>
              <w:rPr>
                <w:color w:val="000000"/>
                <w:sz w:val="24"/>
              </w:rPr>
              <w:t>HK</w:t>
            </w:r>
          </w:p>
        </w:tc>
        <w:tc>
          <w:tcPr>
            <w:tcW w:w="747" w:type="dxa"/>
            <w:vAlign w:val="center"/>
          </w:tcPr>
          <w:p w:rsidR="00003E3B" w:rsidRDefault="00150DF0">
            <w:pPr>
              <w:jc w:val="center"/>
            </w:pPr>
            <w:r>
              <w:rPr>
                <w:color w:val="000000"/>
                <w:sz w:val="24"/>
              </w:rPr>
              <w:t>香港证券交易所</w:t>
            </w:r>
          </w:p>
        </w:tc>
        <w:tc>
          <w:tcPr>
            <w:tcW w:w="975" w:type="dxa"/>
            <w:vAlign w:val="center"/>
          </w:tcPr>
          <w:p w:rsidR="00003E3B" w:rsidRDefault="00150DF0">
            <w:pPr>
              <w:jc w:val="center"/>
            </w:pPr>
            <w:r>
              <w:rPr>
                <w:color w:val="000000"/>
                <w:sz w:val="24"/>
              </w:rPr>
              <w:t>香港</w:t>
            </w:r>
          </w:p>
        </w:tc>
        <w:tc>
          <w:tcPr>
            <w:tcW w:w="1175" w:type="dxa"/>
            <w:vAlign w:val="center"/>
          </w:tcPr>
          <w:p w:rsidR="00003E3B" w:rsidRDefault="00150DF0">
            <w:pPr>
              <w:jc w:val="right"/>
            </w:pPr>
            <w:r>
              <w:rPr>
                <w:color w:val="000000"/>
                <w:sz w:val="24"/>
              </w:rPr>
              <w:t>250,000</w:t>
            </w:r>
          </w:p>
        </w:tc>
        <w:tc>
          <w:tcPr>
            <w:tcW w:w="975" w:type="dxa"/>
            <w:vAlign w:val="center"/>
          </w:tcPr>
          <w:p w:rsidR="00003E3B" w:rsidRDefault="00150DF0">
            <w:pPr>
              <w:jc w:val="right"/>
            </w:pPr>
            <w:r>
              <w:rPr>
                <w:color w:val="000000"/>
                <w:sz w:val="24"/>
              </w:rPr>
              <w:t>865,379.06</w:t>
            </w:r>
          </w:p>
        </w:tc>
        <w:tc>
          <w:tcPr>
            <w:tcW w:w="1175" w:type="dxa"/>
            <w:vAlign w:val="center"/>
          </w:tcPr>
          <w:p w:rsidR="00003E3B" w:rsidRDefault="00150DF0">
            <w:pPr>
              <w:jc w:val="right"/>
            </w:pPr>
            <w:r>
              <w:rPr>
                <w:color w:val="000000"/>
                <w:sz w:val="24"/>
              </w:rPr>
              <w:t>2.94</w:t>
            </w:r>
          </w:p>
        </w:tc>
      </w:tr>
      <w:tr w:rsidR="00003E3B">
        <w:trPr>
          <w:jc w:val="center"/>
        </w:trPr>
        <w:tc>
          <w:tcPr>
            <w:tcW w:w="1243" w:type="dxa"/>
            <w:vAlign w:val="center"/>
          </w:tcPr>
          <w:p w:rsidR="00003E3B" w:rsidRDefault="00150DF0">
            <w:pPr>
              <w:jc w:val="center"/>
            </w:pPr>
            <w:r>
              <w:rPr>
                <w:color w:val="000000"/>
                <w:sz w:val="24"/>
              </w:rPr>
              <w:t>8</w:t>
            </w:r>
          </w:p>
        </w:tc>
        <w:tc>
          <w:tcPr>
            <w:tcW w:w="971" w:type="dxa"/>
            <w:vAlign w:val="center"/>
          </w:tcPr>
          <w:p w:rsidR="00003E3B" w:rsidRDefault="00150DF0">
            <w:pPr>
              <w:jc w:val="center"/>
            </w:pPr>
            <w:r>
              <w:rPr>
                <w:color w:val="000000"/>
                <w:sz w:val="24"/>
              </w:rPr>
              <w:t xml:space="preserve">China </w:t>
            </w:r>
            <w:proofErr w:type="spellStart"/>
            <w:r>
              <w:rPr>
                <w:color w:val="000000"/>
                <w:sz w:val="24"/>
              </w:rPr>
              <w:t>Hongqiao</w:t>
            </w:r>
            <w:proofErr w:type="spellEnd"/>
            <w:r>
              <w:rPr>
                <w:color w:val="000000"/>
                <w:sz w:val="24"/>
              </w:rPr>
              <w:t xml:space="preserve"> Group Limited</w:t>
            </w:r>
          </w:p>
        </w:tc>
        <w:tc>
          <w:tcPr>
            <w:tcW w:w="993" w:type="dxa"/>
            <w:vAlign w:val="center"/>
          </w:tcPr>
          <w:p w:rsidR="00003E3B" w:rsidRDefault="00150DF0">
            <w:pPr>
              <w:jc w:val="center"/>
            </w:pPr>
            <w:r>
              <w:rPr>
                <w:color w:val="000000"/>
                <w:sz w:val="24"/>
              </w:rPr>
              <w:t>中国宏桥集团有限公司</w:t>
            </w:r>
          </w:p>
        </w:tc>
        <w:tc>
          <w:tcPr>
            <w:tcW w:w="725" w:type="dxa"/>
            <w:vAlign w:val="center"/>
          </w:tcPr>
          <w:p w:rsidR="00003E3B" w:rsidRDefault="00150DF0">
            <w:pPr>
              <w:jc w:val="center"/>
            </w:pPr>
            <w:r>
              <w:rPr>
                <w:color w:val="000000"/>
                <w:sz w:val="24"/>
              </w:rPr>
              <w:t>1378 HK</w:t>
            </w:r>
          </w:p>
        </w:tc>
        <w:tc>
          <w:tcPr>
            <w:tcW w:w="747" w:type="dxa"/>
            <w:vAlign w:val="center"/>
          </w:tcPr>
          <w:p w:rsidR="00003E3B" w:rsidRDefault="00150DF0">
            <w:pPr>
              <w:jc w:val="center"/>
            </w:pPr>
            <w:r>
              <w:rPr>
                <w:color w:val="000000"/>
                <w:sz w:val="24"/>
              </w:rPr>
              <w:t>香港证券交易所</w:t>
            </w:r>
          </w:p>
        </w:tc>
        <w:tc>
          <w:tcPr>
            <w:tcW w:w="975" w:type="dxa"/>
            <w:vAlign w:val="center"/>
          </w:tcPr>
          <w:p w:rsidR="00003E3B" w:rsidRDefault="00150DF0">
            <w:pPr>
              <w:jc w:val="center"/>
            </w:pPr>
            <w:r>
              <w:rPr>
                <w:color w:val="000000"/>
                <w:sz w:val="24"/>
              </w:rPr>
              <w:t>香港</w:t>
            </w:r>
          </w:p>
        </w:tc>
        <w:tc>
          <w:tcPr>
            <w:tcW w:w="1175" w:type="dxa"/>
            <w:vAlign w:val="center"/>
          </w:tcPr>
          <w:p w:rsidR="00003E3B" w:rsidRDefault="00150DF0">
            <w:pPr>
              <w:jc w:val="right"/>
            </w:pPr>
            <w:r>
              <w:rPr>
                <w:color w:val="000000"/>
                <w:sz w:val="24"/>
              </w:rPr>
              <w:t>193,500</w:t>
            </w:r>
          </w:p>
        </w:tc>
        <w:tc>
          <w:tcPr>
            <w:tcW w:w="975" w:type="dxa"/>
            <w:vAlign w:val="center"/>
          </w:tcPr>
          <w:p w:rsidR="00003E3B" w:rsidRDefault="00150DF0">
            <w:pPr>
              <w:jc w:val="right"/>
            </w:pPr>
            <w:r>
              <w:rPr>
                <w:color w:val="000000"/>
                <w:sz w:val="24"/>
              </w:rPr>
              <w:t>859,994.48</w:t>
            </w:r>
          </w:p>
        </w:tc>
        <w:tc>
          <w:tcPr>
            <w:tcW w:w="1175" w:type="dxa"/>
            <w:vAlign w:val="center"/>
          </w:tcPr>
          <w:p w:rsidR="00003E3B" w:rsidRDefault="00150DF0">
            <w:pPr>
              <w:jc w:val="right"/>
            </w:pPr>
            <w:r>
              <w:rPr>
                <w:color w:val="000000"/>
                <w:sz w:val="24"/>
              </w:rPr>
              <w:t>2.92</w:t>
            </w:r>
          </w:p>
        </w:tc>
      </w:tr>
      <w:tr w:rsidR="00003E3B">
        <w:trPr>
          <w:jc w:val="center"/>
        </w:trPr>
        <w:tc>
          <w:tcPr>
            <w:tcW w:w="1243" w:type="dxa"/>
            <w:vAlign w:val="center"/>
          </w:tcPr>
          <w:p w:rsidR="00003E3B" w:rsidRDefault="00150DF0">
            <w:pPr>
              <w:jc w:val="center"/>
            </w:pPr>
            <w:r>
              <w:rPr>
                <w:color w:val="000000"/>
                <w:sz w:val="24"/>
              </w:rPr>
              <w:t>9</w:t>
            </w:r>
          </w:p>
        </w:tc>
        <w:tc>
          <w:tcPr>
            <w:tcW w:w="971" w:type="dxa"/>
            <w:vAlign w:val="center"/>
          </w:tcPr>
          <w:p w:rsidR="00003E3B" w:rsidRDefault="00150DF0">
            <w:pPr>
              <w:jc w:val="center"/>
            </w:pPr>
            <w:proofErr w:type="spellStart"/>
            <w:r>
              <w:rPr>
                <w:color w:val="000000"/>
                <w:sz w:val="24"/>
              </w:rPr>
              <w:t>Yanzhou</w:t>
            </w:r>
            <w:proofErr w:type="spellEnd"/>
            <w:r>
              <w:rPr>
                <w:color w:val="000000"/>
                <w:sz w:val="24"/>
              </w:rPr>
              <w:t xml:space="preserve"> Coal Mining Company Limited</w:t>
            </w:r>
          </w:p>
        </w:tc>
        <w:tc>
          <w:tcPr>
            <w:tcW w:w="993" w:type="dxa"/>
            <w:vAlign w:val="center"/>
          </w:tcPr>
          <w:p w:rsidR="00003E3B" w:rsidRDefault="00150DF0">
            <w:pPr>
              <w:jc w:val="center"/>
            </w:pPr>
            <w:r>
              <w:rPr>
                <w:color w:val="000000"/>
                <w:sz w:val="24"/>
              </w:rPr>
              <w:t>兖州煤业股份有限公司</w:t>
            </w:r>
          </w:p>
        </w:tc>
        <w:tc>
          <w:tcPr>
            <w:tcW w:w="725" w:type="dxa"/>
            <w:vAlign w:val="center"/>
          </w:tcPr>
          <w:p w:rsidR="00003E3B" w:rsidRDefault="00150DF0">
            <w:pPr>
              <w:jc w:val="center"/>
            </w:pPr>
            <w:r>
              <w:rPr>
                <w:color w:val="000000"/>
                <w:sz w:val="24"/>
              </w:rPr>
              <w:t>1171 HK</w:t>
            </w:r>
          </w:p>
        </w:tc>
        <w:tc>
          <w:tcPr>
            <w:tcW w:w="747" w:type="dxa"/>
            <w:vAlign w:val="center"/>
          </w:tcPr>
          <w:p w:rsidR="00003E3B" w:rsidRDefault="00150DF0">
            <w:pPr>
              <w:jc w:val="center"/>
            </w:pPr>
            <w:r>
              <w:rPr>
                <w:color w:val="000000"/>
                <w:sz w:val="24"/>
              </w:rPr>
              <w:t>香港证券交易所</w:t>
            </w:r>
          </w:p>
        </w:tc>
        <w:tc>
          <w:tcPr>
            <w:tcW w:w="975" w:type="dxa"/>
            <w:vAlign w:val="center"/>
          </w:tcPr>
          <w:p w:rsidR="00003E3B" w:rsidRDefault="00150DF0">
            <w:pPr>
              <w:jc w:val="center"/>
            </w:pPr>
            <w:r>
              <w:rPr>
                <w:color w:val="000000"/>
                <w:sz w:val="24"/>
              </w:rPr>
              <w:t>香港</w:t>
            </w:r>
          </w:p>
        </w:tc>
        <w:tc>
          <w:tcPr>
            <w:tcW w:w="1175" w:type="dxa"/>
            <w:vAlign w:val="center"/>
          </w:tcPr>
          <w:p w:rsidR="00003E3B" w:rsidRDefault="00150DF0">
            <w:pPr>
              <w:jc w:val="right"/>
            </w:pPr>
            <w:r>
              <w:rPr>
                <w:color w:val="000000"/>
                <w:sz w:val="24"/>
              </w:rPr>
              <w:t>200,000</w:t>
            </w:r>
          </w:p>
        </w:tc>
        <w:tc>
          <w:tcPr>
            <w:tcW w:w="975" w:type="dxa"/>
            <w:vAlign w:val="center"/>
          </w:tcPr>
          <w:p w:rsidR="00003E3B" w:rsidRDefault="00150DF0">
            <w:pPr>
              <w:jc w:val="right"/>
            </w:pPr>
            <w:r>
              <w:rPr>
                <w:color w:val="000000"/>
                <w:sz w:val="24"/>
              </w:rPr>
              <w:t>856,404.76</w:t>
            </w:r>
          </w:p>
        </w:tc>
        <w:tc>
          <w:tcPr>
            <w:tcW w:w="1175" w:type="dxa"/>
            <w:vAlign w:val="center"/>
          </w:tcPr>
          <w:p w:rsidR="00003E3B" w:rsidRDefault="00150DF0">
            <w:pPr>
              <w:jc w:val="right"/>
            </w:pPr>
            <w:r>
              <w:rPr>
                <w:color w:val="000000"/>
                <w:sz w:val="24"/>
              </w:rPr>
              <w:t>2.91</w:t>
            </w:r>
          </w:p>
        </w:tc>
      </w:tr>
      <w:tr w:rsidR="00003E3B">
        <w:trPr>
          <w:jc w:val="center"/>
        </w:trPr>
        <w:tc>
          <w:tcPr>
            <w:tcW w:w="1243" w:type="dxa"/>
            <w:vAlign w:val="center"/>
          </w:tcPr>
          <w:p w:rsidR="00003E3B" w:rsidRDefault="00150DF0">
            <w:pPr>
              <w:jc w:val="center"/>
            </w:pPr>
            <w:r>
              <w:rPr>
                <w:color w:val="000000"/>
                <w:sz w:val="24"/>
              </w:rPr>
              <w:t>10</w:t>
            </w:r>
          </w:p>
        </w:tc>
        <w:tc>
          <w:tcPr>
            <w:tcW w:w="971" w:type="dxa"/>
            <w:vAlign w:val="center"/>
          </w:tcPr>
          <w:p w:rsidR="00003E3B" w:rsidRDefault="00150DF0">
            <w:pPr>
              <w:jc w:val="center"/>
            </w:pPr>
            <w:r>
              <w:rPr>
                <w:color w:val="000000"/>
                <w:sz w:val="24"/>
              </w:rPr>
              <w:t xml:space="preserve">China Molybdenum </w:t>
            </w:r>
            <w:proofErr w:type="spellStart"/>
            <w:r>
              <w:rPr>
                <w:color w:val="000000"/>
                <w:sz w:val="24"/>
              </w:rPr>
              <w:t>Co.,Ltd</w:t>
            </w:r>
            <w:proofErr w:type="spellEnd"/>
            <w:r>
              <w:rPr>
                <w:color w:val="000000"/>
                <w:sz w:val="24"/>
              </w:rPr>
              <w:t>.</w:t>
            </w:r>
          </w:p>
        </w:tc>
        <w:tc>
          <w:tcPr>
            <w:tcW w:w="993" w:type="dxa"/>
            <w:vAlign w:val="center"/>
          </w:tcPr>
          <w:p w:rsidR="00003E3B" w:rsidRDefault="00150DF0">
            <w:pPr>
              <w:jc w:val="center"/>
            </w:pPr>
            <w:r>
              <w:rPr>
                <w:color w:val="000000"/>
                <w:sz w:val="24"/>
              </w:rPr>
              <w:t>洛阳栾川钼业集团股份有限公司</w:t>
            </w:r>
          </w:p>
        </w:tc>
        <w:tc>
          <w:tcPr>
            <w:tcW w:w="725" w:type="dxa"/>
            <w:vAlign w:val="center"/>
          </w:tcPr>
          <w:p w:rsidR="00003E3B" w:rsidRDefault="00150DF0">
            <w:pPr>
              <w:jc w:val="center"/>
            </w:pPr>
            <w:r>
              <w:rPr>
                <w:color w:val="000000"/>
                <w:sz w:val="24"/>
              </w:rPr>
              <w:t>3993 HK</w:t>
            </w:r>
          </w:p>
        </w:tc>
        <w:tc>
          <w:tcPr>
            <w:tcW w:w="747" w:type="dxa"/>
            <w:vAlign w:val="center"/>
          </w:tcPr>
          <w:p w:rsidR="00003E3B" w:rsidRDefault="00150DF0">
            <w:pPr>
              <w:jc w:val="center"/>
            </w:pPr>
            <w:r>
              <w:rPr>
                <w:color w:val="000000"/>
                <w:sz w:val="24"/>
              </w:rPr>
              <w:t>香港证券交易所</w:t>
            </w:r>
          </w:p>
        </w:tc>
        <w:tc>
          <w:tcPr>
            <w:tcW w:w="975" w:type="dxa"/>
            <w:vAlign w:val="center"/>
          </w:tcPr>
          <w:p w:rsidR="00003E3B" w:rsidRDefault="00150DF0">
            <w:pPr>
              <w:jc w:val="center"/>
            </w:pPr>
            <w:r>
              <w:rPr>
                <w:color w:val="000000"/>
                <w:sz w:val="24"/>
              </w:rPr>
              <w:t>香港</w:t>
            </w:r>
          </w:p>
        </w:tc>
        <w:tc>
          <w:tcPr>
            <w:tcW w:w="1175" w:type="dxa"/>
            <w:vAlign w:val="center"/>
          </w:tcPr>
          <w:p w:rsidR="00003E3B" w:rsidRDefault="00150DF0">
            <w:pPr>
              <w:jc w:val="right"/>
            </w:pPr>
            <w:r>
              <w:rPr>
                <w:color w:val="000000"/>
                <w:sz w:val="24"/>
              </w:rPr>
              <w:t>549,000</w:t>
            </w:r>
          </w:p>
        </w:tc>
        <w:tc>
          <w:tcPr>
            <w:tcW w:w="975" w:type="dxa"/>
            <w:vAlign w:val="center"/>
          </w:tcPr>
          <w:p w:rsidR="00003E3B" w:rsidRDefault="00150DF0">
            <w:pPr>
              <w:jc w:val="right"/>
            </w:pPr>
            <w:r>
              <w:rPr>
                <w:color w:val="000000"/>
                <w:sz w:val="24"/>
              </w:rPr>
              <w:t>811,764.02</w:t>
            </w:r>
          </w:p>
        </w:tc>
        <w:tc>
          <w:tcPr>
            <w:tcW w:w="1175" w:type="dxa"/>
            <w:vAlign w:val="center"/>
          </w:tcPr>
          <w:p w:rsidR="00003E3B" w:rsidRDefault="00150DF0">
            <w:pPr>
              <w:jc w:val="right"/>
            </w:pPr>
            <w:r>
              <w:rPr>
                <w:color w:val="000000"/>
                <w:sz w:val="24"/>
              </w:rPr>
              <w:t>2.76</w:t>
            </w:r>
          </w:p>
        </w:tc>
      </w:tr>
    </w:tbl>
    <w:p w:rsidR="00B62914" w:rsidRPr="008640AE" w:rsidRDefault="00E73C41" w:rsidP="005546C0">
      <w:pPr>
        <w:autoSpaceDE w:val="0"/>
        <w:autoSpaceDN w:val="0"/>
        <w:adjustRightInd w:val="0"/>
        <w:spacing w:before="29" w:line="288" w:lineRule="auto"/>
        <w:jc w:val="left"/>
        <w:rPr>
          <w:color w:val="000000"/>
          <w:sz w:val="24"/>
        </w:rPr>
      </w:pPr>
      <w:r w:rsidRPr="008640AE">
        <w:rPr>
          <w:color w:val="000000"/>
          <w:sz w:val="24"/>
        </w:rPr>
        <w:t>注：前十名股票及存托凭证的排名是按照上市公司不同的上市交易所合并计算排列所得。</w:t>
      </w:r>
    </w:p>
    <w:p w:rsidR="00521EDE" w:rsidRPr="008640AE" w:rsidRDefault="00521EDE"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0D4219" w:rsidRPr="008640AE">
        <w:rPr>
          <w:b/>
          <w:color w:val="000000"/>
          <w:kern w:val="0"/>
          <w:sz w:val="24"/>
        </w:rPr>
        <w:t xml:space="preserve"> </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000D4219" w:rsidRPr="008640AE">
        <w:rPr>
          <w:b/>
          <w:color w:val="000000"/>
          <w:kern w:val="0"/>
          <w:sz w:val="24"/>
        </w:rPr>
        <w:t xml:space="preserve">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0D4219" w:rsidRPr="008640AE">
        <w:rPr>
          <w:b/>
          <w:color w:val="000000"/>
          <w:kern w:val="0"/>
          <w:sz w:val="24"/>
        </w:rPr>
        <w:t xml:space="preserve"> </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Pr>
          <w:rFonts w:hint="eastAsia"/>
          <w:b/>
          <w:color w:val="000000"/>
          <w:kern w:val="0"/>
          <w:sz w:val="24"/>
        </w:rPr>
        <w:t xml:space="preserve"> </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5.10.3</w:t>
        </w:r>
      </w:smartTag>
      <w:r w:rsidR="000D4219" w:rsidRPr="008640AE">
        <w:rPr>
          <w:color w:val="000000"/>
          <w:kern w:val="0"/>
          <w:sz w:val="24"/>
        </w:rPr>
        <w:t xml:space="preserve"> </w:t>
      </w:r>
      <w:r w:rsidRPr="008640AE">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398,036.87</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333.68</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42,420.83</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440,791.38</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000D4219" w:rsidRPr="008640AE">
        <w:rPr>
          <w:color w:val="000000"/>
          <w:kern w:val="0"/>
          <w:sz w:val="24"/>
        </w:rPr>
        <w:t xml:space="preserve"> </w:t>
      </w:r>
      <w:r w:rsidRPr="008640AE">
        <w:rPr>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5.10.5</w:t>
        </w:r>
      </w:smartTag>
      <w:r w:rsidR="000D4219" w:rsidRPr="008640AE">
        <w:rPr>
          <w:color w:val="000000"/>
          <w:kern w:val="0"/>
          <w:sz w:val="24"/>
        </w:rPr>
        <w:t xml:space="preserve"> </w:t>
      </w:r>
      <w:r w:rsidRPr="008640AE">
        <w:rPr>
          <w:color w:val="000000"/>
          <w:kern w:val="0"/>
          <w:sz w:val="24"/>
        </w:rPr>
        <w:t>报告期末前十名股票中存在流通受限情况的说明</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R="000E3B88" w:rsidRPr="008640AE" w:rsidRDefault="000E3B88"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0D4219" w:rsidRPr="008640AE">
        <w:rPr>
          <w:color w:val="000000"/>
          <w:kern w:val="0"/>
          <w:sz w:val="24"/>
        </w:rPr>
        <w:t xml:space="preserve"> </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26,153,706.14</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1,338,327.77</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1,231,961.85</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26,260,072.06</w:t>
            </w:r>
          </w:p>
        </w:tc>
      </w:tr>
    </w:tbl>
    <w:p w:rsidR="00003E3B" w:rsidRDefault="00150DF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 xml:space="preserve">    </w:t>
      </w:r>
      <w:r w:rsidRPr="008640AE">
        <w:rPr>
          <w:color w:val="000000"/>
          <w:sz w:val="24"/>
        </w:rPr>
        <w:t>本基金管理人本报告期内未进行本基金的申购、赎回、红利再投等；本基金管理人本报告期末持有本基金份额</w:t>
      </w:r>
      <w:r w:rsidRPr="008640AE">
        <w:rPr>
          <w:color w:val="000000"/>
          <w:sz w:val="24"/>
        </w:rPr>
        <w:t>0.00</w:t>
      </w:r>
      <w:r w:rsidRPr="008640AE">
        <w:rPr>
          <w:color w:val="000000"/>
          <w:sz w:val="24"/>
        </w:rPr>
        <w:t>份，占本基金期末总份额的</w:t>
      </w:r>
      <w:r w:rsidRPr="008640AE">
        <w:rPr>
          <w:color w:val="000000"/>
          <w:sz w:val="24"/>
        </w:rPr>
        <w:t>0.00%</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8</w:t>
      </w:r>
      <w:r w:rsidR="00B11BC8" w:rsidRPr="008640AE">
        <w:rPr>
          <w:color w:val="000000"/>
          <w:kern w:val="0"/>
          <w:sz w:val="24"/>
          <w:szCs w:val="24"/>
        </w:rPr>
        <w:t xml:space="preserve"> </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1</w:t>
      </w:r>
      <w:r w:rsidR="00B11BC8" w:rsidRPr="008640AE">
        <w:rPr>
          <w:b/>
          <w:bCs/>
          <w:color w:val="000000"/>
          <w:kern w:val="0"/>
          <w:sz w:val="24"/>
        </w:rPr>
        <w:t xml:space="preserve"> </w:t>
      </w:r>
      <w:r w:rsidR="008975BC" w:rsidRPr="008640AE">
        <w:rPr>
          <w:b/>
          <w:bCs/>
          <w:color w:val="000000"/>
          <w:kern w:val="0"/>
          <w:sz w:val="24"/>
        </w:rPr>
        <w:t>备查文件目录</w:t>
      </w:r>
    </w:p>
    <w:p w:rsidR="00003E3B" w:rsidRDefault="00150DF0">
      <w:pPr>
        <w:spacing w:before="29" w:line="288" w:lineRule="auto"/>
        <w:ind w:firstLineChars="200" w:firstLine="480"/>
        <w:rPr>
          <w:color w:val="000000"/>
          <w:sz w:val="24"/>
        </w:rPr>
      </w:pPr>
      <w:r>
        <w:rPr>
          <w:color w:val="000000"/>
          <w:sz w:val="24"/>
        </w:rPr>
        <w:t>1</w:t>
      </w:r>
      <w:r>
        <w:rPr>
          <w:color w:val="000000"/>
          <w:sz w:val="24"/>
        </w:rPr>
        <w:t>、中国证监会批准交银施罗德全球自然资源证券投资基金募集的文件；</w:t>
      </w:r>
      <w:r>
        <w:rPr>
          <w:color w:val="000000"/>
          <w:sz w:val="24"/>
        </w:rPr>
        <w:t xml:space="preserve"> </w:t>
      </w:r>
    </w:p>
    <w:p w:rsidR="00003E3B" w:rsidRDefault="00150DF0">
      <w:pPr>
        <w:spacing w:before="29" w:line="288" w:lineRule="auto"/>
        <w:ind w:firstLineChars="200" w:firstLine="480"/>
        <w:rPr>
          <w:color w:val="000000"/>
          <w:sz w:val="24"/>
        </w:rPr>
      </w:pPr>
      <w:r>
        <w:rPr>
          <w:color w:val="000000"/>
          <w:sz w:val="24"/>
        </w:rPr>
        <w:t>2</w:t>
      </w:r>
      <w:r>
        <w:rPr>
          <w:color w:val="000000"/>
          <w:sz w:val="24"/>
        </w:rPr>
        <w:t>、《交银施罗德全球自然资源证券投资基金基金合同》；</w:t>
      </w:r>
      <w:r>
        <w:rPr>
          <w:color w:val="000000"/>
          <w:sz w:val="24"/>
        </w:rPr>
        <w:t xml:space="preserve"> </w:t>
      </w:r>
    </w:p>
    <w:p w:rsidR="00003E3B" w:rsidRDefault="00150DF0">
      <w:pPr>
        <w:spacing w:before="29" w:line="288" w:lineRule="auto"/>
        <w:ind w:firstLineChars="200" w:firstLine="480"/>
        <w:rPr>
          <w:color w:val="000000"/>
          <w:sz w:val="24"/>
        </w:rPr>
      </w:pPr>
      <w:r>
        <w:rPr>
          <w:color w:val="000000"/>
          <w:sz w:val="24"/>
        </w:rPr>
        <w:t>3</w:t>
      </w:r>
      <w:r>
        <w:rPr>
          <w:color w:val="000000"/>
          <w:sz w:val="24"/>
        </w:rPr>
        <w:t>、《交银施罗德全球自然资源证券投资基金招募说明书》；</w:t>
      </w:r>
    </w:p>
    <w:p w:rsidR="00003E3B" w:rsidRDefault="00150DF0">
      <w:pPr>
        <w:spacing w:before="29" w:line="288" w:lineRule="auto"/>
        <w:ind w:firstLineChars="200" w:firstLine="480"/>
        <w:rPr>
          <w:color w:val="000000"/>
          <w:sz w:val="24"/>
        </w:rPr>
      </w:pPr>
      <w:r>
        <w:rPr>
          <w:color w:val="000000"/>
          <w:sz w:val="24"/>
        </w:rPr>
        <w:t>4</w:t>
      </w:r>
      <w:r>
        <w:rPr>
          <w:color w:val="000000"/>
          <w:sz w:val="24"/>
        </w:rPr>
        <w:t>、《交银施罗德全球自然资源证券投资基金托管协议》；</w:t>
      </w:r>
      <w:r>
        <w:rPr>
          <w:color w:val="000000"/>
          <w:sz w:val="24"/>
        </w:rPr>
        <w:t xml:space="preserve"> </w:t>
      </w:r>
    </w:p>
    <w:p w:rsidR="00003E3B" w:rsidRDefault="00150DF0">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003E3B" w:rsidRDefault="00150DF0">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003E3B" w:rsidRDefault="00150DF0">
      <w:pPr>
        <w:spacing w:before="29" w:line="288" w:lineRule="auto"/>
        <w:ind w:firstLineChars="200" w:firstLine="480"/>
        <w:rPr>
          <w:color w:val="000000"/>
          <w:sz w:val="24"/>
        </w:rPr>
      </w:pPr>
      <w:r>
        <w:rPr>
          <w:color w:val="000000"/>
          <w:sz w:val="24"/>
        </w:rPr>
        <w:t>7</w:t>
      </w:r>
      <w:r>
        <w:rPr>
          <w:color w:val="000000"/>
          <w:sz w:val="24"/>
        </w:rPr>
        <w:t>、关于申请募集交银施罗德全球自然资源证券投资基金之法律意见书；</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、报告期内交银施罗德全球自然资源证券投资基金在指定报刊上各项公告的原稿。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2</w:t>
      </w:r>
      <w:r w:rsidR="00B11BC8" w:rsidRPr="008640AE">
        <w:rPr>
          <w:b/>
          <w:bCs/>
          <w:color w:val="000000"/>
          <w:kern w:val="0"/>
          <w:sz w:val="24"/>
        </w:rPr>
        <w:t xml:space="preserve"> </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B11BC8" w:rsidRPr="008640AE">
        <w:rPr>
          <w:b/>
          <w:bCs/>
          <w:color w:val="000000"/>
          <w:kern w:val="0"/>
          <w:sz w:val="24"/>
        </w:rPr>
        <w:t xml:space="preserve"> </w:t>
      </w:r>
      <w:r w:rsidR="008975BC" w:rsidRPr="008640AE">
        <w:rPr>
          <w:b/>
          <w:bCs/>
          <w:color w:val="000000"/>
          <w:kern w:val="0"/>
          <w:sz w:val="24"/>
        </w:rPr>
        <w:t>查阅方式</w:t>
      </w:r>
    </w:p>
    <w:p w:rsidR="00003E3B" w:rsidRDefault="00150DF0">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bookmarkStart w:id="0" w:name="_GoBack"/>
      <w:bookmarkEnd w:id="0"/>
    </w:p>
    <w:sectPr w:rsidR="007D4AE2" w:rsidRPr="008640AE"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FAF" w:rsidRDefault="00516FAF">
      <w:r>
        <w:separator/>
      </w:r>
    </w:p>
  </w:endnote>
  <w:endnote w:type="continuationSeparator" w:id="0">
    <w:p w:rsidR="00516FAF" w:rsidRDefault="0051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92" w:rsidRPr="001D0DB0" w:rsidRDefault="007D1292" w:rsidP="00B918B8">
    <w:pPr>
      <w:pStyle w:val="a6"/>
      <w:jc w:val="center"/>
    </w:pPr>
    <w:r>
      <w:rPr>
        <w:rFonts w:hint="eastAsia"/>
        <w:kern w:val="0"/>
        <w:szCs w:val="21"/>
      </w:rPr>
      <w:t>第</w:t>
    </w:r>
    <w:r w:rsidR="004A1A5E">
      <w:rPr>
        <w:rFonts w:hint="eastAsia"/>
        <w:kern w:val="0"/>
        <w:szCs w:val="21"/>
      </w:rPr>
      <w:t xml:space="preserve"> </w:t>
    </w:r>
    <w:r w:rsidR="00B40704">
      <w:rPr>
        <w:kern w:val="0"/>
        <w:szCs w:val="21"/>
      </w:rPr>
      <w:fldChar w:fldCharType="begin"/>
    </w:r>
    <w:r>
      <w:rPr>
        <w:kern w:val="0"/>
        <w:szCs w:val="21"/>
      </w:rPr>
      <w:instrText xml:space="preserve"> PAGE </w:instrText>
    </w:r>
    <w:r w:rsidR="00B40704">
      <w:rPr>
        <w:kern w:val="0"/>
        <w:szCs w:val="21"/>
      </w:rPr>
      <w:fldChar w:fldCharType="separate"/>
    </w:r>
    <w:r w:rsidR="00150DF0">
      <w:rPr>
        <w:noProof/>
        <w:kern w:val="0"/>
        <w:szCs w:val="21"/>
      </w:rPr>
      <w:t>14</w:t>
    </w:r>
    <w:r w:rsidR="00B40704">
      <w:rPr>
        <w:kern w:val="0"/>
        <w:szCs w:val="21"/>
      </w:rPr>
      <w:fldChar w:fldCharType="end"/>
    </w:r>
    <w:r w:rsidR="004A1A5E">
      <w:rPr>
        <w:rFonts w:hint="eastAsia"/>
        <w:kern w:val="0"/>
        <w:szCs w:val="21"/>
      </w:rPr>
      <w:t xml:space="preserve"> </w:t>
    </w:r>
    <w:r>
      <w:rPr>
        <w:rFonts w:hint="eastAsia"/>
        <w:kern w:val="0"/>
        <w:szCs w:val="21"/>
      </w:rPr>
      <w:t>页</w:t>
    </w:r>
    <w:r w:rsidR="004A1A5E">
      <w:rPr>
        <w:rFonts w:hint="eastAsia"/>
        <w:kern w:val="0"/>
        <w:szCs w:val="21"/>
      </w:rPr>
      <w:t xml:space="preserve"> </w:t>
    </w:r>
    <w:r>
      <w:rPr>
        <w:rFonts w:hint="eastAsia"/>
        <w:kern w:val="0"/>
        <w:szCs w:val="21"/>
      </w:rPr>
      <w:t>共</w:t>
    </w:r>
    <w:r w:rsidR="004A1A5E">
      <w:rPr>
        <w:rFonts w:hint="eastAsia"/>
        <w:kern w:val="0"/>
        <w:szCs w:val="21"/>
      </w:rPr>
      <w:t xml:space="preserve"> </w:t>
    </w:r>
    <w:r w:rsidR="00B40704">
      <w:rPr>
        <w:kern w:val="0"/>
        <w:szCs w:val="21"/>
      </w:rPr>
      <w:fldChar w:fldCharType="begin"/>
    </w:r>
    <w:r>
      <w:rPr>
        <w:kern w:val="0"/>
        <w:szCs w:val="21"/>
      </w:rPr>
      <w:instrText xml:space="preserve"> NUMPAGES </w:instrText>
    </w:r>
    <w:r w:rsidR="00B40704">
      <w:rPr>
        <w:kern w:val="0"/>
        <w:szCs w:val="21"/>
      </w:rPr>
      <w:fldChar w:fldCharType="separate"/>
    </w:r>
    <w:r w:rsidR="00150DF0">
      <w:rPr>
        <w:noProof/>
        <w:kern w:val="0"/>
        <w:szCs w:val="21"/>
      </w:rPr>
      <w:t>14</w:t>
    </w:r>
    <w:r w:rsidR="00B40704">
      <w:rPr>
        <w:kern w:val="0"/>
        <w:szCs w:val="21"/>
      </w:rPr>
      <w:fldChar w:fldCharType="end"/>
    </w:r>
    <w:r w:rsidR="004A1A5E">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9C" w:rsidRDefault="00B40704">
    <w:pPr>
      <w:pStyle w:val="a6"/>
      <w:framePr w:wrap="around" w:vAnchor="text" w:hAnchor="margin"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FAF" w:rsidRDefault="00516FAF">
      <w:r>
        <w:separator/>
      </w:r>
    </w:p>
  </w:footnote>
  <w:footnote w:type="continuationSeparator" w:id="0">
    <w:p w:rsidR="00516FAF" w:rsidRDefault="00516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56" w:rsidRPr="00207EBF" w:rsidRDefault="00121B69"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32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3E3B"/>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0DF0"/>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C04"/>
    <w:rsid w:val="00CC45B7"/>
    <w:rsid w:val="00CC4CB4"/>
    <w:rsid w:val="00CC678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42D0"/>
    <w:rsid w:val="00EC4BA3"/>
    <w:rsid w:val="00EC5CE6"/>
    <w:rsid w:val="00EC638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32097"/>
    <o:shapelayout v:ext="edit">
      <o:idmap v:ext="edit" data="1"/>
    </o:shapelayout>
  </w:shapeDefaults>
  <w:decimalSymbol w:val="."/>
  <w:listSeparator w:val=","/>
  <w15:docId w15:val="{9A1BCF89-9F19-4862-A8EA-B9F2F8D0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102</TotalTime>
  <Pages>14</Pages>
  <Words>1198</Words>
  <Characters>6830</Characters>
  <Application>Microsoft Office Word</Application>
  <DocSecurity>0</DocSecurity>
  <Lines>56</Lines>
  <Paragraphs>16</Paragraphs>
  <ScaleCrop>false</ScaleCrop>
  <Company>TRT. Ltd. Co.</Company>
  <LinksUpToDate>false</LinksUpToDate>
  <CharactersWithSpaces>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徐珉</cp:lastModifiedBy>
  <cp:revision>238</cp:revision>
  <cp:lastPrinted>2007-07-19T00:46:00Z</cp:lastPrinted>
  <dcterms:created xsi:type="dcterms:W3CDTF">2013-08-01T05:26:00Z</dcterms:created>
  <dcterms:modified xsi:type="dcterms:W3CDTF">2016-07-12T10:16:00Z</dcterms:modified>
</cp:coreProperties>
</file>