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20" w:rsidRDefault="00403EE6" w:rsidP="00B42320">
      <w:pPr>
        <w:jc w:val="center"/>
        <w:rPr>
          <w:rFonts w:asciiTheme="majorEastAsia" w:eastAsiaTheme="majorEastAsia" w:hAnsiTheme="majorEastAsia"/>
          <w:sz w:val="32"/>
          <w:szCs w:val="32"/>
        </w:rPr>
      </w:pPr>
      <w:r w:rsidRPr="009A5E6D">
        <w:rPr>
          <w:rFonts w:asciiTheme="majorEastAsia" w:eastAsiaTheme="majorEastAsia" w:hAnsiTheme="majorEastAsia" w:hint="eastAsia"/>
          <w:sz w:val="32"/>
          <w:szCs w:val="32"/>
        </w:rPr>
        <w:t>外围市场环境多变，均衡资产配置最佳</w:t>
      </w:r>
    </w:p>
    <w:p w:rsidR="00743EE8" w:rsidRPr="009A5E6D" w:rsidRDefault="00403EE6" w:rsidP="00B42320">
      <w:pPr>
        <w:jc w:val="center"/>
        <w:rPr>
          <w:rFonts w:asciiTheme="majorEastAsia" w:eastAsiaTheme="majorEastAsia" w:hAnsiTheme="majorEastAsia"/>
          <w:sz w:val="32"/>
          <w:szCs w:val="32"/>
        </w:rPr>
      </w:pPr>
      <w:r w:rsidRPr="009A5E6D">
        <w:rPr>
          <w:rFonts w:asciiTheme="majorEastAsia" w:eastAsiaTheme="majorEastAsia" w:hAnsiTheme="majorEastAsia" w:hint="eastAsia"/>
          <w:sz w:val="32"/>
          <w:szCs w:val="32"/>
        </w:rPr>
        <w:t>——交银6月基金投资建议</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金融市场在二季度的动荡之后经历了一个预期锚定的过程——经济复苏遇阻但不会大幅下滑，货币政策偏向稳健并将保持适当流动性，两者将保证其在一定程度上中和产能出清成本；美联储</w:t>
      </w:r>
      <w:proofErr w:type="gramStart"/>
      <w:r w:rsidRPr="009A5E6D">
        <w:rPr>
          <w:rFonts w:asciiTheme="minorEastAsia" w:eastAsiaTheme="minorEastAsia" w:hAnsiTheme="minorEastAsia" w:cs="Helvetica" w:hint="eastAsia"/>
          <w:color w:val="3E3E3E"/>
          <w:sz w:val="21"/>
          <w:szCs w:val="21"/>
        </w:rPr>
        <w:t>加息进程</w:t>
      </w:r>
      <w:proofErr w:type="gramEnd"/>
      <w:r w:rsidRPr="009A5E6D">
        <w:rPr>
          <w:rFonts w:asciiTheme="minorEastAsia" w:eastAsiaTheme="minorEastAsia" w:hAnsiTheme="minorEastAsia" w:cs="Helvetica" w:hint="eastAsia"/>
          <w:color w:val="3E3E3E"/>
          <w:sz w:val="21"/>
          <w:szCs w:val="21"/>
        </w:rPr>
        <w:t>不会因美国经济数据疲弱大幅减速。MSCI、深港通以及政策面为股市扩容减压则成就了权益市场的机遇。</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在这一背景下，6月份的资产配置以均衡配置为主。股市配置价值偏中性，需要精选个股；债市流动性充裕，配置价值集中于高评级债券。而人民币贬值的大趋势则会让海外资产的配置价值进一步凸显。</w:t>
      </w:r>
    </w:p>
    <w:p w:rsidR="009A5E6D" w:rsidRPr="00B42320" w:rsidRDefault="009A5E6D" w:rsidP="009A5E6D">
      <w:pPr>
        <w:pStyle w:val="a3"/>
        <w:shd w:val="clear" w:color="auto" w:fill="FFFFFF"/>
        <w:spacing w:line="384" w:lineRule="atLeast"/>
        <w:rPr>
          <w:rFonts w:asciiTheme="minorEastAsia" w:eastAsiaTheme="minorEastAsia" w:hAnsiTheme="minorEastAsia" w:cs="Helvetica" w:hint="eastAsia"/>
          <w:b/>
          <w:color w:val="3E3E3E"/>
        </w:rPr>
      </w:pPr>
      <w:r w:rsidRPr="00B42320">
        <w:rPr>
          <w:rFonts w:asciiTheme="minorEastAsia" w:eastAsiaTheme="minorEastAsia" w:hAnsiTheme="minorEastAsia" w:cs="Helvetica" w:hint="eastAsia"/>
          <w:b/>
          <w:color w:val="3E3E3E"/>
        </w:rPr>
        <w:t>经济预期逐渐锚定</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中国官方PMI从去年9月开始一直在回落，工业增加值与</w:t>
      </w:r>
      <w:proofErr w:type="gramStart"/>
      <w:r w:rsidRPr="009A5E6D">
        <w:rPr>
          <w:rFonts w:asciiTheme="minorEastAsia" w:eastAsiaTheme="minorEastAsia" w:hAnsiTheme="minorEastAsia" w:cs="Helvetica" w:hint="eastAsia"/>
          <w:color w:val="3E3E3E"/>
          <w:sz w:val="21"/>
          <w:szCs w:val="21"/>
        </w:rPr>
        <w:t>用电呈</w:t>
      </w:r>
      <w:proofErr w:type="gramEnd"/>
      <w:r w:rsidRPr="009A5E6D">
        <w:rPr>
          <w:rFonts w:asciiTheme="minorEastAsia" w:eastAsiaTheme="minorEastAsia" w:hAnsiTheme="minorEastAsia" w:cs="Helvetica" w:hint="eastAsia"/>
          <w:color w:val="3E3E3E"/>
          <w:sz w:val="21"/>
          <w:szCs w:val="21"/>
        </w:rPr>
        <w:t>阶梯式下滑。包括4月社会消费品零售总额、民间投资增速，进出口数据均不支持市场出现大规模复苏的观点。</w:t>
      </w:r>
    </w:p>
    <w:p w:rsidR="009A5E6D" w:rsidRPr="009A5E6D" w:rsidRDefault="009A5E6D" w:rsidP="009A5E6D">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drawing>
          <wp:inline distT="0" distB="0" distL="0" distR="0" wp14:anchorId="3EAEFFE6" wp14:editId="4285D046">
            <wp:extent cx="4657725" cy="2743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57725" cy="2743200"/>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15"/>
          <w:szCs w:val="15"/>
        </w:rPr>
      </w:pPr>
      <w:r w:rsidRPr="009A5E6D">
        <w:rPr>
          <w:rFonts w:asciiTheme="minorEastAsia" w:eastAsiaTheme="minorEastAsia" w:hAnsiTheme="minorEastAsia" w:cs="Helvetica" w:hint="eastAsia"/>
          <w:color w:val="3E3E3E"/>
          <w:sz w:val="15"/>
          <w:szCs w:val="15"/>
        </w:rPr>
        <w:t>来源：</w:t>
      </w:r>
      <w:r w:rsidRPr="009A5E6D">
        <w:rPr>
          <w:rFonts w:asciiTheme="minorEastAsia" w:eastAsiaTheme="minorEastAsia" w:hAnsiTheme="minorEastAsia" w:cs="Helvetica" w:hint="eastAsia"/>
          <w:color w:val="3E3E3E"/>
          <w:sz w:val="15"/>
          <w:szCs w:val="15"/>
        </w:rPr>
        <w:t>银河</w:t>
      </w:r>
      <w:r w:rsidRPr="009A5E6D">
        <w:rPr>
          <w:rFonts w:asciiTheme="minorEastAsia" w:eastAsiaTheme="minorEastAsia" w:hAnsiTheme="minorEastAsia" w:cs="Helvetica" w:hint="eastAsia"/>
          <w:color w:val="3E3E3E"/>
          <w:sz w:val="15"/>
          <w:szCs w:val="15"/>
        </w:rPr>
        <w:t>证券研究部报告</w:t>
      </w:r>
    </w:p>
    <w:p w:rsidR="009A5E6D" w:rsidRPr="009A5E6D" w:rsidRDefault="009A5E6D" w:rsidP="009A5E6D">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lastRenderedPageBreak/>
        <w:drawing>
          <wp:inline distT="0" distB="0" distL="0" distR="0" wp14:anchorId="43103B48" wp14:editId="1045C11E">
            <wp:extent cx="4638675" cy="287655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38675" cy="2876550"/>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15"/>
          <w:szCs w:val="15"/>
        </w:rPr>
      </w:pPr>
      <w:r w:rsidRPr="009A5E6D">
        <w:rPr>
          <w:rFonts w:asciiTheme="minorEastAsia" w:eastAsiaTheme="minorEastAsia" w:hAnsiTheme="minorEastAsia" w:cs="Helvetica" w:hint="eastAsia"/>
          <w:color w:val="3E3E3E"/>
          <w:sz w:val="15"/>
          <w:szCs w:val="15"/>
        </w:rPr>
        <w:t>来源：银河证券研究部报告</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但是，地产、基建投资的持续性较好，财政加杠杆的决心坚定，从2009年以来持续下降的固定资产投资数据已经出现了企稳的迹象（如下图），对经济不必过于悲观。</w:t>
      </w:r>
    </w:p>
    <w:p w:rsidR="009A5E6D" w:rsidRPr="009A5E6D" w:rsidRDefault="009A5E6D" w:rsidP="009A5E6D">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drawing>
          <wp:inline distT="0" distB="0" distL="0" distR="0" wp14:anchorId="1251E4B5" wp14:editId="558BA35B">
            <wp:extent cx="4695825" cy="27432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95825" cy="2743200"/>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15"/>
          <w:szCs w:val="15"/>
        </w:rPr>
      </w:pPr>
      <w:r w:rsidRPr="009A5E6D">
        <w:rPr>
          <w:rFonts w:asciiTheme="minorEastAsia" w:eastAsiaTheme="minorEastAsia" w:hAnsiTheme="minorEastAsia" w:cs="Helvetica" w:hint="eastAsia"/>
          <w:color w:val="3E3E3E"/>
          <w:sz w:val="15"/>
          <w:szCs w:val="15"/>
        </w:rPr>
        <w:t>来源：银河证券研究部报告</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在流动性方面，社融、信贷在4月出现放缓势头。而这个势头有可能在 5月、6月内继续延续。从某种程度上来说，信贷、</w:t>
      </w:r>
      <w:proofErr w:type="gramStart"/>
      <w:r w:rsidRPr="009A5E6D">
        <w:rPr>
          <w:rFonts w:asciiTheme="minorEastAsia" w:eastAsiaTheme="minorEastAsia" w:hAnsiTheme="minorEastAsia" w:cs="Helvetica" w:hint="eastAsia"/>
          <w:color w:val="3E3E3E"/>
          <w:sz w:val="21"/>
          <w:szCs w:val="21"/>
        </w:rPr>
        <w:t>社融的</w:t>
      </w:r>
      <w:proofErr w:type="gramEnd"/>
      <w:r w:rsidRPr="009A5E6D">
        <w:rPr>
          <w:rFonts w:asciiTheme="minorEastAsia" w:eastAsiaTheme="minorEastAsia" w:hAnsiTheme="minorEastAsia" w:cs="Helvetica" w:hint="eastAsia"/>
          <w:color w:val="3E3E3E"/>
          <w:sz w:val="21"/>
          <w:szCs w:val="21"/>
        </w:rPr>
        <w:t>下降是对年初数据爆发式增长的反馈。</w:t>
      </w:r>
    </w:p>
    <w:p w:rsidR="009A5E6D" w:rsidRPr="009A5E6D" w:rsidRDefault="009A5E6D" w:rsidP="009A5E6D">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lastRenderedPageBreak/>
        <w:drawing>
          <wp:inline distT="0" distB="0" distL="0" distR="0" wp14:anchorId="3446E553" wp14:editId="21A766EA">
            <wp:extent cx="5274310" cy="2558415"/>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558415"/>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15"/>
          <w:szCs w:val="15"/>
        </w:rPr>
      </w:pPr>
      <w:r w:rsidRPr="009A5E6D">
        <w:rPr>
          <w:rFonts w:asciiTheme="minorEastAsia" w:eastAsiaTheme="minorEastAsia" w:hAnsiTheme="minorEastAsia" w:cs="Helvetica" w:hint="eastAsia"/>
          <w:color w:val="3E3E3E"/>
          <w:sz w:val="15"/>
          <w:szCs w:val="15"/>
        </w:rPr>
        <w:t>来源：网易财经</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有</w:t>
      </w:r>
      <w:proofErr w:type="gramStart"/>
      <w:r w:rsidRPr="009A5E6D">
        <w:rPr>
          <w:rFonts w:asciiTheme="minorEastAsia" w:eastAsiaTheme="minorEastAsia" w:hAnsiTheme="minorEastAsia" w:cs="Helvetica" w:hint="eastAsia"/>
          <w:color w:val="3E3E3E"/>
          <w:sz w:val="21"/>
          <w:szCs w:val="21"/>
        </w:rPr>
        <w:t>研</w:t>
      </w:r>
      <w:proofErr w:type="gramEnd"/>
      <w:r w:rsidRPr="009A5E6D">
        <w:rPr>
          <w:rFonts w:asciiTheme="minorEastAsia" w:eastAsiaTheme="minorEastAsia" w:hAnsiTheme="minorEastAsia" w:cs="Helvetica" w:hint="eastAsia"/>
          <w:color w:val="3E3E3E"/>
          <w:sz w:val="21"/>
          <w:szCs w:val="21"/>
        </w:rPr>
        <w:t>报指出，信贷规模下降源于企业信贷内</w:t>
      </w:r>
      <w:proofErr w:type="gramStart"/>
      <w:r w:rsidRPr="009A5E6D">
        <w:rPr>
          <w:rFonts w:asciiTheme="minorEastAsia" w:eastAsiaTheme="minorEastAsia" w:hAnsiTheme="minorEastAsia" w:cs="Helvetica" w:hint="eastAsia"/>
          <w:color w:val="3E3E3E"/>
          <w:sz w:val="21"/>
          <w:szCs w:val="21"/>
        </w:rPr>
        <w:t>生需求</w:t>
      </w:r>
      <w:proofErr w:type="gramEnd"/>
      <w:r w:rsidRPr="009A5E6D">
        <w:rPr>
          <w:rFonts w:asciiTheme="minorEastAsia" w:eastAsiaTheme="minorEastAsia" w:hAnsiTheme="minorEastAsia" w:cs="Helvetica" w:hint="eastAsia"/>
          <w:color w:val="3E3E3E"/>
          <w:sz w:val="21"/>
          <w:szCs w:val="21"/>
        </w:rPr>
        <w:t>不足。随着央行定向输送流动性的操作日益频繁，改革的推进势必会的得到流动性的支持。</w:t>
      </w:r>
    </w:p>
    <w:p w:rsidR="009A5E6D" w:rsidRPr="00B42320" w:rsidRDefault="009A5E6D" w:rsidP="009A5E6D">
      <w:pPr>
        <w:pStyle w:val="a3"/>
        <w:shd w:val="clear" w:color="auto" w:fill="FFFFFF"/>
        <w:spacing w:line="384" w:lineRule="atLeast"/>
        <w:rPr>
          <w:rFonts w:asciiTheme="minorEastAsia" w:eastAsiaTheme="minorEastAsia" w:hAnsiTheme="minorEastAsia" w:cs="Helvetica" w:hint="eastAsia"/>
          <w:b/>
          <w:color w:val="3E3E3E"/>
        </w:rPr>
      </w:pPr>
      <w:r w:rsidRPr="00B42320">
        <w:rPr>
          <w:rFonts w:asciiTheme="minorEastAsia" w:eastAsiaTheme="minorEastAsia" w:hAnsiTheme="minorEastAsia" w:cs="Helvetica" w:hint="eastAsia"/>
          <w:b/>
          <w:color w:val="3E3E3E"/>
        </w:rPr>
        <w:t>市场机会分布：改革红利</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货币宽松程度下滑，经济的重心开始向供给侧结构性改革角度倾斜。其带来的产能出清，产能升级，消费升级等，将利好新能源车为代表的消费结构升级板块，以及钢铁、煤炭和部分大消费所在的周期</w:t>
      </w:r>
      <w:proofErr w:type="gramStart"/>
      <w:r w:rsidRPr="009A5E6D">
        <w:rPr>
          <w:rFonts w:asciiTheme="minorEastAsia" w:eastAsiaTheme="minorEastAsia" w:hAnsiTheme="minorEastAsia" w:cs="Helvetica" w:hint="eastAsia"/>
          <w:color w:val="3E3E3E"/>
          <w:sz w:val="21"/>
          <w:szCs w:val="21"/>
        </w:rPr>
        <w:t>类传统</w:t>
      </w:r>
      <w:proofErr w:type="gramEnd"/>
      <w:r w:rsidRPr="009A5E6D">
        <w:rPr>
          <w:rFonts w:asciiTheme="minorEastAsia" w:eastAsiaTheme="minorEastAsia" w:hAnsiTheme="minorEastAsia" w:cs="Helvetica" w:hint="eastAsia"/>
          <w:color w:val="3E3E3E"/>
          <w:sz w:val="21"/>
          <w:szCs w:val="21"/>
        </w:rPr>
        <w:t>板块。</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特别指出的是，新能源汽车是今年少有的高景气度板块。</w:t>
      </w:r>
      <w:proofErr w:type="gramStart"/>
      <w:r w:rsidRPr="009A5E6D">
        <w:rPr>
          <w:rFonts w:asciiTheme="minorEastAsia" w:eastAsiaTheme="minorEastAsia" w:hAnsiTheme="minorEastAsia" w:cs="Helvetica" w:hint="eastAsia"/>
          <w:color w:val="3E3E3E"/>
          <w:sz w:val="21"/>
          <w:szCs w:val="21"/>
        </w:rPr>
        <w:t>物流车</w:t>
      </w:r>
      <w:proofErr w:type="gramEnd"/>
      <w:r w:rsidRPr="009A5E6D">
        <w:rPr>
          <w:rFonts w:asciiTheme="minorEastAsia" w:eastAsiaTheme="minorEastAsia" w:hAnsiTheme="minorEastAsia" w:cs="Helvetica" w:hint="eastAsia"/>
          <w:color w:val="3E3E3E"/>
          <w:sz w:val="21"/>
          <w:szCs w:val="21"/>
        </w:rPr>
        <w:t>补贴目录出台,动力电池目录第四批公布在即，客车上三元电池预计将先出标准，下半年抢装可以预期,同时tesla产业链是中长期趋势型机会，值得持续关注。</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而在海外市场这边，美联储4月会议纪要明确表态经济好转，美联储官员屡次提到近月加息选项的可能性，并特地提出“勿过度解读”5月非农就业报告。这些表态会长期推升美元汇率，提升美元市场利率，加大美元资产配置的吸引力。</w:t>
      </w:r>
    </w:p>
    <w:p w:rsidR="009A5E6D" w:rsidRPr="00B42320" w:rsidRDefault="009A5E6D" w:rsidP="009A5E6D">
      <w:pPr>
        <w:pStyle w:val="a3"/>
        <w:shd w:val="clear" w:color="auto" w:fill="FFFFFF"/>
        <w:spacing w:line="384" w:lineRule="atLeast"/>
        <w:rPr>
          <w:rFonts w:asciiTheme="minorEastAsia" w:eastAsiaTheme="minorEastAsia" w:hAnsiTheme="minorEastAsia" w:cs="Helvetica" w:hint="eastAsia"/>
          <w:b/>
          <w:color w:val="FF0000"/>
        </w:rPr>
      </w:pPr>
      <w:r w:rsidRPr="00B42320">
        <w:rPr>
          <w:rFonts w:asciiTheme="minorEastAsia" w:eastAsiaTheme="minorEastAsia" w:hAnsiTheme="minorEastAsia" w:cs="Helvetica" w:hint="eastAsia"/>
          <w:b/>
          <w:color w:val="FF0000"/>
        </w:rPr>
        <w:t>6月如何配置资产？</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b/>
          <w:color w:val="3E3E3E"/>
          <w:sz w:val="21"/>
          <w:szCs w:val="21"/>
        </w:rPr>
        <w:t>股票型基金偏中性均衡</w:t>
      </w:r>
      <w:r w:rsidRPr="009A5E6D">
        <w:rPr>
          <w:rFonts w:asciiTheme="minorEastAsia" w:eastAsiaTheme="minorEastAsia" w:hAnsiTheme="minorEastAsia" w:cs="Helvetica" w:hint="eastAsia"/>
          <w:color w:val="3E3E3E"/>
          <w:sz w:val="21"/>
          <w:szCs w:val="21"/>
        </w:rPr>
        <w:t>：虽然市场出现了反弹，但是考虑到短期内经济基本面对股市支持力度有限，同时货币宽松受到限制，建议保持权益类基金中性配置比例。风格上，成长股反弹力度更强，传统产业也符合改革投资逻辑，建议在两</w:t>
      </w:r>
      <w:bookmarkStart w:id="0" w:name="_GoBack"/>
      <w:bookmarkEnd w:id="0"/>
      <w:r w:rsidRPr="009A5E6D">
        <w:rPr>
          <w:rFonts w:asciiTheme="minorEastAsia" w:eastAsiaTheme="minorEastAsia" w:hAnsiTheme="minorEastAsia" w:cs="Helvetica" w:hint="eastAsia"/>
          <w:color w:val="3E3E3E"/>
          <w:sz w:val="21"/>
          <w:szCs w:val="21"/>
        </w:rPr>
        <w:t>头进行均衡配置。</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b/>
          <w:color w:val="3E3E3E"/>
          <w:sz w:val="21"/>
          <w:szCs w:val="21"/>
        </w:rPr>
        <w:t>债券基金以高评级债券为主</w:t>
      </w:r>
      <w:r w:rsidRPr="009A5E6D">
        <w:rPr>
          <w:rFonts w:asciiTheme="minorEastAsia" w:eastAsiaTheme="minorEastAsia" w:hAnsiTheme="minorEastAsia" w:cs="Helvetica" w:hint="eastAsia"/>
          <w:color w:val="3E3E3E"/>
          <w:sz w:val="21"/>
          <w:szCs w:val="21"/>
        </w:rPr>
        <w:t>：准备金新政的实施，确认了央行呵护银行间流动性的决心未变，流动性水平相对宽裕，所以债券仍然具备配置价值。利率下降空间有限，信用风险、</w:t>
      </w:r>
      <w:r w:rsidRPr="009A5E6D">
        <w:rPr>
          <w:rFonts w:asciiTheme="minorEastAsia" w:eastAsiaTheme="minorEastAsia" w:hAnsiTheme="minorEastAsia" w:cs="Helvetica" w:hint="eastAsia"/>
          <w:color w:val="3E3E3E"/>
          <w:sz w:val="21"/>
          <w:szCs w:val="21"/>
        </w:rPr>
        <w:lastRenderedPageBreak/>
        <w:t>宽松力度减弱、美联储升息等事件意味着可以配置高评级债券比例较高、</w:t>
      </w:r>
      <w:proofErr w:type="gramStart"/>
      <w:r w:rsidRPr="009A5E6D">
        <w:rPr>
          <w:rFonts w:asciiTheme="minorEastAsia" w:eastAsiaTheme="minorEastAsia" w:hAnsiTheme="minorEastAsia" w:cs="Helvetica" w:hint="eastAsia"/>
          <w:color w:val="3E3E3E"/>
          <w:sz w:val="21"/>
          <w:szCs w:val="21"/>
        </w:rPr>
        <w:t>久期偏短</w:t>
      </w:r>
      <w:proofErr w:type="gramEnd"/>
      <w:r w:rsidRPr="009A5E6D">
        <w:rPr>
          <w:rFonts w:asciiTheme="minorEastAsia" w:eastAsiaTheme="minorEastAsia" w:hAnsiTheme="minorEastAsia" w:cs="Helvetica" w:hint="eastAsia"/>
          <w:color w:val="3E3E3E"/>
          <w:sz w:val="21"/>
          <w:szCs w:val="21"/>
        </w:rPr>
        <w:t>的债券基金。</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b/>
          <w:color w:val="3E3E3E"/>
          <w:sz w:val="21"/>
          <w:szCs w:val="21"/>
        </w:rPr>
        <w:t>货币基金方面</w:t>
      </w:r>
      <w:r w:rsidRPr="009A5E6D">
        <w:rPr>
          <w:rFonts w:asciiTheme="minorEastAsia" w:eastAsiaTheme="minorEastAsia" w:hAnsiTheme="minorEastAsia" w:cs="Helvetica" w:hint="eastAsia"/>
          <w:color w:val="3E3E3E"/>
          <w:sz w:val="21"/>
          <w:szCs w:val="21"/>
        </w:rPr>
        <w:t>：在长期资金利率保持较低水平的情况下没有趋势性投资机会，可以当作现金管理工具。</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根据这些建议，我们对于风格积极，稳健与保守的投资者分别给出投资建议。以下配置是以交银施罗德旗下基金举例的。投资者也可以借鉴以下资产配置的逻辑，选择自己偏爱的其他基金公司推出的基金进行资产配置。</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b/>
          <w:color w:val="3E3E3E"/>
          <w:sz w:val="21"/>
          <w:szCs w:val="21"/>
        </w:rPr>
      </w:pPr>
      <w:r w:rsidRPr="009A5E6D">
        <w:rPr>
          <w:rFonts w:asciiTheme="minorEastAsia" w:eastAsiaTheme="minorEastAsia" w:hAnsiTheme="minorEastAsia" w:cs="Helvetica" w:hint="eastAsia"/>
          <w:b/>
          <w:color w:val="3E3E3E"/>
          <w:sz w:val="21"/>
          <w:szCs w:val="21"/>
        </w:rPr>
        <w:t>积极型投资者：</w:t>
      </w:r>
    </w:p>
    <w:p w:rsidR="009A5E6D" w:rsidRPr="009A5E6D" w:rsidRDefault="009A5E6D" w:rsidP="009A5E6D">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drawing>
          <wp:inline distT="0" distB="0" distL="0" distR="0" wp14:anchorId="19078DCB" wp14:editId="270512D9">
            <wp:extent cx="3695700" cy="26003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95700" cy="2600325"/>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b/>
          <w:color w:val="3E3E3E"/>
          <w:sz w:val="21"/>
          <w:szCs w:val="21"/>
        </w:rPr>
      </w:pPr>
      <w:r w:rsidRPr="009A5E6D">
        <w:rPr>
          <w:rFonts w:asciiTheme="minorEastAsia" w:eastAsiaTheme="minorEastAsia" w:hAnsiTheme="minorEastAsia" w:cs="Helvetica" w:hint="eastAsia"/>
          <w:b/>
          <w:color w:val="3E3E3E"/>
          <w:sz w:val="21"/>
          <w:szCs w:val="21"/>
        </w:rPr>
        <w:t>对于积极型投资者，建议以较大比例配置新能源行业主题投资基金，中等比例配置债券基金，小比例配置QDII基金。新能源车等主题基金可以重点关注。</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交银</w:t>
      </w:r>
      <w:proofErr w:type="gramStart"/>
      <w:r w:rsidRPr="009A5E6D">
        <w:rPr>
          <w:rFonts w:asciiTheme="minorEastAsia" w:eastAsiaTheme="minorEastAsia" w:hAnsiTheme="minorEastAsia" w:cs="Helvetica" w:hint="eastAsia"/>
          <w:color w:val="3E3E3E"/>
          <w:sz w:val="21"/>
          <w:szCs w:val="21"/>
        </w:rPr>
        <w:t>国证新能源母基金</w:t>
      </w:r>
      <w:proofErr w:type="gramEnd"/>
      <w:r w:rsidRPr="009A5E6D">
        <w:rPr>
          <w:rFonts w:asciiTheme="minorEastAsia" w:eastAsiaTheme="minorEastAsia" w:hAnsiTheme="minorEastAsia" w:cs="Helvetica" w:hint="eastAsia"/>
          <w:color w:val="3E3E3E"/>
          <w:sz w:val="21"/>
          <w:szCs w:val="21"/>
        </w:rPr>
        <w:t>整体溢价比例较低，近期为折价，对于投资者在二级市场买入十分有利；而交</w:t>
      </w:r>
      <w:proofErr w:type="gramStart"/>
      <w:r w:rsidRPr="009A5E6D">
        <w:rPr>
          <w:rFonts w:asciiTheme="minorEastAsia" w:eastAsiaTheme="minorEastAsia" w:hAnsiTheme="minorEastAsia" w:cs="Helvetica" w:hint="eastAsia"/>
          <w:color w:val="3E3E3E"/>
          <w:sz w:val="21"/>
          <w:szCs w:val="21"/>
        </w:rPr>
        <w:t>银国证新能源</w:t>
      </w:r>
      <w:proofErr w:type="gramEnd"/>
      <w:r w:rsidRPr="009A5E6D">
        <w:rPr>
          <w:rFonts w:asciiTheme="minorEastAsia" w:eastAsiaTheme="minorEastAsia" w:hAnsiTheme="minorEastAsia" w:cs="Helvetica" w:hint="eastAsia"/>
          <w:color w:val="3E3E3E"/>
          <w:sz w:val="21"/>
          <w:szCs w:val="21"/>
        </w:rPr>
        <w:t xml:space="preserve">B与同类分级B相比杠杆比例最高，价格弹性良好，近期表现不论在3个月、1个月还是一周表现内都超出了其他的业绩标杆，适合积极看好新能源主题的投资者持有。 </w:t>
      </w:r>
    </w:p>
    <w:p w:rsidR="009A5E6D" w:rsidRDefault="009A5E6D" w:rsidP="009A5E6D">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lastRenderedPageBreak/>
        <w:drawing>
          <wp:inline distT="0" distB="0" distL="0" distR="0" wp14:anchorId="6CFC7580" wp14:editId="5F27674C">
            <wp:extent cx="4410075" cy="36671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0075" cy="3667125"/>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15"/>
          <w:szCs w:val="15"/>
        </w:rPr>
      </w:pPr>
      <w:r w:rsidRPr="009A5E6D">
        <w:rPr>
          <w:rFonts w:asciiTheme="minorEastAsia" w:eastAsiaTheme="minorEastAsia" w:hAnsiTheme="minorEastAsia" w:cs="Helvetica" w:hint="eastAsia"/>
          <w:color w:val="3E3E3E"/>
          <w:sz w:val="15"/>
          <w:szCs w:val="15"/>
        </w:rPr>
        <w:t>来源：网易财经</w:t>
      </w:r>
    </w:p>
    <w:p w:rsidR="009A5E6D" w:rsidRDefault="009A5E6D" w:rsidP="009A5E6D">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drawing>
          <wp:inline distT="0" distB="0" distL="0" distR="0" wp14:anchorId="1B1ED3E7" wp14:editId="6D4E6779">
            <wp:extent cx="3724275" cy="16954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24275" cy="1695450"/>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15"/>
          <w:szCs w:val="15"/>
        </w:rPr>
      </w:pPr>
      <w:r w:rsidRPr="009A5E6D">
        <w:rPr>
          <w:rFonts w:asciiTheme="minorEastAsia" w:eastAsiaTheme="minorEastAsia" w:hAnsiTheme="minorEastAsia" w:cs="Helvetica" w:hint="eastAsia"/>
          <w:color w:val="3E3E3E"/>
          <w:sz w:val="15"/>
          <w:szCs w:val="15"/>
        </w:rPr>
        <w:t>来源：天天基金网</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在人民币贬值存在一定趋势的背景下，QDII配置则满足了资产配置多样化的需求。交银环球精选混合配置了包括的谷歌、花旗、辉瑞制药等美股市场股票，起到了分散人民币贬值风险的作用。</w:t>
      </w:r>
    </w:p>
    <w:p w:rsidR="009A5E6D" w:rsidRPr="009A5E6D" w:rsidRDefault="009A5E6D" w:rsidP="009A5E6D">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lastRenderedPageBreak/>
        <w:drawing>
          <wp:inline distT="0" distB="0" distL="0" distR="0" wp14:anchorId="27A6F466" wp14:editId="0A772724">
            <wp:extent cx="4343400" cy="353377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43400" cy="3533775"/>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15"/>
          <w:szCs w:val="15"/>
        </w:rPr>
      </w:pPr>
      <w:r w:rsidRPr="009A5E6D">
        <w:rPr>
          <w:rFonts w:asciiTheme="minorEastAsia" w:eastAsiaTheme="minorEastAsia" w:hAnsiTheme="minorEastAsia" w:cs="Helvetica" w:hint="eastAsia"/>
          <w:color w:val="3E3E3E"/>
          <w:sz w:val="15"/>
          <w:szCs w:val="15"/>
        </w:rPr>
        <w:t>来源：网易财经</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b/>
          <w:color w:val="3E3E3E"/>
          <w:sz w:val="21"/>
          <w:szCs w:val="21"/>
        </w:rPr>
      </w:pPr>
      <w:r w:rsidRPr="009A5E6D">
        <w:rPr>
          <w:rFonts w:asciiTheme="minorEastAsia" w:eastAsiaTheme="minorEastAsia" w:hAnsiTheme="minorEastAsia" w:cs="Helvetica" w:hint="eastAsia"/>
          <w:b/>
          <w:color w:val="3E3E3E"/>
          <w:sz w:val="21"/>
          <w:szCs w:val="21"/>
        </w:rPr>
        <w:t>稳健型投资者：</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稳健型投资者的配置讲究均衡配置，即兼顾成长性和</w:t>
      </w:r>
      <w:proofErr w:type="gramStart"/>
      <w:r w:rsidRPr="009A5E6D">
        <w:rPr>
          <w:rFonts w:asciiTheme="minorEastAsia" w:eastAsiaTheme="minorEastAsia" w:hAnsiTheme="minorEastAsia" w:cs="Helvetica" w:hint="eastAsia"/>
          <w:color w:val="3E3E3E"/>
          <w:sz w:val="21"/>
          <w:szCs w:val="21"/>
        </w:rPr>
        <w:t>稳收益</w:t>
      </w:r>
      <w:proofErr w:type="gramEnd"/>
      <w:r w:rsidRPr="009A5E6D">
        <w:rPr>
          <w:rFonts w:asciiTheme="minorEastAsia" w:eastAsiaTheme="minorEastAsia" w:hAnsiTheme="minorEastAsia" w:cs="Helvetica" w:hint="eastAsia"/>
          <w:color w:val="3E3E3E"/>
          <w:sz w:val="21"/>
          <w:szCs w:val="21"/>
        </w:rPr>
        <w:t>型。建议均衡配置股票基金和债券基金，辅以一定的QDII基金满足多样化配置需求。</w:t>
      </w:r>
    </w:p>
    <w:p w:rsidR="009A5E6D" w:rsidRDefault="009A5E6D" w:rsidP="009A5E6D">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drawing>
          <wp:inline distT="0" distB="0" distL="0" distR="0" wp14:anchorId="7C75E91D" wp14:editId="1D9B2A61">
            <wp:extent cx="3810000" cy="26860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0000" cy="2686050"/>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配置的核心推荐交</w:t>
      </w:r>
      <w:proofErr w:type="gramStart"/>
      <w:r w:rsidRPr="009A5E6D">
        <w:rPr>
          <w:rFonts w:asciiTheme="minorEastAsia" w:eastAsiaTheme="minorEastAsia" w:hAnsiTheme="minorEastAsia" w:cs="Helvetica" w:hint="eastAsia"/>
          <w:color w:val="3E3E3E"/>
          <w:sz w:val="21"/>
          <w:szCs w:val="21"/>
        </w:rPr>
        <w:t>银科技</w:t>
      </w:r>
      <w:proofErr w:type="gramEnd"/>
      <w:r w:rsidRPr="009A5E6D">
        <w:rPr>
          <w:rFonts w:asciiTheme="minorEastAsia" w:eastAsiaTheme="minorEastAsia" w:hAnsiTheme="minorEastAsia" w:cs="Helvetica" w:hint="eastAsia"/>
          <w:color w:val="3E3E3E"/>
          <w:sz w:val="21"/>
          <w:szCs w:val="21"/>
        </w:rPr>
        <w:t>创新灵活配置基金。该基金主要配置标的是互联网科技、能源科技、医疗科技、军工科技四大领域，是产业升级所涵盖的核心领域。</w:t>
      </w:r>
    </w:p>
    <w:p w:rsidR="00B42320" w:rsidRDefault="00B42320" w:rsidP="00B42320">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lastRenderedPageBreak/>
        <w:drawing>
          <wp:inline distT="0" distB="0" distL="0" distR="0" wp14:anchorId="215BC24B" wp14:editId="70E7AF74">
            <wp:extent cx="4248150" cy="345757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48150" cy="3457575"/>
                    </a:xfrm>
                    <a:prstGeom prst="rect">
                      <a:avLst/>
                    </a:prstGeom>
                  </pic:spPr>
                </pic:pic>
              </a:graphicData>
            </a:graphic>
          </wp:inline>
        </w:drawing>
      </w:r>
    </w:p>
    <w:p w:rsidR="009A5E6D" w:rsidRPr="00B42320" w:rsidRDefault="009A5E6D" w:rsidP="009A5E6D">
      <w:pPr>
        <w:pStyle w:val="a3"/>
        <w:shd w:val="clear" w:color="auto" w:fill="FFFFFF"/>
        <w:spacing w:line="384" w:lineRule="atLeast"/>
        <w:rPr>
          <w:rFonts w:asciiTheme="minorEastAsia" w:eastAsiaTheme="minorEastAsia" w:hAnsiTheme="minorEastAsia" w:cs="Helvetica" w:hint="eastAsia"/>
          <w:color w:val="3E3E3E"/>
          <w:sz w:val="15"/>
          <w:szCs w:val="15"/>
        </w:rPr>
      </w:pPr>
      <w:r w:rsidRPr="00B42320">
        <w:rPr>
          <w:rFonts w:asciiTheme="minorEastAsia" w:eastAsiaTheme="minorEastAsia" w:hAnsiTheme="minorEastAsia" w:cs="Helvetica" w:hint="eastAsia"/>
          <w:color w:val="3E3E3E"/>
          <w:sz w:val="15"/>
          <w:szCs w:val="15"/>
        </w:rPr>
        <w:t>来源：网易财经</w:t>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交</w:t>
      </w:r>
      <w:proofErr w:type="gramStart"/>
      <w:r w:rsidRPr="009A5E6D">
        <w:rPr>
          <w:rFonts w:asciiTheme="minorEastAsia" w:eastAsiaTheme="minorEastAsia" w:hAnsiTheme="minorEastAsia" w:cs="Helvetica" w:hint="eastAsia"/>
          <w:color w:val="3E3E3E"/>
          <w:sz w:val="21"/>
          <w:szCs w:val="21"/>
        </w:rPr>
        <w:t>银科技</w:t>
      </w:r>
      <w:proofErr w:type="gramEnd"/>
      <w:r w:rsidRPr="009A5E6D">
        <w:rPr>
          <w:rFonts w:asciiTheme="minorEastAsia" w:eastAsiaTheme="minorEastAsia" w:hAnsiTheme="minorEastAsia" w:cs="Helvetica" w:hint="eastAsia"/>
          <w:color w:val="3E3E3E"/>
          <w:sz w:val="21"/>
          <w:szCs w:val="21"/>
        </w:rPr>
        <w:t>创新基金的“亮点”在于基金经理芮晨。除了9年的证券从业经历，芮晨有着丰富的创新密集行业从业经历，分别在医药公司从事医疗销售，在著名游戏公司担任项目管理，并自己创办IT公司并经营3年以上，有较强的捕捉爆发性机会的能力。</w:t>
      </w:r>
    </w:p>
    <w:p w:rsidR="009A5E6D" w:rsidRPr="00B42320" w:rsidRDefault="009A5E6D" w:rsidP="009A5E6D">
      <w:pPr>
        <w:pStyle w:val="a3"/>
        <w:shd w:val="clear" w:color="auto" w:fill="FFFFFF"/>
        <w:spacing w:line="384" w:lineRule="atLeast"/>
        <w:rPr>
          <w:rFonts w:asciiTheme="minorEastAsia" w:eastAsiaTheme="minorEastAsia" w:hAnsiTheme="minorEastAsia" w:cs="Helvetica" w:hint="eastAsia"/>
          <w:b/>
          <w:sz w:val="21"/>
          <w:szCs w:val="21"/>
        </w:rPr>
      </w:pPr>
      <w:r w:rsidRPr="00B42320">
        <w:rPr>
          <w:rFonts w:asciiTheme="minorEastAsia" w:eastAsiaTheme="minorEastAsia" w:hAnsiTheme="minorEastAsia" w:cs="Helvetica" w:hint="eastAsia"/>
          <w:b/>
          <w:sz w:val="21"/>
          <w:szCs w:val="21"/>
        </w:rPr>
        <w:t>保守型投资者：</w:t>
      </w:r>
    </w:p>
    <w:p w:rsidR="009A5E6D" w:rsidRPr="009A5E6D" w:rsidRDefault="00B42320" w:rsidP="00B42320">
      <w:pPr>
        <w:pStyle w:val="a3"/>
        <w:shd w:val="clear" w:color="auto" w:fill="FFFFFF"/>
        <w:spacing w:line="384" w:lineRule="atLeast"/>
        <w:jc w:val="center"/>
        <w:rPr>
          <w:rFonts w:asciiTheme="minorEastAsia" w:eastAsiaTheme="minorEastAsia" w:hAnsiTheme="minorEastAsia" w:cs="Helvetica"/>
          <w:color w:val="3E3E3E"/>
          <w:sz w:val="21"/>
          <w:szCs w:val="21"/>
        </w:rPr>
      </w:pPr>
      <w:r>
        <w:rPr>
          <w:noProof/>
        </w:rPr>
        <w:drawing>
          <wp:inline distT="0" distB="0" distL="0" distR="0" wp14:anchorId="42B4F300" wp14:editId="581C7143">
            <wp:extent cx="3581400" cy="23717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81400" cy="2371725"/>
                    </a:xfrm>
                    <a:prstGeom prst="rect">
                      <a:avLst/>
                    </a:prstGeom>
                  </pic:spPr>
                </pic:pic>
              </a:graphicData>
            </a:graphic>
          </wp:inline>
        </w:drawing>
      </w:r>
    </w:p>
    <w:p w:rsidR="009A5E6D" w:rsidRPr="009A5E6D" w:rsidRDefault="009A5E6D" w:rsidP="009A5E6D">
      <w:pPr>
        <w:pStyle w:val="a3"/>
        <w:shd w:val="clear" w:color="auto" w:fill="FFFFFF"/>
        <w:spacing w:line="384" w:lineRule="atLeast"/>
        <w:rPr>
          <w:rFonts w:asciiTheme="minorEastAsia" w:eastAsiaTheme="minorEastAsia" w:hAnsiTheme="minorEastAsia" w:cs="Helvetica" w:hint="eastAsia"/>
          <w:color w:val="3E3E3E"/>
          <w:sz w:val="21"/>
          <w:szCs w:val="21"/>
        </w:rPr>
      </w:pPr>
      <w:r w:rsidRPr="009A5E6D">
        <w:rPr>
          <w:rFonts w:asciiTheme="minorEastAsia" w:eastAsiaTheme="minorEastAsia" w:hAnsiTheme="minorEastAsia" w:cs="Helvetica" w:hint="eastAsia"/>
          <w:color w:val="3E3E3E"/>
          <w:sz w:val="21"/>
          <w:szCs w:val="21"/>
        </w:rPr>
        <w:t>对于保守型投资者来说，推荐大比例配置高评级信用</w:t>
      </w:r>
      <w:proofErr w:type="gramStart"/>
      <w:r w:rsidRPr="009A5E6D">
        <w:rPr>
          <w:rFonts w:asciiTheme="minorEastAsia" w:eastAsiaTheme="minorEastAsia" w:hAnsiTheme="minorEastAsia" w:cs="Helvetica" w:hint="eastAsia"/>
          <w:color w:val="3E3E3E"/>
          <w:sz w:val="21"/>
          <w:szCs w:val="21"/>
        </w:rPr>
        <w:t>债纯债基金</w:t>
      </w:r>
      <w:proofErr w:type="gramEnd"/>
      <w:r w:rsidRPr="009A5E6D">
        <w:rPr>
          <w:rFonts w:asciiTheme="minorEastAsia" w:eastAsiaTheme="minorEastAsia" w:hAnsiTheme="minorEastAsia" w:cs="Helvetica" w:hint="eastAsia"/>
          <w:color w:val="3E3E3E"/>
          <w:sz w:val="21"/>
          <w:szCs w:val="21"/>
        </w:rPr>
        <w:t>和业绩表现稳定偏高的货币型基金。上图所示的交银添利信用债券就是满足这一配置要求的基金。</w:t>
      </w:r>
    </w:p>
    <w:p w:rsidR="00403EE6" w:rsidRPr="009A5E6D" w:rsidRDefault="009A5E6D" w:rsidP="009A5E6D">
      <w:pPr>
        <w:pStyle w:val="a3"/>
        <w:shd w:val="clear" w:color="auto" w:fill="FFFFFF"/>
        <w:spacing w:before="0" w:beforeAutospacing="0" w:after="0" w:afterAutospacing="0" w:line="384" w:lineRule="atLeast"/>
        <w:jc w:val="both"/>
        <w:rPr>
          <w:rFonts w:asciiTheme="minorEastAsia" w:eastAsiaTheme="minorEastAsia" w:hAnsiTheme="minorEastAsia" w:hint="eastAsia"/>
          <w:sz w:val="21"/>
          <w:szCs w:val="21"/>
        </w:rPr>
      </w:pPr>
      <w:r w:rsidRPr="009A5E6D">
        <w:rPr>
          <w:rFonts w:asciiTheme="minorEastAsia" w:eastAsiaTheme="minorEastAsia" w:hAnsiTheme="minorEastAsia" w:cs="Helvetica" w:hint="eastAsia"/>
          <w:color w:val="3E3E3E"/>
          <w:sz w:val="21"/>
          <w:szCs w:val="21"/>
        </w:rPr>
        <w:lastRenderedPageBreak/>
        <w:t>过去一段时间，信用债市场因技术性违约频出，债市也出现了如股市一样的“非理性下跌”。然而信用债表现的整体</w:t>
      </w:r>
      <w:proofErr w:type="gramStart"/>
      <w:r w:rsidRPr="009A5E6D">
        <w:rPr>
          <w:rFonts w:asciiTheme="minorEastAsia" w:eastAsiaTheme="minorEastAsia" w:hAnsiTheme="minorEastAsia" w:cs="Helvetica" w:hint="eastAsia"/>
          <w:color w:val="3E3E3E"/>
          <w:sz w:val="21"/>
          <w:szCs w:val="21"/>
        </w:rPr>
        <w:t>走弱却让</w:t>
      </w:r>
      <w:proofErr w:type="gramEnd"/>
      <w:r w:rsidRPr="009A5E6D">
        <w:rPr>
          <w:rFonts w:asciiTheme="minorEastAsia" w:eastAsiaTheme="minorEastAsia" w:hAnsiTheme="minorEastAsia" w:cs="Helvetica" w:hint="eastAsia"/>
          <w:color w:val="3E3E3E"/>
          <w:sz w:val="21"/>
          <w:szCs w:val="21"/>
        </w:rPr>
        <w:t>一部分高评级信用债的价值被低估。在挖坑之后，大比例投资高评级信用债的交银添利信用债券反而提供了一个安全的债券投资入场机会。</w:t>
      </w:r>
    </w:p>
    <w:sectPr w:rsidR="00403EE6" w:rsidRPr="009A5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E6"/>
    <w:rsid w:val="00403EE6"/>
    <w:rsid w:val="005B2FDE"/>
    <w:rsid w:val="00600E94"/>
    <w:rsid w:val="009A5E6D"/>
    <w:rsid w:val="00B4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DF6F0-AF16-4463-9F78-4FEBD0F6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3E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3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1531">
      <w:bodyDiv w:val="1"/>
      <w:marLeft w:val="0"/>
      <w:marRight w:val="0"/>
      <w:marTop w:val="0"/>
      <w:marBottom w:val="0"/>
      <w:divBdr>
        <w:top w:val="none" w:sz="0" w:space="0" w:color="auto"/>
        <w:left w:val="none" w:sz="0" w:space="0" w:color="auto"/>
        <w:bottom w:val="none" w:sz="0" w:space="0" w:color="auto"/>
        <w:right w:val="none" w:sz="0" w:space="0" w:color="auto"/>
      </w:divBdr>
    </w:div>
    <w:div w:id="834227811">
      <w:bodyDiv w:val="1"/>
      <w:marLeft w:val="0"/>
      <w:marRight w:val="0"/>
      <w:marTop w:val="0"/>
      <w:marBottom w:val="0"/>
      <w:divBdr>
        <w:top w:val="none" w:sz="0" w:space="0" w:color="auto"/>
        <w:left w:val="none" w:sz="0" w:space="0" w:color="auto"/>
        <w:bottom w:val="none" w:sz="0" w:space="0" w:color="auto"/>
        <w:right w:val="none" w:sz="0" w:space="0" w:color="auto"/>
      </w:divBdr>
      <w:divsChild>
        <w:div w:id="736780888">
          <w:blockQuote w:val="1"/>
          <w:marLeft w:val="0"/>
          <w:marRight w:val="0"/>
          <w:marTop w:val="0"/>
          <w:marBottom w:val="0"/>
          <w:divBdr>
            <w:top w:val="none" w:sz="0" w:space="0" w:color="auto"/>
            <w:left w:val="single" w:sz="18" w:space="8" w:color="DBDBDB"/>
            <w:bottom w:val="none" w:sz="0" w:space="0" w:color="auto"/>
            <w:right w:val="none" w:sz="0" w:space="0" w:color="auto"/>
          </w:divBdr>
        </w:div>
        <w:div w:id="1912345042">
          <w:blockQuote w:val="1"/>
          <w:marLeft w:val="0"/>
          <w:marRight w:val="0"/>
          <w:marTop w:val="0"/>
          <w:marBottom w:val="0"/>
          <w:divBdr>
            <w:top w:val="none" w:sz="0" w:space="0" w:color="auto"/>
            <w:left w:val="single" w:sz="18" w:space="8" w:color="DBDBDB"/>
            <w:bottom w:val="none" w:sz="0" w:space="0" w:color="auto"/>
            <w:right w:val="none" w:sz="0" w:space="0" w:color="auto"/>
          </w:divBdr>
        </w:div>
        <w:div w:id="1121072169">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530530751">
      <w:bodyDiv w:val="1"/>
      <w:marLeft w:val="0"/>
      <w:marRight w:val="0"/>
      <w:marTop w:val="0"/>
      <w:marBottom w:val="0"/>
      <w:divBdr>
        <w:top w:val="none" w:sz="0" w:space="0" w:color="auto"/>
        <w:left w:val="none" w:sz="0" w:space="0" w:color="auto"/>
        <w:bottom w:val="none" w:sz="0" w:space="0" w:color="auto"/>
        <w:right w:val="none" w:sz="0" w:space="0" w:color="auto"/>
      </w:divBdr>
    </w:div>
    <w:div w:id="1946379328">
      <w:bodyDiv w:val="1"/>
      <w:marLeft w:val="0"/>
      <w:marRight w:val="0"/>
      <w:marTop w:val="0"/>
      <w:marBottom w:val="0"/>
      <w:divBdr>
        <w:top w:val="none" w:sz="0" w:space="0" w:color="auto"/>
        <w:left w:val="none" w:sz="0" w:space="0" w:color="auto"/>
        <w:bottom w:val="none" w:sz="0" w:space="0" w:color="auto"/>
        <w:right w:val="none" w:sz="0" w:space="0" w:color="auto"/>
      </w:divBdr>
      <w:divsChild>
        <w:div w:id="401413638">
          <w:blockQuote w:val="1"/>
          <w:marLeft w:val="0"/>
          <w:marRight w:val="0"/>
          <w:marTop w:val="0"/>
          <w:marBottom w:val="0"/>
          <w:divBdr>
            <w:top w:val="none" w:sz="0" w:space="0" w:color="auto"/>
            <w:left w:val="single" w:sz="18" w:space="8" w:color="DBDBDB"/>
            <w:bottom w:val="none" w:sz="0" w:space="0" w:color="auto"/>
            <w:right w:val="none" w:sz="0" w:space="0" w:color="auto"/>
          </w:divBdr>
        </w:div>
        <w:div w:id="2097285814">
          <w:blockQuote w:val="1"/>
          <w:marLeft w:val="0"/>
          <w:marRight w:val="0"/>
          <w:marTop w:val="0"/>
          <w:marBottom w:val="0"/>
          <w:divBdr>
            <w:top w:val="none" w:sz="0" w:space="0" w:color="auto"/>
            <w:left w:val="single" w:sz="18" w:space="8" w:color="DBDBDB"/>
            <w:bottom w:val="none" w:sz="0" w:space="0" w:color="auto"/>
            <w:right w:val="none" w:sz="0" w:space="0" w:color="auto"/>
          </w:divBdr>
        </w:div>
        <w:div w:id="1700425185">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吴文斐</dc:creator>
  <cp:keywords/>
  <dc:description/>
  <cp:lastModifiedBy>吴文斐</cp:lastModifiedBy>
  <cp:revision>1</cp:revision>
  <dcterms:created xsi:type="dcterms:W3CDTF">2016-06-07T08:49:00Z</dcterms:created>
  <dcterms:modified xsi:type="dcterms:W3CDTF">2016-06-07T09:23:00Z</dcterms:modified>
</cp:coreProperties>
</file>