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0C54A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C54A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1,715,110,090.72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1,713,497,571.35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1,612,519.37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C54A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7,333,436.17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7,708.70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12,381,480.14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12,597.23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1,732,371,804.56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1,628,301.40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1.010</w:t>
            </w:r>
          </w:p>
        </w:tc>
      </w:tr>
    </w:tbl>
    <w:p w:rsidR="003E6734" w:rsidRDefault="00D266C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CA42EE">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E6734">
        <w:trPr>
          <w:jc w:val="center"/>
        </w:trPr>
        <w:tc>
          <w:tcPr>
            <w:tcW w:w="1266" w:type="dxa"/>
            <w:vAlign w:val="center"/>
          </w:tcPr>
          <w:p w:rsidR="003E6734" w:rsidRDefault="00D266C4">
            <w:pPr>
              <w:jc w:val="left"/>
            </w:pPr>
            <w:r>
              <w:rPr>
                <w:color w:val="000000"/>
                <w:sz w:val="24"/>
              </w:rPr>
              <w:lastRenderedPageBreak/>
              <w:t>过去三个月</w:t>
            </w:r>
          </w:p>
        </w:tc>
        <w:tc>
          <w:tcPr>
            <w:tcW w:w="1267" w:type="dxa"/>
            <w:vAlign w:val="center"/>
          </w:tcPr>
          <w:p w:rsidR="003E6734" w:rsidRDefault="00D266C4">
            <w:pPr>
              <w:jc w:val="center"/>
            </w:pPr>
            <w:r>
              <w:rPr>
                <w:color w:val="000000"/>
                <w:sz w:val="24"/>
              </w:rPr>
              <w:t>1.10%</w:t>
            </w:r>
          </w:p>
        </w:tc>
        <w:tc>
          <w:tcPr>
            <w:tcW w:w="1267" w:type="dxa"/>
            <w:vAlign w:val="center"/>
          </w:tcPr>
          <w:p w:rsidR="003E6734" w:rsidRDefault="00D266C4">
            <w:pPr>
              <w:jc w:val="center"/>
            </w:pPr>
            <w:r>
              <w:rPr>
                <w:color w:val="000000"/>
                <w:sz w:val="24"/>
              </w:rPr>
              <w:t>0.05%</w:t>
            </w:r>
          </w:p>
        </w:tc>
        <w:tc>
          <w:tcPr>
            <w:tcW w:w="1267" w:type="dxa"/>
            <w:vAlign w:val="center"/>
          </w:tcPr>
          <w:p w:rsidR="003E6734" w:rsidRDefault="00D266C4">
            <w:pPr>
              <w:jc w:val="center"/>
            </w:pPr>
            <w:r>
              <w:rPr>
                <w:color w:val="000000"/>
                <w:sz w:val="24"/>
              </w:rPr>
              <w:t>0.31%</w:t>
            </w:r>
          </w:p>
        </w:tc>
        <w:tc>
          <w:tcPr>
            <w:tcW w:w="1267" w:type="dxa"/>
            <w:vAlign w:val="center"/>
          </w:tcPr>
          <w:p w:rsidR="003E6734" w:rsidRDefault="00D266C4">
            <w:pPr>
              <w:jc w:val="center"/>
            </w:pPr>
            <w:r>
              <w:rPr>
                <w:color w:val="000000"/>
                <w:sz w:val="24"/>
              </w:rPr>
              <w:t>0.07%</w:t>
            </w:r>
          </w:p>
        </w:tc>
        <w:tc>
          <w:tcPr>
            <w:tcW w:w="1267" w:type="dxa"/>
            <w:vAlign w:val="center"/>
          </w:tcPr>
          <w:p w:rsidR="003E6734" w:rsidRDefault="00D266C4">
            <w:pPr>
              <w:jc w:val="center"/>
            </w:pPr>
            <w:r>
              <w:rPr>
                <w:color w:val="000000"/>
                <w:sz w:val="24"/>
              </w:rPr>
              <w:t>0.79%</w:t>
            </w:r>
          </w:p>
        </w:tc>
        <w:tc>
          <w:tcPr>
            <w:tcW w:w="1267" w:type="dxa"/>
            <w:vAlign w:val="center"/>
          </w:tcPr>
          <w:p w:rsidR="003E6734" w:rsidRDefault="00D266C4">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E6734">
        <w:trPr>
          <w:jc w:val="center"/>
        </w:trPr>
        <w:tc>
          <w:tcPr>
            <w:tcW w:w="1266" w:type="dxa"/>
            <w:vAlign w:val="center"/>
          </w:tcPr>
          <w:p w:rsidR="003E6734" w:rsidRDefault="00D266C4">
            <w:pPr>
              <w:jc w:val="left"/>
            </w:pPr>
            <w:r>
              <w:rPr>
                <w:color w:val="000000"/>
                <w:sz w:val="24"/>
              </w:rPr>
              <w:t>过去三个月</w:t>
            </w:r>
          </w:p>
        </w:tc>
        <w:tc>
          <w:tcPr>
            <w:tcW w:w="1267" w:type="dxa"/>
            <w:vAlign w:val="center"/>
          </w:tcPr>
          <w:p w:rsidR="003E6734" w:rsidRDefault="00D266C4">
            <w:pPr>
              <w:jc w:val="center"/>
            </w:pPr>
            <w:r>
              <w:rPr>
                <w:color w:val="000000"/>
                <w:sz w:val="24"/>
              </w:rPr>
              <w:t>1.00%</w:t>
            </w:r>
          </w:p>
        </w:tc>
        <w:tc>
          <w:tcPr>
            <w:tcW w:w="1267" w:type="dxa"/>
            <w:vAlign w:val="center"/>
          </w:tcPr>
          <w:p w:rsidR="003E6734" w:rsidRDefault="00D266C4">
            <w:pPr>
              <w:jc w:val="center"/>
            </w:pPr>
            <w:r>
              <w:rPr>
                <w:color w:val="000000"/>
                <w:sz w:val="24"/>
              </w:rPr>
              <w:t>0.05%</w:t>
            </w:r>
          </w:p>
        </w:tc>
        <w:tc>
          <w:tcPr>
            <w:tcW w:w="1267" w:type="dxa"/>
            <w:vAlign w:val="center"/>
          </w:tcPr>
          <w:p w:rsidR="003E6734" w:rsidRDefault="00D266C4">
            <w:pPr>
              <w:jc w:val="center"/>
            </w:pPr>
            <w:r>
              <w:rPr>
                <w:color w:val="000000"/>
                <w:sz w:val="24"/>
              </w:rPr>
              <w:t>0.31%</w:t>
            </w:r>
          </w:p>
        </w:tc>
        <w:tc>
          <w:tcPr>
            <w:tcW w:w="1267" w:type="dxa"/>
            <w:vAlign w:val="center"/>
          </w:tcPr>
          <w:p w:rsidR="003E6734" w:rsidRDefault="00D266C4">
            <w:pPr>
              <w:jc w:val="center"/>
            </w:pPr>
            <w:r>
              <w:rPr>
                <w:color w:val="000000"/>
                <w:sz w:val="24"/>
              </w:rPr>
              <w:t>0.07%</w:t>
            </w:r>
          </w:p>
        </w:tc>
        <w:tc>
          <w:tcPr>
            <w:tcW w:w="1267" w:type="dxa"/>
            <w:vAlign w:val="center"/>
          </w:tcPr>
          <w:p w:rsidR="003E6734" w:rsidRDefault="00D266C4">
            <w:pPr>
              <w:jc w:val="center"/>
            </w:pPr>
            <w:r>
              <w:rPr>
                <w:color w:val="000000"/>
                <w:sz w:val="24"/>
              </w:rPr>
              <w:t>0.69%</w:t>
            </w:r>
          </w:p>
        </w:tc>
        <w:tc>
          <w:tcPr>
            <w:tcW w:w="1267" w:type="dxa"/>
            <w:vAlign w:val="center"/>
          </w:tcPr>
          <w:p w:rsidR="003E6734" w:rsidRDefault="00D266C4">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0C54AB" w:rsidRDefault="000C54AB" w:rsidP="007C14DF">
      <w:pPr>
        <w:pStyle w:val="20"/>
        <w:spacing w:before="29" w:line="288" w:lineRule="auto"/>
        <w:ind w:firstLineChars="0" w:firstLine="0"/>
        <w:jc w:val="center"/>
        <w:rPr>
          <w:rFonts w:ascii="Times New Roman" w:eastAsiaTheme="minorEastAsia" w:hAnsi="Times New Roman"/>
          <w:noProof/>
          <w:color w:val="000000"/>
        </w:rPr>
      </w:pPr>
      <w:r w:rsidRPr="000C54AB">
        <w:rPr>
          <w:rFonts w:ascii="Times New Roman" w:eastAsiaTheme="minorEastAsia" w:hAnsi="Times New Roman"/>
          <w:noProof/>
          <w:color w:val="000000"/>
        </w:rPr>
        <w:drawing>
          <wp:inline distT="0" distB="0" distL="0" distR="0">
            <wp:extent cx="5731510" cy="3356610"/>
            <wp:effectExtent l="19050" t="0" r="254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807B81" w:rsidRPr="007F52FA" w:rsidRDefault="00807B81" w:rsidP="007C14DF">
      <w:pPr>
        <w:pStyle w:val="20"/>
        <w:spacing w:before="29" w:line="288" w:lineRule="auto"/>
        <w:ind w:firstLineChars="0" w:firstLine="0"/>
        <w:jc w:val="center"/>
        <w:rPr>
          <w:rFonts w:ascii="Times New Roman" w:eastAsiaTheme="minorEastAsia" w:hAnsi="Times New Roman"/>
          <w:color w:val="000000"/>
        </w:rPr>
      </w:pP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0C54AB" w:rsidRDefault="000C54AB" w:rsidP="007C14DF">
      <w:pPr>
        <w:pStyle w:val="20"/>
        <w:spacing w:before="29" w:line="288" w:lineRule="auto"/>
        <w:ind w:firstLineChars="0" w:firstLine="0"/>
        <w:jc w:val="center"/>
        <w:rPr>
          <w:rFonts w:ascii="Times New Roman" w:eastAsiaTheme="minorEastAsia" w:hAnsi="Times New Roman"/>
          <w:noProof/>
          <w:color w:val="000000"/>
        </w:rPr>
      </w:pPr>
      <w:r w:rsidRPr="000C54AB">
        <w:rPr>
          <w:rFonts w:ascii="Times New Roman" w:eastAsiaTheme="minorEastAsia" w:hAnsi="Times New Roman"/>
          <w:noProof/>
          <w:color w:val="000000"/>
        </w:rPr>
        <w:drawing>
          <wp:inline distT="0" distB="0" distL="0" distR="0">
            <wp:extent cx="5731510" cy="3356610"/>
            <wp:effectExtent l="19050" t="0" r="2540" b="0"/>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238DB" w:rsidRPr="007F52FA" w:rsidRDefault="009238DB" w:rsidP="000C54A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E6734">
        <w:trPr>
          <w:jc w:val="center"/>
        </w:trPr>
        <w:tc>
          <w:tcPr>
            <w:tcW w:w="946" w:type="dxa"/>
            <w:vAlign w:val="center"/>
          </w:tcPr>
          <w:p w:rsidR="003E6734" w:rsidRDefault="00D266C4">
            <w:pPr>
              <w:jc w:val="center"/>
            </w:pPr>
            <w:r>
              <w:rPr>
                <w:color w:val="000000"/>
                <w:sz w:val="24"/>
              </w:rPr>
              <w:t>黄莹洁</w:t>
            </w:r>
          </w:p>
        </w:tc>
        <w:tc>
          <w:tcPr>
            <w:tcW w:w="924" w:type="dxa"/>
            <w:vAlign w:val="center"/>
          </w:tcPr>
          <w:p w:rsidR="003E6734" w:rsidRDefault="00D266C4">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202" w:type="dxa"/>
            <w:vAlign w:val="center"/>
          </w:tcPr>
          <w:p w:rsidR="003E6734" w:rsidRDefault="00D266C4">
            <w:pPr>
              <w:jc w:val="center"/>
            </w:pPr>
            <w:r>
              <w:rPr>
                <w:color w:val="000000"/>
                <w:sz w:val="24"/>
              </w:rPr>
              <w:t>2015-12-29</w:t>
            </w:r>
          </w:p>
        </w:tc>
        <w:tc>
          <w:tcPr>
            <w:tcW w:w="1300" w:type="dxa"/>
            <w:vAlign w:val="center"/>
          </w:tcPr>
          <w:p w:rsidR="003E6734" w:rsidRDefault="00D266C4">
            <w:pPr>
              <w:jc w:val="center"/>
            </w:pPr>
            <w:r>
              <w:rPr>
                <w:color w:val="000000"/>
                <w:sz w:val="24"/>
              </w:rPr>
              <w:t>-</w:t>
            </w:r>
          </w:p>
        </w:tc>
        <w:tc>
          <w:tcPr>
            <w:tcW w:w="1245" w:type="dxa"/>
            <w:vAlign w:val="center"/>
          </w:tcPr>
          <w:p w:rsidR="003E6734" w:rsidRDefault="00D266C4">
            <w:pPr>
              <w:jc w:val="center"/>
            </w:pPr>
            <w:r>
              <w:rPr>
                <w:color w:val="000000"/>
                <w:sz w:val="24"/>
              </w:rPr>
              <w:t>8</w:t>
            </w:r>
            <w:r>
              <w:rPr>
                <w:color w:val="000000"/>
                <w:sz w:val="24"/>
              </w:rPr>
              <w:t>年</w:t>
            </w:r>
          </w:p>
        </w:tc>
        <w:tc>
          <w:tcPr>
            <w:tcW w:w="3251" w:type="dxa"/>
            <w:vAlign w:val="center"/>
          </w:tcPr>
          <w:p w:rsidR="003E6734" w:rsidRDefault="00D266C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3E6734">
        <w:trPr>
          <w:jc w:val="center"/>
        </w:trPr>
        <w:tc>
          <w:tcPr>
            <w:tcW w:w="946" w:type="dxa"/>
            <w:vAlign w:val="center"/>
          </w:tcPr>
          <w:p w:rsidR="003E6734" w:rsidRDefault="00D266C4">
            <w:pPr>
              <w:jc w:val="center"/>
            </w:pPr>
            <w:r>
              <w:rPr>
                <w:color w:val="000000"/>
                <w:sz w:val="24"/>
              </w:rPr>
              <w:t>章妍</w:t>
            </w:r>
          </w:p>
        </w:tc>
        <w:tc>
          <w:tcPr>
            <w:tcW w:w="924" w:type="dxa"/>
            <w:vAlign w:val="center"/>
          </w:tcPr>
          <w:p w:rsidR="003E6734" w:rsidRDefault="00D266C4">
            <w:pPr>
              <w:jc w:val="center"/>
            </w:pPr>
            <w:r>
              <w:rPr>
                <w:color w:val="000000"/>
                <w:sz w:val="24"/>
              </w:rPr>
              <w:t>交银荣泰保本混合、交银裕通纯债债券的基金经理</w:t>
            </w:r>
          </w:p>
        </w:tc>
        <w:tc>
          <w:tcPr>
            <w:tcW w:w="1202" w:type="dxa"/>
            <w:vAlign w:val="center"/>
          </w:tcPr>
          <w:p w:rsidR="003E6734" w:rsidRDefault="00D266C4">
            <w:pPr>
              <w:jc w:val="center"/>
            </w:pPr>
            <w:r>
              <w:rPr>
                <w:color w:val="000000"/>
                <w:sz w:val="24"/>
              </w:rPr>
              <w:t>2016-01-09</w:t>
            </w:r>
          </w:p>
        </w:tc>
        <w:tc>
          <w:tcPr>
            <w:tcW w:w="1300" w:type="dxa"/>
            <w:vAlign w:val="center"/>
          </w:tcPr>
          <w:p w:rsidR="003E6734" w:rsidRDefault="00D266C4">
            <w:pPr>
              <w:jc w:val="center"/>
            </w:pPr>
            <w:r>
              <w:rPr>
                <w:color w:val="000000"/>
                <w:sz w:val="24"/>
              </w:rPr>
              <w:t>-</w:t>
            </w:r>
          </w:p>
        </w:tc>
        <w:tc>
          <w:tcPr>
            <w:tcW w:w="1245" w:type="dxa"/>
            <w:vAlign w:val="center"/>
          </w:tcPr>
          <w:p w:rsidR="003E6734" w:rsidRDefault="00D266C4">
            <w:pPr>
              <w:jc w:val="center"/>
            </w:pPr>
            <w:r>
              <w:rPr>
                <w:color w:val="000000"/>
                <w:sz w:val="24"/>
              </w:rPr>
              <w:t>1</w:t>
            </w:r>
            <w:r>
              <w:rPr>
                <w:color w:val="000000"/>
                <w:sz w:val="24"/>
              </w:rPr>
              <w:t>年</w:t>
            </w:r>
          </w:p>
        </w:tc>
        <w:tc>
          <w:tcPr>
            <w:tcW w:w="3251" w:type="dxa"/>
            <w:vAlign w:val="center"/>
          </w:tcPr>
          <w:p w:rsidR="003E6734" w:rsidRDefault="00D266C4">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E6734" w:rsidRDefault="00D266C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E6734" w:rsidRDefault="00D266C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E6734" w:rsidRDefault="00D266C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922DCE" w:rsidRPr="00922DCE" w:rsidRDefault="00922DCE"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E6734" w:rsidRDefault="00D266C4">
      <w:pPr>
        <w:spacing w:before="29" w:line="288" w:lineRule="auto"/>
        <w:ind w:firstLineChars="200" w:firstLine="480"/>
        <w:rPr>
          <w:color w:val="000000"/>
          <w:sz w:val="24"/>
        </w:rPr>
      </w:pPr>
      <w:r>
        <w:rPr>
          <w:color w:val="000000"/>
          <w:sz w:val="24"/>
        </w:rPr>
        <w:t>2016</w:t>
      </w:r>
      <w:r>
        <w:rPr>
          <w:color w:val="000000"/>
          <w:sz w:val="24"/>
        </w:rPr>
        <w:t>年一季度美国加息预期再次延后，</w:t>
      </w:r>
      <w:r>
        <w:rPr>
          <w:color w:val="000000"/>
          <w:sz w:val="24"/>
        </w:rPr>
        <w:t>PMI</w:t>
      </w:r>
      <w:r>
        <w:rPr>
          <w:color w:val="000000"/>
          <w:sz w:val="24"/>
        </w:rPr>
        <w:t>数据明显回升，国内一季度经济出现明显改善，食品价格轮番上涨导致通胀预期显著回升，货币政策趋于稳健，季末银行间资金收紧。国内债券市场一季度呈震荡分化走势，受市场对经济短期企稳的预期及</w:t>
      </w:r>
      <w:r>
        <w:rPr>
          <w:color w:val="000000"/>
          <w:sz w:val="24"/>
        </w:rPr>
        <w:t>CPI</w:t>
      </w:r>
      <w:r>
        <w:rPr>
          <w:color w:val="000000"/>
          <w:sz w:val="24"/>
        </w:rPr>
        <w:t>上升等因素影响，长期利率债利率震荡上行，但受旺盛的配置需求推动，短端信用债利率一路下行，利率曲线变陡，信用利差变窄。本基金维持中性久期高等级信用债的配置，对信用风险和利率风险都有较好的防御性。</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二季度为了对冲汇率市场波动引起的外汇流出，以及降低实体经济融资成本，预计央行还会保持适度宽松的货币政策。金融体系流动性充足，对债券仍有一定的配置需求。二季度经济可能继续企稳，目前利率水平为多年来的低点，市场心态脆弱，未来市场波动风险将明显加大。本基金二季度考虑视情况维持中性偏短久期，继续维持高等级信用债的主体仓位，以审慎的操作风格应对债券市场可能的波动。同时密切跟踪高频数据，等待长久期信用债和利率债的交易性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1.011</w:t>
      </w:r>
      <w:r w:rsidRPr="007F52FA">
        <w:rPr>
          <w:color w:val="000000"/>
          <w:sz w:val="24"/>
        </w:rPr>
        <w:t>元，本报告期份额净值增长率为</w:t>
      </w:r>
      <w:r w:rsidRPr="007F52FA">
        <w:rPr>
          <w:color w:val="000000"/>
          <w:sz w:val="24"/>
        </w:rPr>
        <w:t>1.10%</w:t>
      </w:r>
      <w:r w:rsidRPr="007F52FA">
        <w:rPr>
          <w:color w:val="000000"/>
          <w:sz w:val="24"/>
        </w:rPr>
        <w:t>，同期业绩比较基准增长率为</w:t>
      </w:r>
      <w:r w:rsidRPr="007F52FA">
        <w:rPr>
          <w:color w:val="000000"/>
          <w:sz w:val="24"/>
        </w:rPr>
        <w:t>0.31%</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1.010</w:t>
      </w:r>
      <w:r w:rsidRPr="007F52FA">
        <w:rPr>
          <w:color w:val="000000"/>
          <w:sz w:val="24"/>
        </w:rPr>
        <w:t>元，本报告期份额净值增长率为</w:t>
      </w:r>
      <w:r w:rsidRPr="007F52FA">
        <w:rPr>
          <w:color w:val="000000"/>
          <w:sz w:val="24"/>
        </w:rPr>
        <w:t>1.00%</w:t>
      </w:r>
      <w:r w:rsidRPr="007F52FA">
        <w:rPr>
          <w:color w:val="000000"/>
          <w:sz w:val="24"/>
        </w:rPr>
        <w:t>，同期业绩比较基准增长率为</w:t>
      </w:r>
      <w:r w:rsidRPr="007F52FA">
        <w:rPr>
          <w:color w:val="000000"/>
          <w:sz w:val="24"/>
        </w:rPr>
        <w:t>0.31%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0C54A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1,752,145,765.41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1,752,145,765.41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11,773,545.81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38,106,907.14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1,802,026,218.36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41D52" w:rsidRPr="00141D52" w:rsidRDefault="00141D52"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r w:rsidRPr="00141D52">
        <w:rPr>
          <w:rFonts w:eastAsiaTheme="minorEastAsia" w:hint="eastAsia"/>
          <w:b/>
          <w:color w:val="000000"/>
          <w:kern w:val="0"/>
          <w:sz w:val="24"/>
        </w:rPr>
        <w:t>5.2.2</w:t>
      </w:r>
      <w:bookmarkEnd w:id="0"/>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31,365,675.00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80,754,000.00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80,754,000.00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223,101,090.41</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800,376,000.00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46.16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616,549,000.00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35.56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1,752,145,765.41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E6734">
        <w:trPr>
          <w:jc w:val="center"/>
        </w:trPr>
        <w:tc>
          <w:tcPr>
            <w:tcW w:w="1075" w:type="dxa"/>
            <w:vAlign w:val="center"/>
          </w:tcPr>
          <w:p w:rsidR="003E6734" w:rsidRDefault="00D266C4">
            <w:pPr>
              <w:jc w:val="center"/>
            </w:pPr>
            <w:r>
              <w:rPr>
                <w:color w:val="000000"/>
                <w:sz w:val="24"/>
              </w:rPr>
              <w:t>1</w:t>
            </w:r>
          </w:p>
        </w:tc>
        <w:tc>
          <w:tcPr>
            <w:tcW w:w="1533" w:type="dxa"/>
            <w:vAlign w:val="center"/>
          </w:tcPr>
          <w:p w:rsidR="003E6734" w:rsidRDefault="00D266C4">
            <w:pPr>
              <w:jc w:val="center"/>
            </w:pPr>
            <w:r>
              <w:rPr>
                <w:color w:val="000000"/>
                <w:sz w:val="24"/>
              </w:rPr>
              <w:t>1628001</w:t>
            </w:r>
          </w:p>
        </w:tc>
        <w:tc>
          <w:tcPr>
            <w:tcW w:w="1533" w:type="dxa"/>
            <w:vAlign w:val="center"/>
          </w:tcPr>
          <w:p w:rsidR="003E6734" w:rsidRDefault="00D266C4">
            <w:pPr>
              <w:jc w:val="center"/>
            </w:pPr>
            <w:r>
              <w:rPr>
                <w:color w:val="000000"/>
                <w:sz w:val="24"/>
              </w:rPr>
              <w:t>16</w:t>
            </w:r>
            <w:r>
              <w:rPr>
                <w:color w:val="000000"/>
                <w:sz w:val="24"/>
              </w:rPr>
              <w:t>浦发绿色金融债</w:t>
            </w:r>
            <w:r>
              <w:rPr>
                <w:color w:val="000000"/>
                <w:sz w:val="24"/>
              </w:rPr>
              <w:t>01</w:t>
            </w:r>
          </w:p>
        </w:tc>
        <w:tc>
          <w:tcPr>
            <w:tcW w:w="1394" w:type="dxa"/>
            <w:vAlign w:val="center"/>
          </w:tcPr>
          <w:p w:rsidR="003E6734" w:rsidRDefault="00D266C4">
            <w:pPr>
              <w:jc w:val="right"/>
            </w:pPr>
            <w:r>
              <w:rPr>
                <w:color w:val="000000"/>
                <w:sz w:val="24"/>
              </w:rPr>
              <w:t>1,500,000</w:t>
            </w:r>
          </w:p>
        </w:tc>
        <w:tc>
          <w:tcPr>
            <w:tcW w:w="1944" w:type="dxa"/>
            <w:vAlign w:val="center"/>
          </w:tcPr>
          <w:p w:rsidR="003E6734" w:rsidRDefault="00D266C4">
            <w:pPr>
              <w:jc w:val="right"/>
            </w:pPr>
            <w:r>
              <w:rPr>
                <w:color w:val="000000"/>
                <w:sz w:val="24"/>
              </w:rPr>
              <w:t>148,935,000.00</w:t>
            </w:r>
          </w:p>
        </w:tc>
        <w:tc>
          <w:tcPr>
            <w:tcW w:w="1389" w:type="dxa"/>
            <w:vAlign w:val="center"/>
          </w:tcPr>
          <w:p w:rsidR="003E6734" w:rsidRDefault="00D266C4">
            <w:pPr>
              <w:jc w:val="right"/>
            </w:pPr>
            <w:r>
              <w:rPr>
                <w:color w:val="000000"/>
                <w:sz w:val="24"/>
              </w:rPr>
              <w:t>8.59</w:t>
            </w:r>
          </w:p>
        </w:tc>
      </w:tr>
      <w:tr w:rsidR="003E6734">
        <w:trPr>
          <w:jc w:val="center"/>
        </w:trPr>
        <w:tc>
          <w:tcPr>
            <w:tcW w:w="1075" w:type="dxa"/>
            <w:vAlign w:val="center"/>
          </w:tcPr>
          <w:p w:rsidR="003E6734" w:rsidRDefault="00D266C4">
            <w:pPr>
              <w:jc w:val="center"/>
            </w:pPr>
            <w:r>
              <w:rPr>
                <w:color w:val="000000"/>
                <w:sz w:val="24"/>
              </w:rPr>
              <w:t>2</w:t>
            </w:r>
          </w:p>
        </w:tc>
        <w:tc>
          <w:tcPr>
            <w:tcW w:w="1533" w:type="dxa"/>
            <w:vAlign w:val="center"/>
          </w:tcPr>
          <w:p w:rsidR="003E6734" w:rsidRDefault="00D266C4">
            <w:pPr>
              <w:jc w:val="center"/>
            </w:pPr>
            <w:r>
              <w:rPr>
                <w:color w:val="000000"/>
                <w:sz w:val="24"/>
              </w:rPr>
              <w:t>101551107</w:t>
            </w:r>
          </w:p>
        </w:tc>
        <w:tc>
          <w:tcPr>
            <w:tcW w:w="1533" w:type="dxa"/>
            <w:vAlign w:val="center"/>
          </w:tcPr>
          <w:p w:rsidR="003E6734" w:rsidRDefault="00D266C4">
            <w:pPr>
              <w:jc w:val="center"/>
            </w:pPr>
            <w:r>
              <w:rPr>
                <w:color w:val="000000"/>
                <w:sz w:val="24"/>
              </w:rPr>
              <w:t>15</w:t>
            </w:r>
            <w:r>
              <w:rPr>
                <w:color w:val="000000"/>
                <w:sz w:val="24"/>
              </w:rPr>
              <w:t>百联集</w:t>
            </w:r>
            <w:r>
              <w:rPr>
                <w:color w:val="000000"/>
                <w:sz w:val="24"/>
              </w:rPr>
              <w:t>MTN001</w:t>
            </w:r>
          </w:p>
        </w:tc>
        <w:tc>
          <w:tcPr>
            <w:tcW w:w="1394" w:type="dxa"/>
            <w:vAlign w:val="center"/>
          </w:tcPr>
          <w:p w:rsidR="003E6734" w:rsidRDefault="00D266C4">
            <w:pPr>
              <w:jc w:val="right"/>
            </w:pPr>
            <w:r>
              <w:rPr>
                <w:color w:val="000000"/>
                <w:sz w:val="24"/>
              </w:rPr>
              <w:t>1,000,000</w:t>
            </w:r>
          </w:p>
        </w:tc>
        <w:tc>
          <w:tcPr>
            <w:tcW w:w="1944" w:type="dxa"/>
            <w:vAlign w:val="center"/>
          </w:tcPr>
          <w:p w:rsidR="003E6734" w:rsidRDefault="00D266C4">
            <w:pPr>
              <w:jc w:val="right"/>
            </w:pPr>
            <w:r>
              <w:rPr>
                <w:color w:val="000000"/>
                <w:sz w:val="24"/>
              </w:rPr>
              <w:t>101,000,000.00</w:t>
            </w:r>
          </w:p>
        </w:tc>
        <w:tc>
          <w:tcPr>
            <w:tcW w:w="1389" w:type="dxa"/>
            <w:vAlign w:val="center"/>
          </w:tcPr>
          <w:p w:rsidR="003E6734" w:rsidRDefault="00D266C4">
            <w:pPr>
              <w:jc w:val="right"/>
            </w:pPr>
            <w:r>
              <w:rPr>
                <w:color w:val="000000"/>
                <w:sz w:val="24"/>
              </w:rPr>
              <w:t>5.82</w:t>
            </w:r>
          </w:p>
        </w:tc>
      </w:tr>
      <w:tr w:rsidR="003E6734">
        <w:trPr>
          <w:jc w:val="center"/>
        </w:trPr>
        <w:tc>
          <w:tcPr>
            <w:tcW w:w="1075" w:type="dxa"/>
            <w:vAlign w:val="center"/>
          </w:tcPr>
          <w:p w:rsidR="003E6734" w:rsidRDefault="00D266C4">
            <w:pPr>
              <w:jc w:val="center"/>
            </w:pPr>
            <w:r>
              <w:rPr>
                <w:color w:val="000000"/>
                <w:sz w:val="24"/>
              </w:rPr>
              <w:t>3</w:t>
            </w:r>
          </w:p>
        </w:tc>
        <w:tc>
          <w:tcPr>
            <w:tcW w:w="1533" w:type="dxa"/>
            <w:vAlign w:val="center"/>
          </w:tcPr>
          <w:p w:rsidR="003E6734" w:rsidRDefault="00D266C4">
            <w:pPr>
              <w:jc w:val="center"/>
            </w:pPr>
            <w:r>
              <w:rPr>
                <w:color w:val="000000"/>
                <w:sz w:val="24"/>
              </w:rPr>
              <w:t>101556062</w:t>
            </w:r>
          </w:p>
        </w:tc>
        <w:tc>
          <w:tcPr>
            <w:tcW w:w="1533" w:type="dxa"/>
            <w:vAlign w:val="center"/>
          </w:tcPr>
          <w:p w:rsidR="003E6734" w:rsidRDefault="00D266C4">
            <w:pPr>
              <w:jc w:val="center"/>
            </w:pPr>
            <w:r>
              <w:rPr>
                <w:color w:val="000000"/>
                <w:sz w:val="24"/>
              </w:rPr>
              <w:t>15</w:t>
            </w:r>
            <w:r>
              <w:rPr>
                <w:color w:val="000000"/>
                <w:sz w:val="24"/>
              </w:rPr>
              <w:t>吉林高速</w:t>
            </w:r>
            <w:r>
              <w:rPr>
                <w:color w:val="000000"/>
                <w:sz w:val="24"/>
              </w:rPr>
              <w:t>MTN001</w:t>
            </w:r>
          </w:p>
        </w:tc>
        <w:tc>
          <w:tcPr>
            <w:tcW w:w="1394" w:type="dxa"/>
            <w:vAlign w:val="center"/>
          </w:tcPr>
          <w:p w:rsidR="003E6734" w:rsidRDefault="00D266C4">
            <w:pPr>
              <w:jc w:val="right"/>
            </w:pPr>
            <w:r>
              <w:rPr>
                <w:color w:val="000000"/>
                <w:sz w:val="24"/>
              </w:rPr>
              <w:t>1,000,000</w:t>
            </w:r>
          </w:p>
        </w:tc>
        <w:tc>
          <w:tcPr>
            <w:tcW w:w="1944" w:type="dxa"/>
            <w:vAlign w:val="center"/>
          </w:tcPr>
          <w:p w:rsidR="003E6734" w:rsidRDefault="00D266C4">
            <w:pPr>
              <w:jc w:val="right"/>
            </w:pPr>
            <w:r>
              <w:rPr>
                <w:color w:val="000000"/>
                <w:sz w:val="24"/>
              </w:rPr>
              <w:t>100,990,000.00</w:t>
            </w:r>
          </w:p>
        </w:tc>
        <w:tc>
          <w:tcPr>
            <w:tcW w:w="1389" w:type="dxa"/>
            <w:vAlign w:val="center"/>
          </w:tcPr>
          <w:p w:rsidR="003E6734" w:rsidRDefault="00D266C4">
            <w:pPr>
              <w:jc w:val="right"/>
            </w:pPr>
            <w:r>
              <w:rPr>
                <w:color w:val="000000"/>
                <w:sz w:val="24"/>
              </w:rPr>
              <w:t>5.82</w:t>
            </w:r>
          </w:p>
        </w:tc>
      </w:tr>
      <w:tr w:rsidR="003E6734">
        <w:trPr>
          <w:jc w:val="center"/>
        </w:trPr>
        <w:tc>
          <w:tcPr>
            <w:tcW w:w="1075" w:type="dxa"/>
            <w:vAlign w:val="center"/>
          </w:tcPr>
          <w:p w:rsidR="003E6734" w:rsidRDefault="00D266C4">
            <w:pPr>
              <w:jc w:val="center"/>
            </w:pPr>
            <w:r>
              <w:rPr>
                <w:color w:val="000000"/>
                <w:sz w:val="24"/>
              </w:rPr>
              <w:t>4</w:t>
            </w:r>
          </w:p>
        </w:tc>
        <w:tc>
          <w:tcPr>
            <w:tcW w:w="1533" w:type="dxa"/>
            <w:vAlign w:val="center"/>
          </w:tcPr>
          <w:p w:rsidR="003E6734" w:rsidRDefault="00D266C4">
            <w:pPr>
              <w:jc w:val="center"/>
            </w:pPr>
            <w:r>
              <w:rPr>
                <w:color w:val="000000"/>
                <w:sz w:val="24"/>
              </w:rPr>
              <w:t>1182277</w:t>
            </w:r>
          </w:p>
        </w:tc>
        <w:tc>
          <w:tcPr>
            <w:tcW w:w="1533" w:type="dxa"/>
            <w:vAlign w:val="center"/>
          </w:tcPr>
          <w:p w:rsidR="003E6734" w:rsidRDefault="00D266C4">
            <w:pPr>
              <w:jc w:val="center"/>
            </w:pPr>
            <w:r>
              <w:rPr>
                <w:color w:val="000000"/>
                <w:sz w:val="24"/>
              </w:rPr>
              <w:t>11</w:t>
            </w:r>
            <w:r>
              <w:rPr>
                <w:color w:val="000000"/>
                <w:sz w:val="24"/>
              </w:rPr>
              <w:t>中铁建</w:t>
            </w:r>
            <w:r>
              <w:rPr>
                <w:color w:val="000000"/>
                <w:sz w:val="24"/>
              </w:rPr>
              <w:t>MTN1</w:t>
            </w:r>
          </w:p>
        </w:tc>
        <w:tc>
          <w:tcPr>
            <w:tcW w:w="1394" w:type="dxa"/>
            <w:vAlign w:val="center"/>
          </w:tcPr>
          <w:p w:rsidR="003E6734" w:rsidRDefault="00D266C4">
            <w:pPr>
              <w:jc w:val="right"/>
            </w:pPr>
            <w:r>
              <w:rPr>
                <w:color w:val="000000"/>
                <w:sz w:val="24"/>
              </w:rPr>
              <w:t>600,000</w:t>
            </w:r>
          </w:p>
        </w:tc>
        <w:tc>
          <w:tcPr>
            <w:tcW w:w="1944" w:type="dxa"/>
            <w:vAlign w:val="center"/>
          </w:tcPr>
          <w:p w:rsidR="003E6734" w:rsidRDefault="00D266C4">
            <w:pPr>
              <w:jc w:val="right"/>
            </w:pPr>
            <w:r>
              <w:rPr>
                <w:color w:val="000000"/>
                <w:sz w:val="24"/>
              </w:rPr>
              <w:t>64,884,000.00</w:t>
            </w:r>
          </w:p>
        </w:tc>
        <w:tc>
          <w:tcPr>
            <w:tcW w:w="1389" w:type="dxa"/>
            <w:vAlign w:val="center"/>
          </w:tcPr>
          <w:p w:rsidR="003E6734" w:rsidRDefault="00D266C4">
            <w:pPr>
              <w:jc w:val="right"/>
            </w:pPr>
            <w:r>
              <w:rPr>
                <w:color w:val="000000"/>
                <w:sz w:val="24"/>
              </w:rPr>
              <w:t>3.74</w:t>
            </w:r>
          </w:p>
        </w:tc>
      </w:tr>
      <w:tr w:rsidR="003E6734">
        <w:trPr>
          <w:jc w:val="center"/>
        </w:trPr>
        <w:tc>
          <w:tcPr>
            <w:tcW w:w="1075" w:type="dxa"/>
            <w:vAlign w:val="center"/>
          </w:tcPr>
          <w:p w:rsidR="003E6734" w:rsidRDefault="00D266C4">
            <w:pPr>
              <w:jc w:val="center"/>
            </w:pPr>
            <w:r>
              <w:rPr>
                <w:color w:val="000000"/>
                <w:sz w:val="24"/>
              </w:rPr>
              <w:t>5</w:t>
            </w:r>
          </w:p>
        </w:tc>
        <w:tc>
          <w:tcPr>
            <w:tcW w:w="1533" w:type="dxa"/>
            <w:vAlign w:val="center"/>
          </w:tcPr>
          <w:p w:rsidR="003E6734" w:rsidRDefault="00D266C4">
            <w:pPr>
              <w:jc w:val="center"/>
            </w:pPr>
            <w:r>
              <w:rPr>
                <w:color w:val="000000"/>
                <w:sz w:val="24"/>
              </w:rPr>
              <w:t>101552044</w:t>
            </w:r>
          </w:p>
        </w:tc>
        <w:tc>
          <w:tcPr>
            <w:tcW w:w="1533" w:type="dxa"/>
            <w:vAlign w:val="center"/>
          </w:tcPr>
          <w:p w:rsidR="003E6734" w:rsidRDefault="00D266C4">
            <w:pPr>
              <w:jc w:val="center"/>
            </w:pPr>
            <w:r>
              <w:rPr>
                <w:color w:val="000000"/>
                <w:sz w:val="24"/>
              </w:rPr>
              <w:t>15</w:t>
            </w:r>
            <w:r>
              <w:rPr>
                <w:color w:val="000000"/>
                <w:sz w:val="24"/>
              </w:rPr>
              <w:t>华润万家</w:t>
            </w:r>
            <w:r>
              <w:rPr>
                <w:color w:val="000000"/>
                <w:sz w:val="24"/>
              </w:rPr>
              <w:t>MTN001</w:t>
            </w:r>
          </w:p>
        </w:tc>
        <w:tc>
          <w:tcPr>
            <w:tcW w:w="1394" w:type="dxa"/>
            <w:vAlign w:val="center"/>
          </w:tcPr>
          <w:p w:rsidR="003E6734" w:rsidRDefault="00D266C4">
            <w:pPr>
              <w:jc w:val="right"/>
            </w:pPr>
            <w:r>
              <w:rPr>
                <w:color w:val="000000"/>
                <w:sz w:val="24"/>
              </w:rPr>
              <w:t>600,000</w:t>
            </w:r>
          </w:p>
        </w:tc>
        <w:tc>
          <w:tcPr>
            <w:tcW w:w="1944" w:type="dxa"/>
            <w:vAlign w:val="center"/>
          </w:tcPr>
          <w:p w:rsidR="003E6734" w:rsidRDefault="00D266C4">
            <w:pPr>
              <w:jc w:val="right"/>
            </w:pPr>
            <w:r>
              <w:rPr>
                <w:color w:val="000000"/>
                <w:sz w:val="24"/>
              </w:rPr>
              <w:t>61,128,000.00</w:t>
            </w:r>
          </w:p>
        </w:tc>
        <w:tc>
          <w:tcPr>
            <w:tcW w:w="1389" w:type="dxa"/>
            <w:vAlign w:val="center"/>
          </w:tcPr>
          <w:p w:rsidR="003E6734" w:rsidRDefault="00D266C4">
            <w:pPr>
              <w:jc w:val="right"/>
            </w:pPr>
            <w:r>
              <w:rPr>
                <w:color w:val="000000"/>
                <w:sz w:val="24"/>
              </w:rPr>
              <w:t>3.53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11,509.97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27,200,000.00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10,895,397.17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38,106,907.14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587C0E" w:rsidRDefault="00587C0E" w:rsidP="00587C0E">
      <w:pPr>
        <w:autoSpaceDE w:val="0"/>
        <w:autoSpaceDN w:val="0"/>
        <w:spacing w:before="29" w:line="288" w:lineRule="auto"/>
        <w:rPr>
          <w:kern w:val="0"/>
          <w:sz w:val="24"/>
        </w:rPr>
      </w:pPr>
      <w:r>
        <w:rPr>
          <w:rFonts w:ascii="宋体" w:hAnsi="宋体" w:hint="eastAsia"/>
          <w:sz w:val="24"/>
        </w:rPr>
        <w:t>本基金本报告期末未持有股票。</w:t>
      </w:r>
    </w:p>
    <w:p w:rsidR="001D5CD0" w:rsidRPr="00587C0E"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0C54A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D266C4">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D266C4">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219,894,175.38</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1,383,161.98</w:t>
            </w:r>
          </w:p>
        </w:tc>
      </w:tr>
      <w:tr w:rsidR="00936D40" w:rsidRPr="007F52FA" w:rsidTr="00D266C4">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1,493,720,928.71</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349,210.85</w:t>
            </w:r>
          </w:p>
        </w:tc>
      </w:tr>
      <w:tr w:rsidR="00936D40" w:rsidRPr="007F52FA" w:rsidTr="00D266C4">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117,532.74</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119,853.46</w:t>
            </w:r>
          </w:p>
        </w:tc>
      </w:tr>
      <w:tr w:rsidR="00936D40" w:rsidRPr="007F52FA" w:rsidTr="00D266C4">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D266C4">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1,713,497,571.35</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1,612,519.37</w:t>
            </w:r>
          </w:p>
        </w:tc>
      </w:tr>
    </w:tbl>
    <w:p w:rsidR="00D266C4" w:rsidRDefault="00D266C4" w:rsidP="00D266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D266C4" w:rsidRPr="00414345" w:rsidRDefault="00D266C4" w:rsidP="00D266C4">
      <w:pPr>
        <w:autoSpaceDE w:val="0"/>
        <w:autoSpaceDN w:val="0"/>
        <w:adjustRightInd w:val="0"/>
        <w:spacing w:before="29" w:line="288" w:lineRule="auto"/>
        <w:jc w:val="left"/>
        <w:rPr>
          <w:color w:val="000000"/>
          <w:sz w:val="24"/>
        </w:rPr>
      </w:pPr>
      <w:r w:rsidRPr="00414345">
        <w:rPr>
          <w:color w:val="000000"/>
          <w:sz w:val="24"/>
        </w:rPr>
        <w:t xml:space="preserve">    2</w:t>
      </w:r>
      <w:r w:rsidRPr="00414345">
        <w:rPr>
          <w:color w:val="000000"/>
          <w:sz w:val="24"/>
        </w:rPr>
        <w:t>、如果本报告期间发生转换出业务，则总赎回份额中包含该业务。</w:t>
      </w:r>
    </w:p>
    <w:p w:rsidR="00426568" w:rsidRPr="00D266C4"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0C54A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C54A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3E6734" w:rsidRDefault="00D266C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3E6734">
      <w:rPr>
        <w:kern w:val="0"/>
        <w:szCs w:val="21"/>
      </w:rPr>
      <w:fldChar w:fldCharType="begin"/>
    </w:r>
    <w:r>
      <w:rPr>
        <w:kern w:val="0"/>
        <w:szCs w:val="21"/>
      </w:rPr>
      <w:instrText xml:space="preserve"> PAGE </w:instrText>
    </w:r>
    <w:r w:rsidR="003E6734">
      <w:rPr>
        <w:kern w:val="0"/>
        <w:szCs w:val="21"/>
      </w:rPr>
      <w:fldChar w:fldCharType="separate"/>
    </w:r>
    <w:r w:rsidR="00141D52">
      <w:rPr>
        <w:noProof/>
        <w:kern w:val="0"/>
        <w:szCs w:val="21"/>
      </w:rPr>
      <w:t>8</w:t>
    </w:r>
    <w:r w:rsidR="003E6734">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E6734">
      <w:rPr>
        <w:kern w:val="0"/>
        <w:szCs w:val="21"/>
      </w:rPr>
      <w:fldChar w:fldCharType="begin"/>
    </w:r>
    <w:r>
      <w:rPr>
        <w:kern w:val="0"/>
        <w:szCs w:val="21"/>
      </w:rPr>
      <w:instrText xml:space="preserve"> NUMPAGES </w:instrText>
    </w:r>
    <w:r w:rsidR="003E6734">
      <w:rPr>
        <w:kern w:val="0"/>
        <w:szCs w:val="21"/>
      </w:rPr>
      <w:fldChar w:fldCharType="separate"/>
    </w:r>
    <w:r w:rsidR="00141D52">
      <w:rPr>
        <w:noProof/>
        <w:kern w:val="0"/>
        <w:szCs w:val="21"/>
      </w:rPr>
      <w:t>12</w:t>
    </w:r>
    <w:r w:rsidR="003E6734">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E673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41D5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4AB"/>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1D52"/>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734"/>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87C0E"/>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2DCE"/>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42EE"/>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6C4"/>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EB809AC-C497-463C-8490-0AAE8E40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List Paragraph"/>
    <w:basedOn w:val="a"/>
    <w:uiPriority w:val="34"/>
    <w:qFormat/>
    <w:rsid w:val="000C54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68400806">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0F96-10B9-405F-B296-39E45C7F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203</TotalTime>
  <Pages>12</Pages>
  <Words>990</Words>
  <Characters>5648</Characters>
  <Application>Microsoft Office Word</Application>
  <DocSecurity>0</DocSecurity>
  <Lines>47</Lines>
  <Paragraphs>13</Paragraphs>
  <ScaleCrop>false</ScaleCrop>
  <Company>TRT. Ltd. Co.</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2016-04-18T15:06:00Z</dcterms:modified>
</cp:coreProperties>
</file>