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D561E" w:rsidRDefault="00EC40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1,600,334,821.15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4085" w:rsidRPr="00414345" w:rsidTr="00EC40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C4085" w:rsidRPr="00414345" w:rsidTr="00EC40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-110,613,983.69</w:t>
            </w:r>
          </w:p>
        </w:tc>
      </w:tr>
      <w:tr w:rsidR="00EC4085" w:rsidRPr="00414345" w:rsidTr="00EC40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-285,143,411.57</w:t>
            </w:r>
          </w:p>
        </w:tc>
      </w:tr>
      <w:tr w:rsidR="00EC4085" w:rsidRPr="00414345" w:rsidTr="00EC40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-0.1679</w:t>
            </w:r>
          </w:p>
        </w:tc>
      </w:tr>
      <w:tr w:rsidR="00EC4085" w:rsidRPr="00414345" w:rsidTr="00EC40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1,467,504,850.93</w:t>
            </w:r>
          </w:p>
        </w:tc>
      </w:tr>
      <w:tr w:rsidR="00EC4085" w:rsidRPr="00414345" w:rsidTr="00EC40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0.917</w:t>
            </w:r>
          </w:p>
        </w:tc>
      </w:tr>
    </w:tbl>
    <w:p w:rsidR="001D561E" w:rsidRDefault="00EC40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EC4085">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D561E">
        <w:trPr>
          <w:jc w:val="center"/>
        </w:trPr>
        <w:tc>
          <w:tcPr>
            <w:tcW w:w="1701" w:type="dxa"/>
            <w:vAlign w:val="center"/>
          </w:tcPr>
          <w:p w:rsidR="001D561E" w:rsidRDefault="00EC4085">
            <w:pPr>
              <w:jc w:val="left"/>
            </w:pPr>
            <w:r>
              <w:rPr>
                <w:color w:val="000000"/>
                <w:sz w:val="24"/>
                <w:szCs w:val="24"/>
              </w:rPr>
              <w:t>过去三个月</w:t>
            </w:r>
          </w:p>
        </w:tc>
        <w:tc>
          <w:tcPr>
            <w:tcW w:w="1045" w:type="dxa"/>
            <w:vAlign w:val="center"/>
          </w:tcPr>
          <w:p w:rsidR="001D561E" w:rsidRDefault="00EC4085">
            <w:pPr>
              <w:jc w:val="center"/>
            </w:pPr>
            <w:r>
              <w:rPr>
                <w:color w:val="000000"/>
                <w:sz w:val="24"/>
                <w:szCs w:val="24"/>
              </w:rPr>
              <w:t>-15.64%</w:t>
            </w:r>
          </w:p>
        </w:tc>
        <w:tc>
          <w:tcPr>
            <w:tcW w:w="1344" w:type="dxa"/>
            <w:vAlign w:val="center"/>
          </w:tcPr>
          <w:p w:rsidR="001D561E" w:rsidRDefault="00EC4085">
            <w:pPr>
              <w:jc w:val="center"/>
            </w:pPr>
            <w:r>
              <w:rPr>
                <w:color w:val="000000"/>
                <w:sz w:val="24"/>
                <w:szCs w:val="24"/>
              </w:rPr>
              <w:t>2.80%</w:t>
            </w:r>
          </w:p>
        </w:tc>
        <w:tc>
          <w:tcPr>
            <w:tcW w:w="1194" w:type="dxa"/>
            <w:vAlign w:val="center"/>
          </w:tcPr>
          <w:p w:rsidR="001D561E" w:rsidRDefault="00EC4085">
            <w:pPr>
              <w:jc w:val="center"/>
            </w:pPr>
            <w:r>
              <w:rPr>
                <w:color w:val="000000"/>
                <w:sz w:val="24"/>
                <w:szCs w:val="24"/>
              </w:rPr>
              <w:t>-7.67%</w:t>
            </w:r>
          </w:p>
        </w:tc>
        <w:tc>
          <w:tcPr>
            <w:tcW w:w="1492" w:type="dxa"/>
            <w:vAlign w:val="center"/>
          </w:tcPr>
          <w:p w:rsidR="001D561E" w:rsidRDefault="00EC4085">
            <w:pPr>
              <w:jc w:val="center"/>
            </w:pPr>
            <w:r>
              <w:rPr>
                <w:color w:val="000000"/>
                <w:sz w:val="24"/>
                <w:szCs w:val="24"/>
              </w:rPr>
              <w:t>1.46%</w:t>
            </w:r>
          </w:p>
        </w:tc>
        <w:tc>
          <w:tcPr>
            <w:tcW w:w="1194" w:type="dxa"/>
            <w:vAlign w:val="center"/>
          </w:tcPr>
          <w:p w:rsidR="001D561E" w:rsidRDefault="00EC4085">
            <w:pPr>
              <w:jc w:val="center"/>
            </w:pPr>
            <w:r>
              <w:rPr>
                <w:color w:val="000000"/>
                <w:sz w:val="24"/>
                <w:szCs w:val="24"/>
              </w:rPr>
              <w:t>-7.97%</w:t>
            </w:r>
          </w:p>
        </w:tc>
        <w:tc>
          <w:tcPr>
            <w:tcW w:w="898" w:type="dxa"/>
            <w:vAlign w:val="center"/>
          </w:tcPr>
          <w:p w:rsidR="001D561E" w:rsidRDefault="00EC4085">
            <w:pPr>
              <w:jc w:val="center"/>
            </w:pPr>
            <w:r>
              <w:rPr>
                <w:color w:val="000000"/>
                <w:sz w:val="24"/>
                <w:szCs w:val="24"/>
              </w:rPr>
              <w:t>1.34%</w:t>
            </w:r>
          </w:p>
        </w:tc>
      </w:tr>
    </w:tbl>
    <w:p w:rsidR="00EC4085" w:rsidRDefault="00EC4085" w:rsidP="00EC4085">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“60%×</w:t>
      </w:r>
      <w:r>
        <w:rPr>
          <w:rFonts w:hint="eastAsia"/>
          <w:color w:val="000000"/>
          <w:sz w:val="24"/>
          <w:szCs w:val="24"/>
        </w:rPr>
        <w:t>沪深</w:t>
      </w:r>
      <w:r>
        <w:rPr>
          <w:color w:val="000000"/>
          <w:sz w:val="24"/>
          <w:szCs w:val="24"/>
        </w:rPr>
        <w:t>300</w:t>
      </w:r>
      <w:r>
        <w:rPr>
          <w:rFonts w:hint="eastAsia"/>
          <w:color w:val="000000"/>
          <w:sz w:val="24"/>
          <w:szCs w:val="24"/>
        </w:rPr>
        <w:t>指数</w:t>
      </w:r>
      <w:r>
        <w:rPr>
          <w:color w:val="000000"/>
          <w:sz w:val="24"/>
          <w:szCs w:val="24"/>
        </w:rPr>
        <w:t>+40%×</w:t>
      </w:r>
      <w:r>
        <w:rPr>
          <w:rFonts w:hint="eastAsia"/>
          <w:color w:val="000000"/>
          <w:sz w:val="24"/>
          <w:szCs w:val="24"/>
        </w:rPr>
        <w:t>中信标普全债指数</w:t>
      </w:r>
      <w:r>
        <w:rPr>
          <w:color w:val="000000"/>
          <w:sz w:val="24"/>
          <w:szCs w:val="24"/>
        </w:rPr>
        <w:t>”</w:t>
      </w:r>
      <w:r>
        <w:rPr>
          <w:rFonts w:hint="eastAsia"/>
          <w:color w:val="000000"/>
          <w:sz w:val="24"/>
          <w:szCs w:val="24"/>
        </w:rPr>
        <w:t>变更为</w:t>
      </w:r>
      <w:r>
        <w:rPr>
          <w:color w:val="000000"/>
          <w:sz w:val="24"/>
          <w:szCs w:val="24"/>
        </w:rPr>
        <w:t>“60%×</w:t>
      </w:r>
      <w:r>
        <w:rPr>
          <w:rFonts w:hint="eastAsia"/>
          <w:color w:val="000000"/>
          <w:sz w:val="24"/>
          <w:szCs w:val="24"/>
        </w:rPr>
        <w:t>沪深</w:t>
      </w:r>
      <w:r>
        <w:rPr>
          <w:color w:val="000000"/>
          <w:sz w:val="24"/>
          <w:szCs w:val="24"/>
        </w:rPr>
        <w:t>300</w:t>
      </w:r>
      <w:r>
        <w:rPr>
          <w:rFonts w:hint="eastAsia"/>
          <w:color w:val="000000"/>
          <w:sz w:val="24"/>
          <w:szCs w:val="24"/>
        </w:rPr>
        <w:t>指数</w:t>
      </w:r>
      <w:r>
        <w:rPr>
          <w:color w:val="000000"/>
          <w:sz w:val="24"/>
          <w:szCs w:val="24"/>
        </w:rPr>
        <w:t>+40%×</w:t>
      </w:r>
      <w:r>
        <w:rPr>
          <w:rFonts w:hint="eastAsia"/>
          <w:color w:val="000000"/>
          <w:sz w:val="24"/>
          <w:szCs w:val="24"/>
        </w:rPr>
        <w:t>中证综合债券指数</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EC408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10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D561E">
        <w:trPr>
          <w:jc w:val="center"/>
        </w:trPr>
        <w:tc>
          <w:tcPr>
            <w:tcW w:w="846" w:type="dxa"/>
            <w:vAlign w:val="center"/>
          </w:tcPr>
          <w:p w:rsidR="001D561E" w:rsidRDefault="00EC4085">
            <w:pPr>
              <w:jc w:val="center"/>
            </w:pPr>
            <w:r>
              <w:rPr>
                <w:color w:val="000000"/>
                <w:sz w:val="24"/>
                <w:szCs w:val="24"/>
              </w:rPr>
              <w:t>沈楠</w:t>
            </w:r>
          </w:p>
        </w:tc>
        <w:tc>
          <w:tcPr>
            <w:tcW w:w="845" w:type="dxa"/>
            <w:vAlign w:val="center"/>
          </w:tcPr>
          <w:p w:rsidR="001D561E" w:rsidRDefault="00EC4085">
            <w:pPr>
              <w:jc w:val="center"/>
            </w:pPr>
            <w:r>
              <w:rPr>
                <w:color w:val="000000"/>
                <w:sz w:val="24"/>
                <w:szCs w:val="24"/>
              </w:rPr>
              <w:t>交银主题优选混合、交银国企改革灵活配置混合的基金经理</w:t>
            </w:r>
          </w:p>
        </w:tc>
        <w:tc>
          <w:tcPr>
            <w:tcW w:w="1549" w:type="dxa"/>
            <w:vAlign w:val="center"/>
          </w:tcPr>
          <w:p w:rsidR="001D561E" w:rsidRDefault="00EC4085">
            <w:pPr>
              <w:jc w:val="center"/>
            </w:pPr>
            <w:r>
              <w:rPr>
                <w:color w:val="000000"/>
                <w:sz w:val="24"/>
                <w:szCs w:val="24"/>
              </w:rPr>
              <w:t>2015-06-10</w:t>
            </w:r>
          </w:p>
        </w:tc>
        <w:tc>
          <w:tcPr>
            <w:tcW w:w="1548" w:type="dxa"/>
            <w:vAlign w:val="center"/>
          </w:tcPr>
          <w:p w:rsidR="001D561E" w:rsidRDefault="00EC4085">
            <w:pPr>
              <w:jc w:val="center"/>
            </w:pPr>
            <w:r>
              <w:rPr>
                <w:color w:val="000000"/>
                <w:sz w:val="24"/>
                <w:szCs w:val="24"/>
              </w:rPr>
              <w:t>-</w:t>
            </w:r>
          </w:p>
        </w:tc>
        <w:tc>
          <w:tcPr>
            <w:tcW w:w="1407" w:type="dxa"/>
            <w:vAlign w:val="center"/>
          </w:tcPr>
          <w:p w:rsidR="001D561E" w:rsidRDefault="00EC4085">
            <w:pPr>
              <w:jc w:val="center"/>
            </w:pPr>
            <w:r>
              <w:rPr>
                <w:color w:val="000000"/>
                <w:sz w:val="24"/>
                <w:szCs w:val="24"/>
              </w:rPr>
              <w:t>7</w:t>
            </w:r>
            <w:r>
              <w:rPr>
                <w:color w:val="000000"/>
                <w:sz w:val="24"/>
                <w:szCs w:val="24"/>
              </w:rPr>
              <w:t>年</w:t>
            </w:r>
          </w:p>
        </w:tc>
        <w:tc>
          <w:tcPr>
            <w:tcW w:w="2673" w:type="dxa"/>
            <w:vAlign w:val="center"/>
          </w:tcPr>
          <w:p w:rsidR="001D561E" w:rsidRDefault="00EC4085">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D561E" w:rsidRDefault="00EC40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D561E" w:rsidRDefault="00EC40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D561E" w:rsidRDefault="00EC408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bookmarkStart w:id="0" w:name="_GoBack"/>
    </w:p>
    <w:bookmarkEnd w:id="0"/>
    <w:p w:rsidR="00EC4085" w:rsidRPr="00414345" w:rsidRDefault="00EC4085"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D561E" w:rsidRDefault="00EC4085">
      <w:pPr>
        <w:spacing w:before="29" w:line="288" w:lineRule="auto"/>
        <w:ind w:firstLineChars="200" w:firstLine="480"/>
        <w:rPr>
          <w:color w:val="000000"/>
          <w:sz w:val="24"/>
          <w:szCs w:val="24"/>
        </w:rPr>
      </w:pPr>
      <w:r>
        <w:rPr>
          <w:color w:val="000000"/>
          <w:sz w:val="24"/>
          <w:szCs w:val="24"/>
        </w:rPr>
        <w:t>一季度，整体宏观经济未来的企稳预期有所增强，部分中观行业增速出现改善，食品、大宗工业品等价格持续回升，通胀预期有所抬头。目前货币政策进一步保持宽松，但随着一线地产价格暴涨，分化的监管压力加大。监管部门对加杠杆或纯粹资金推动的市场仍然保持警惕。不少上市公司通过兼并、收购、重组等改善自身发展前景，这打造了新的增长极，并给市场注入信心。</w:t>
      </w:r>
      <w:r>
        <w:rPr>
          <w:color w:val="000000"/>
          <w:sz w:val="24"/>
          <w:szCs w:val="24"/>
        </w:rPr>
        <w:t>2016</w:t>
      </w:r>
      <w:r>
        <w:rPr>
          <w:color w:val="000000"/>
          <w:sz w:val="24"/>
          <w:szCs w:val="24"/>
        </w:rPr>
        <w:t>年年初市场经历大幅下跌后，很多个股估值已经较为合理并具备一定投资价值。随着中央国有企业改革相关方案和地方指导意见的陆续推出，各地国企将持续推动改革进程同时开展供给侧改革的配套战略。</w:t>
      </w:r>
    </w:p>
    <w:p w:rsidR="001D561E" w:rsidRDefault="00EC4085">
      <w:pPr>
        <w:spacing w:before="29" w:line="288" w:lineRule="auto"/>
        <w:ind w:firstLineChars="200" w:firstLine="480"/>
        <w:rPr>
          <w:color w:val="000000"/>
          <w:sz w:val="24"/>
          <w:szCs w:val="24"/>
        </w:rPr>
      </w:pPr>
      <w:r>
        <w:rPr>
          <w:color w:val="000000"/>
          <w:sz w:val="24"/>
          <w:szCs w:val="24"/>
        </w:rPr>
        <w:t>本基金于</w:t>
      </w:r>
      <w:r>
        <w:rPr>
          <w:color w:val="000000"/>
          <w:sz w:val="24"/>
          <w:szCs w:val="24"/>
        </w:rPr>
        <w:t>2015</w:t>
      </w:r>
      <w:r>
        <w:rPr>
          <w:color w:val="000000"/>
          <w:sz w:val="24"/>
          <w:szCs w:val="24"/>
        </w:rPr>
        <w:t>年年底结束建仓期时主动提高仓位，同时</w:t>
      </w:r>
      <w:r>
        <w:rPr>
          <w:color w:val="000000"/>
          <w:sz w:val="24"/>
          <w:szCs w:val="24"/>
        </w:rPr>
        <w:t>2016</w:t>
      </w:r>
      <w:r>
        <w:rPr>
          <w:color w:val="000000"/>
          <w:sz w:val="24"/>
          <w:szCs w:val="24"/>
        </w:rPr>
        <w:t>年年初由于遭遇持续较大额度赎回被动仓位也有所提高，因而在</w:t>
      </w:r>
      <w:r>
        <w:rPr>
          <w:color w:val="000000"/>
          <w:sz w:val="24"/>
          <w:szCs w:val="24"/>
        </w:rPr>
        <w:t>2016</w:t>
      </w:r>
      <w:r>
        <w:rPr>
          <w:color w:val="000000"/>
          <w:sz w:val="24"/>
          <w:szCs w:val="24"/>
        </w:rPr>
        <w:t>年年初的市场大跌中净值有所损失。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一方面，我们认为国内产业创新方向不变，相关国企也将更多融入这一产业浪潮，另一方面国企改革顶层设计方案推出后，更多细则和地方配套有望逐步落实，我们调研认为各地企业集团的改革方案有望继续推进，其中蕴含着不少投资机会。我们对接下来整体</w:t>
      </w:r>
      <w:r w:rsidRPr="00414345">
        <w:rPr>
          <w:color w:val="000000"/>
          <w:sz w:val="24"/>
          <w:szCs w:val="24"/>
        </w:rPr>
        <w:t>A</w:t>
      </w:r>
      <w:r w:rsidRPr="00414345">
        <w:rPr>
          <w:color w:val="000000"/>
          <w:sz w:val="24"/>
          <w:szCs w:val="24"/>
        </w:rPr>
        <w:t>股市场保持谨慎乐观的看法。本基金将综合判断政策出台的节奏，以及可能的突破口，更多投资于自身出现积极变化和受益整体国企改革进程的上市公司。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0.917</w:t>
      </w:r>
      <w:r w:rsidRPr="00414345">
        <w:rPr>
          <w:color w:val="000000"/>
          <w:sz w:val="24"/>
          <w:szCs w:val="24"/>
        </w:rPr>
        <w:t>元，本报告期份额净值增长率为</w:t>
      </w:r>
      <w:r w:rsidRPr="00414345">
        <w:rPr>
          <w:color w:val="000000"/>
          <w:sz w:val="24"/>
          <w:szCs w:val="24"/>
        </w:rPr>
        <w:t>-15.64%</w:t>
      </w:r>
      <w:r w:rsidRPr="00414345">
        <w:rPr>
          <w:color w:val="000000"/>
          <w:sz w:val="24"/>
          <w:szCs w:val="24"/>
        </w:rPr>
        <w:t>，同期业绩比较基准增长率为</w:t>
      </w:r>
      <w:r w:rsidRPr="00414345">
        <w:rPr>
          <w:color w:val="000000"/>
          <w:sz w:val="24"/>
          <w:szCs w:val="24"/>
        </w:rPr>
        <w:t>-7.67%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1,054,423,597.11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1,054,423,597.11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275,920,753.90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17.66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131,726,827.88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70,051,733.39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1,562,152,912.28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24,354,000.00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510,223,350.94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93,665,355.80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39,415,872.00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108,553,065.11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10,217,836.33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70,170,869.38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38,310,992.85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69,331,758.27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15,831,420.00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46,022,703.27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249,473.16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28,076,900.00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1,054,423,597.11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D561E">
        <w:trPr>
          <w:jc w:val="center"/>
        </w:trPr>
        <w:tc>
          <w:tcPr>
            <w:tcW w:w="855" w:type="dxa"/>
            <w:vAlign w:val="center"/>
          </w:tcPr>
          <w:p w:rsidR="001D561E" w:rsidRDefault="00EC4085">
            <w:pPr>
              <w:jc w:val="center"/>
            </w:pPr>
            <w:r>
              <w:rPr>
                <w:color w:val="000000"/>
                <w:sz w:val="24"/>
                <w:szCs w:val="24"/>
              </w:rPr>
              <w:t>1</w:t>
            </w:r>
          </w:p>
        </w:tc>
        <w:tc>
          <w:tcPr>
            <w:tcW w:w="1334" w:type="dxa"/>
            <w:vAlign w:val="center"/>
          </w:tcPr>
          <w:p w:rsidR="001D561E" w:rsidRDefault="00EC4085">
            <w:pPr>
              <w:jc w:val="center"/>
            </w:pPr>
            <w:r>
              <w:rPr>
                <w:color w:val="000000"/>
                <w:sz w:val="24"/>
                <w:szCs w:val="24"/>
              </w:rPr>
              <w:t>300161</w:t>
            </w:r>
          </w:p>
        </w:tc>
        <w:tc>
          <w:tcPr>
            <w:tcW w:w="1777" w:type="dxa"/>
            <w:vAlign w:val="center"/>
          </w:tcPr>
          <w:p w:rsidR="001D561E" w:rsidRDefault="00EC4085">
            <w:pPr>
              <w:jc w:val="center"/>
            </w:pPr>
            <w:r>
              <w:rPr>
                <w:color w:val="000000"/>
                <w:sz w:val="24"/>
                <w:szCs w:val="24"/>
              </w:rPr>
              <w:t>华中数控</w:t>
            </w:r>
          </w:p>
        </w:tc>
        <w:tc>
          <w:tcPr>
            <w:tcW w:w="1334" w:type="dxa"/>
            <w:vAlign w:val="center"/>
          </w:tcPr>
          <w:p w:rsidR="001D561E" w:rsidRDefault="00EC4085">
            <w:pPr>
              <w:jc w:val="right"/>
            </w:pPr>
            <w:r>
              <w:rPr>
                <w:color w:val="000000"/>
                <w:sz w:val="24"/>
                <w:szCs w:val="24"/>
              </w:rPr>
              <w:t>2,069,316</w:t>
            </w:r>
          </w:p>
        </w:tc>
        <w:tc>
          <w:tcPr>
            <w:tcW w:w="1924" w:type="dxa"/>
            <w:vAlign w:val="center"/>
          </w:tcPr>
          <w:p w:rsidR="001D561E" w:rsidRDefault="00EC4085">
            <w:pPr>
              <w:jc w:val="right"/>
            </w:pPr>
            <w:r>
              <w:rPr>
                <w:color w:val="000000"/>
                <w:sz w:val="24"/>
                <w:szCs w:val="24"/>
              </w:rPr>
              <w:t>47,594,268.00</w:t>
            </w:r>
          </w:p>
        </w:tc>
        <w:tc>
          <w:tcPr>
            <w:tcW w:w="1644" w:type="dxa"/>
            <w:vAlign w:val="center"/>
          </w:tcPr>
          <w:p w:rsidR="001D561E" w:rsidRDefault="00EC4085">
            <w:pPr>
              <w:jc w:val="right"/>
            </w:pPr>
            <w:r>
              <w:rPr>
                <w:color w:val="000000"/>
                <w:sz w:val="24"/>
                <w:szCs w:val="24"/>
              </w:rPr>
              <w:t>3.24</w:t>
            </w:r>
          </w:p>
        </w:tc>
      </w:tr>
      <w:tr w:rsidR="001D561E">
        <w:trPr>
          <w:jc w:val="center"/>
        </w:trPr>
        <w:tc>
          <w:tcPr>
            <w:tcW w:w="855" w:type="dxa"/>
            <w:vAlign w:val="center"/>
          </w:tcPr>
          <w:p w:rsidR="001D561E" w:rsidRDefault="00EC4085">
            <w:pPr>
              <w:jc w:val="center"/>
            </w:pPr>
            <w:r>
              <w:rPr>
                <w:color w:val="000000"/>
                <w:sz w:val="24"/>
                <w:szCs w:val="24"/>
              </w:rPr>
              <w:t>2</w:t>
            </w:r>
          </w:p>
        </w:tc>
        <w:tc>
          <w:tcPr>
            <w:tcW w:w="1334" w:type="dxa"/>
            <w:vAlign w:val="center"/>
          </w:tcPr>
          <w:p w:rsidR="001D561E" w:rsidRDefault="00EC4085">
            <w:pPr>
              <w:jc w:val="center"/>
            </w:pPr>
            <w:r>
              <w:rPr>
                <w:color w:val="000000"/>
                <w:sz w:val="24"/>
                <w:szCs w:val="24"/>
              </w:rPr>
              <w:t>600674</w:t>
            </w:r>
          </w:p>
        </w:tc>
        <w:tc>
          <w:tcPr>
            <w:tcW w:w="1777" w:type="dxa"/>
            <w:vAlign w:val="center"/>
          </w:tcPr>
          <w:p w:rsidR="001D561E" w:rsidRDefault="00EC4085">
            <w:pPr>
              <w:jc w:val="center"/>
            </w:pPr>
            <w:r>
              <w:rPr>
                <w:color w:val="000000"/>
                <w:sz w:val="24"/>
                <w:szCs w:val="24"/>
              </w:rPr>
              <w:t>川投能源</w:t>
            </w:r>
          </w:p>
        </w:tc>
        <w:tc>
          <w:tcPr>
            <w:tcW w:w="1334" w:type="dxa"/>
            <w:vAlign w:val="center"/>
          </w:tcPr>
          <w:p w:rsidR="001D561E" w:rsidRDefault="00EC4085">
            <w:pPr>
              <w:jc w:val="right"/>
            </w:pPr>
            <w:r>
              <w:rPr>
                <w:color w:val="000000"/>
                <w:sz w:val="24"/>
                <w:szCs w:val="24"/>
              </w:rPr>
              <w:t>4,747,070</w:t>
            </w:r>
          </w:p>
        </w:tc>
        <w:tc>
          <w:tcPr>
            <w:tcW w:w="1924" w:type="dxa"/>
            <w:vAlign w:val="center"/>
          </w:tcPr>
          <w:p w:rsidR="001D561E" w:rsidRDefault="00EC4085">
            <w:pPr>
              <w:jc w:val="right"/>
            </w:pPr>
            <w:r>
              <w:rPr>
                <w:color w:val="000000"/>
                <w:sz w:val="24"/>
                <w:szCs w:val="24"/>
              </w:rPr>
              <w:t>40,587,448.50</w:t>
            </w:r>
          </w:p>
        </w:tc>
        <w:tc>
          <w:tcPr>
            <w:tcW w:w="1644" w:type="dxa"/>
            <w:vAlign w:val="center"/>
          </w:tcPr>
          <w:p w:rsidR="001D561E" w:rsidRDefault="00EC4085">
            <w:pPr>
              <w:jc w:val="right"/>
            </w:pPr>
            <w:r>
              <w:rPr>
                <w:color w:val="000000"/>
                <w:sz w:val="24"/>
                <w:szCs w:val="24"/>
              </w:rPr>
              <w:t>2.77</w:t>
            </w:r>
          </w:p>
        </w:tc>
      </w:tr>
      <w:tr w:rsidR="001D561E">
        <w:trPr>
          <w:jc w:val="center"/>
        </w:trPr>
        <w:tc>
          <w:tcPr>
            <w:tcW w:w="855" w:type="dxa"/>
            <w:vAlign w:val="center"/>
          </w:tcPr>
          <w:p w:rsidR="001D561E" w:rsidRDefault="00EC4085">
            <w:pPr>
              <w:jc w:val="center"/>
            </w:pPr>
            <w:r>
              <w:rPr>
                <w:color w:val="000000"/>
                <w:sz w:val="24"/>
                <w:szCs w:val="24"/>
              </w:rPr>
              <w:t>3</w:t>
            </w:r>
          </w:p>
        </w:tc>
        <w:tc>
          <w:tcPr>
            <w:tcW w:w="1334" w:type="dxa"/>
            <w:vAlign w:val="center"/>
          </w:tcPr>
          <w:p w:rsidR="001D561E" w:rsidRDefault="00EC4085">
            <w:pPr>
              <w:jc w:val="center"/>
            </w:pPr>
            <w:r>
              <w:rPr>
                <w:color w:val="000000"/>
                <w:sz w:val="24"/>
                <w:szCs w:val="24"/>
              </w:rPr>
              <w:t>600720</w:t>
            </w:r>
          </w:p>
        </w:tc>
        <w:tc>
          <w:tcPr>
            <w:tcW w:w="1777" w:type="dxa"/>
            <w:vAlign w:val="center"/>
          </w:tcPr>
          <w:p w:rsidR="001D561E" w:rsidRDefault="00EC4085">
            <w:pPr>
              <w:jc w:val="center"/>
            </w:pPr>
            <w:r>
              <w:rPr>
                <w:color w:val="000000"/>
                <w:sz w:val="24"/>
                <w:szCs w:val="24"/>
              </w:rPr>
              <w:t>祁连山</w:t>
            </w:r>
          </w:p>
        </w:tc>
        <w:tc>
          <w:tcPr>
            <w:tcW w:w="1334" w:type="dxa"/>
            <w:vAlign w:val="center"/>
          </w:tcPr>
          <w:p w:rsidR="001D561E" w:rsidRDefault="00EC4085">
            <w:pPr>
              <w:jc w:val="right"/>
            </w:pPr>
            <w:r>
              <w:rPr>
                <w:color w:val="000000"/>
                <w:sz w:val="24"/>
                <w:szCs w:val="24"/>
              </w:rPr>
              <w:t>5,535,576</w:t>
            </w:r>
          </w:p>
        </w:tc>
        <w:tc>
          <w:tcPr>
            <w:tcW w:w="1924" w:type="dxa"/>
            <w:vAlign w:val="center"/>
          </w:tcPr>
          <w:p w:rsidR="001D561E" w:rsidRDefault="00EC4085">
            <w:pPr>
              <w:jc w:val="right"/>
            </w:pPr>
            <w:r>
              <w:rPr>
                <w:color w:val="000000"/>
                <w:sz w:val="24"/>
                <w:szCs w:val="24"/>
              </w:rPr>
              <w:t>40,298,993.28</w:t>
            </w:r>
          </w:p>
        </w:tc>
        <w:tc>
          <w:tcPr>
            <w:tcW w:w="1644" w:type="dxa"/>
            <w:vAlign w:val="center"/>
          </w:tcPr>
          <w:p w:rsidR="001D561E" w:rsidRDefault="00EC4085">
            <w:pPr>
              <w:jc w:val="right"/>
            </w:pPr>
            <w:r>
              <w:rPr>
                <w:color w:val="000000"/>
                <w:sz w:val="24"/>
                <w:szCs w:val="24"/>
              </w:rPr>
              <w:t>2.75</w:t>
            </w:r>
          </w:p>
        </w:tc>
      </w:tr>
      <w:tr w:rsidR="001D561E">
        <w:trPr>
          <w:jc w:val="center"/>
        </w:trPr>
        <w:tc>
          <w:tcPr>
            <w:tcW w:w="855" w:type="dxa"/>
            <w:vAlign w:val="center"/>
          </w:tcPr>
          <w:p w:rsidR="001D561E" w:rsidRDefault="00EC4085">
            <w:pPr>
              <w:jc w:val="center"/>
            </w:pPr>
            <w:r>
              <w:rPr>
                <w:color w:val="000000"/>
                <w:sz w:val="24"/>
                <w:szCs w:val="24"/>
              </w:rPr>
              <w:t>4</w:t>
            </w:r>
          </w:p>
        </w:tc>
        <w:tc>
          <w:tcPr>
            <w:tcW w:w="1334" w:type="dxa"/>
            <w:vAlign w:val="center"/>
          </w:tcPr>
          <w:p w:rsidR="001D561E" w:rsidRDefault="00EC4085">
            <w:pPr>
              <w:jc w:val="center"/>
            </w:pPr>
            <w:r>
              <w:rPr>
                <w:color w:val="000000"/>
                <w:sz w:val="24"/>
                <w:szCs w:val="24"/>
              </w:rPr>
              <w:t>300212</w:t>
            </w:r>
          </w:p>
        </w:tc>
        <w:tc>
          <w:tcPr>
            <w:tcW w:w="1777" w:type="dxa"/>
            <w:vAlign w:val="center"/>
          </w:tcPr>
          <w:p w:rsidR="001D561E" w:rsidRDefault="00EC4085">
            <w:pPr>
              <w:jc w:val="center"/>
            </w:pPr>
            <w:r>
              <w:rPr>
                <w:color w:val="000000"/>
                <w:sz w:val="24"/>
                <w:szCs w:val="24"/>
              </w:rPr>
              <w:t>易华录</w:t>
            </w:r>
          </w:p>
        </w:tc>
        <w:tc>
          <w:tcPr>
            <w:tcW w:w="1334" w:type="dxa"/>
            <w:vAlign w:val="center"/>
          </w:tcPr>
          <w:p w:rsidR="001D561E" w:rsidRDefault="00EC4085">
            <w:pPr>
              <w:jc w:val="right"/>
            </w:pPr>
            <w:r>
              <w:rPr>
                <w:color w:val="000000"/>
                <w:sz w:val="24"/>
                <w:szCs w:val="24"/>
              </w:rPr>
              <w:t>1,278,863</w:t>
            </w:r>
          </w:p>
        </w:tc>
        <w:tc>
          <w:tcPr>
            <w:tcW w:w="1924" w:type="dxa"/>
            <w:vAlign w:val="center"/>
          </w:tcPr>
          <w:p w:rsidR="001D561E" w:rsidRDefault="00EC4085">
            <w:pPr>
              <w:jc w:val="right"/>
            </w:pPr>
            <w:r>
              <w:rPr>
                <w:color w:val="000000"/>
                <w:sz w:val="24"/>
                <w:szCs w:val="24"/>
              </w:rPr>
              <w:t>38,864,646.57</w:t>
            </w:r>
          </w:p>
        </w:tc>
        <w:tc>
          <w:tcPr>
            <w:tcW w:w="1644" w:type="dxa"/>
            <w:vAlign w:val="center"/>
          </w:tcPr>
          <w:p w:rsidR="001D561E" w:rsidRDefault="00EC4085">
            <w:pPr>
              <w:jc w:val="right"/>
            </w:pPr>
            <w:r>
              <w:rPr>
                <w:color w:val="000000"/>
                <w:sz w:val="24"/>
                <w:szCs w:val="24"/>
              </w:rPr>
              <w:t>2.65</w:t>
            </w:r>
          </w:p>
        </w:tc>
      </w:tr>
      <w:tr w:rsidR="001D561E">
        <w:trPr>
          <w:jc w:val="center"/>
        </w:trPr>
        <w:tc>
          <w:tcPr>
            <w:tcW w:w="855" w:type="dxa"/>
            <w:vAlign w:val="center"/>
          </w:tcPr>
          <w:p w:rsidR="001D561E" w:rsidRDefault="00EC4085">
            <w:pPr>
              <w:jc w:val="center"/>
            </w:pPr>
            <w:r>
              <w:rPr>
                <w:color w:val="000000"/>
                <w:sz w:val="24"/>
                <w:szCs w:val="24"/>
              </w:rPr>
              <w:t>5</w:t>
            </w:r>
          </w:p>
        </w:tc>
        <w:tc>
          <w:tcPr>
            <w:tcW w:w="1334" w:type="dxa"/>
            <w:vAlign w:val="center"/>
          </w:tcPr>
          <w:p w:rsidR="001D561E" w:rsidRDefault="00EC4085">
            <w:pPr>
              <w:jc w:val="center"/>
            </w:pPr>
            <w:r>
              <w:rPr>
                <w:color w:val="000000"/>
                <w:sz w:val="24"/>
                <w:szCs w:val="24"/>
              </w:rPr>
              <w:t>600826</w:t>
            </w:r>
          </w:p>
        </w:tc>
        <w:tc>
          <w:tcPr>
            <w:tcW w:w="1777" w:type="dxa"/>
            <w:vAlign w:val="center"/>
          </w:tcPr>
          <w:p w:rsidR="001D561E" w:rsidRDefault="00EC4085">
            <w:pPr>
              <w:jc w:val="center"/>
            </w:pPr>
            <w:r>
              <w:rPr>
                <w:color w:val="000000"/>
                <w:sz w:val="24"/>
                <w:szCs w:val="24"/>
              </w:rPr>
              <w:t>兰生股份</w:t>
            </w:r>
          </w:p>
        </w:tc>
        <w:tc>
          <w:tcPr>
            <w:tcW w:w="1334" w:type="dxa"/>
            <w:vAlign w:val="center"/>
          </w:tcPr>
          <w:p w:rsidR="001D561E" w:rsidRDefault="00EC4085">
            <w:pPr>
              <w:jc w:val="right"/>
            </w:pPr>
            <w:r>
              <w:rPr>
                <w:color w:val="000000"/>
                <w:sz w:val="24"/>
                <w:szCs w:val="24"/>
              </w:rPr>
              <w:t>1,285,979</w:t>
            </w:r>
          </w:p>
        </w:tc>
        <w:tc>
          <w:tcPr>
            <w:tcW w:w="1924" w:type="dxa"/>
            <w:vAlign w:val="center"/>
          </w:tcPr>
          <w:p w:rsidR="001D561E" w:rsidRDefault="00EC4085">
            <w:pPr>
              <w:jc w:val="right"/>
            </w:pPr>
            <w:r>
              <w:rPr>
                <w:color w:val="000000"/>
                <w:sz w:val="24"/>
                <w:szCs w:val="24"/>
              </w:rPr>
              <w:t>35,081,507.12</w:t>
            </w:r>
          </w:p>
        </w:tc>
        <w:tc>
          <w:tcPr>
            <w:tcW w:w="1644" w:type="dxa"/>
            <w:vAlign w:val="center"/>
          </w:tcPr>
          <w:p w:rsidR="001D561E" w:rsidRDefault="00EC4085">
            <w:pPr>
              <w:jc w:val="right"/>
            </w:pPr>
            <w:r>
              <w:rPr>
                <w:color w:val="000000"/>
                <w:sz w:val="24"/>
                <w:szCs w:val="24"/>
              </w:rPr>
              <w:t>2.39</w:t>
            </w:r>
          </w:p>
        </w:tc>
      </w:tr>
      <w:tr w:rsidR="001D561E">
        <w:trPr>
          <w:jc w:val="center"/>
        </w:trPr>
        <w:tc>
          <w:tcPr>
            <w:tcW w:w="855" w:type="dxa"/>
            <w:vAlign w:val="center"/>
          </w:tcPr>
          <w:p w:rsidR="001D561E" w:rsidRDefault="00EC4085">
            <w:pPr>
              <w:jc w:val="center"/>
            </w:pPr>
            <w:r>
              <w:rPr>
                <w:color w:val="000000"/>
                <w:sz w:val="24"/>
                <w:szCs w:val="24"/>
              </w:rPr>
              <w:t>6</w:t>
            </w:r>
          </w:p>
        </w:tc>
        <w:tc>
          <w:tcPr>
            <w:tcW w:w="1334" w:type="dxa"/>
            <w:vAlign w:val="center"/>
          </w:tcPr>
          <w:p w:rsidR="001D561E" w:rsidRDefault="00EC4085">
            <w:pPr>
              <w:jc w:val="center"/>
            </w:pPr>
            <w:r>
              <w:rPr>
                <w:color w:val="000000"/>
                <w:sz w:val="24"/>
                <w:szCs w:val="24"/>
              </w:rPr>
              <w:t>000538</w:t>
            </w:r>
          </w:p>
        </w:tc>
        <w:tc>
          <w:tcPr>
            <w:tcW w:w="1777" w:type="dxa"/>
            <w:vAlign w:val="center"/>
          </w:tcPr>
          <w:p w:rsidR="001D561E" w:rsidRDefault="00EC4085">
            <w:pPr>
              <w:jc w:val="center"/>
            </w:pPr>
            <w:r>
              <w:rPr>
                <w:color w:val="000000"/>
                <w:sz w:val="24"/>
                <w:szCs w:val="24"/>
              </w:rPr>
              <w:t>云南白药</w:t>
            </w:r>
          </w:p>
        </w:tc>
        <w:tc>
          <w:tcPr>
            <w:tcW w:w="1334" w:type="dxa"/>
            <w:vAlign w:val="center"/>
          </w:tcPr>
          <w:p w:rsidR="001D561E" w:rsidRDefault="00EC4085">
            <w:pPr>
              <w:jc w:val="right"/>
            </w:pPr>
            <w:r>
              <w:rPr>
                <w:color w:val="000000"/>
                <w:sz w:val="24"/>
                <w:szCs w:val="24"/>
              </w:rPr>
              <w:t>547,931</w:t>
            </w:r>
          </w:p>
        </w:tc>
        <w:tc>
          <w:tcPr>
            <w:tcW w:w="1924" w:type="dxa"/>
            <w:vAlign w:val="center"/>
          </w:tcPr>
          <w:p w:rsidR="001D561E" w:rsidRDefault="00EC4085">
            <w:pPr>
              <w:jc w:val="right"/>
            </w:pPr>
            <w:r>
              <w:rPr>
                <w:color w:val="000000"/>
                <w:sz w:val="24"/>
                <w:szCs w:val="24"/>
              </w:rPr>
              <w:t>33,588,170.30</w:t>
            </w:r>
          </w:p>
        </w:tc>
        <w:tc>
          <w:tcPr>
            <w:tcW w:w="1644" w:type="dxa"/>
            <w:vAlign w:val="center"/>
          </w:tcPr>
          <w:p w:rsidR="001D561E" w:rsidRDefault="00EC4085">
            <w:pPr>
              <w:jc w:val="right"/>
            </w:pPr>
            <w:r>
              <w:rPr>
                <w:color w:val="000000"/>
                <w:sz w:val="24"/>
                <w:szCs w:val="24"/>
              </w:rPr>
              <w:t>2.29</w:t>
            </w:r>
          </w:p>
        </w:tc>
      </w:tr>
      <w:tr w:rsidR="001D561E">
        <w:trPr>
          <w:jc w:val="center"/>
        </w:trPr>
        <w:tc>
          <w:tcPr>
            <w:tcW w:w="855" w:type="dxa"/>
            <w:vAlign w:val="center"/>
          </w:tcPr>
          <w:p w:rsidR="001D561E" w:rsidRDefault="00EC4085">
            <w:pPr>
              <w:jc w:val="center"/>
            </w:pPr>
            <w:r>
              <w:rPr>
                <w:color w:val="000000"/>
                <w:sz w:val="24"/>
                <w:szCs w:val="24"/>
              </w:rPr>
              <w:t>7</w:t>
            </w:r>
          </w:p>
        </w:tc>
        <w:tc>
          <w:tcPr>
            <w:tcW w:w="1334" w:type="dxa"/>
            <w:vAlign w:val="center"/>
          </w:tcPr>
          <w:p w:rsidR="001D561E" w:rsidRDefault="00EC4085">
            <w:pPr>
              <w:jc w:val="center"/>
            </w:pPr>
            <w:r>
              <w:rPr>
                <w:color w:val="000000"/>
                <w:sz w:val="24"/>
                <w:szCs w:val="24"/>
              </w:rPr>
              <w:t>300279</w:t>
            </w:r>
          </w:p>
        </w:tc>
        <w:tc>
          <w:tcPr>
            <w:tcW w:w="1777" w:type="dxa"/>
            <w:vAlign w:val="center"/>
          </w:tcPr>
          <w:p w:rsidR="001D561E" w:rsidRDefault="00EC4085">
            <w:pPr>
              <w:jc w:val="center"/>
            </w:pPr>
            <w:r>
              <w:rPr>
                <w:color w:val="000000"/>
                <w:sz w:val="24"/>
                <w:szCs w:val="24"/>
              </w:rPr>
              <w:t>和晶科技</w:t>
            </w:r>
          </w:p>
        </w:tc>
        <w:tc>
          <w:tcPr>
            <w:tcW w:w="1334" w:type="dxa"/>
            <w:vAlign w:val="center"/>
          </w:tcPr>
          <w:p w:rsidR="001D561E" w:rsidRDefault="00EC4085">
            <w:pPr>
              <w:jc w:val="right"/>
            </w:pPr>
            <w:r>
              <w:rPr>
                <w:color w:val="000000"/>
                <w:sz w:val="24"/>
                <w:szCs w:val="24"/>
              </w:rPr>
              <w:t>999,856</w:t>
            </w:r>
          </w:p>
        </w:tc>
        <w:tc>
          <w:tcPr>
            <w:tcW w:w="1924" w:type="dxa"/>
            <w:vAlign w:val="center"/>
          </w:tcPr>
          <w:p w:rsidR="001D561E" w:rsidRDefault="00EC4085">
            <w:pPr>
              <w:jc w:val="right"/>
            </w:pPr>
            <w:r>
              <w:rPr>
                <w:color w:val="000000"/>
                <w:sz w:val="24"/>
                <w:szCs w:val="24"/>
              </w:rPr>
              <w:t>32,395,334.40</w:t>
            </w:r>
          </w:p>
        </w:tc>
        <w:tc>
          <w:tcPr>
            <w:tcW w:w="1644" w:type="dxa"/>
            <w:vAlign w:val="center"/>
          </w:tcPr>
          <w:p w:rsidR="001D561E" w:rsidRDefault="00EC4085">
            <w:pPr>
              <w:jc w:val="right"/>
            </w:pPr>
            <w:r>
              <w:rPr>
                <w:color w:val="000000"/>
                <w:sz w:val="24"/>
                <w:szCs w:val="24"/>
              </w:rPr>
              <w:t>2.21</w:t>
            </w:r>
          </w:p>
        </w:tc>
      </w:tr>
      <w:tr w:rsidR="001D561E">
        <w:trPr>
          <w:jc w:val="center"/>
        </w:trPr>
        <w:tc>
          <w:tcPr>
            <w:tcW w:w="855" w:type="dxa"/>
            <w:vAlign w:val="center"/>
          </w:tcPr>
          <w:p w:rsidR="001D561E" w:rsidRDefault="00EC4085">
            <w:pPr>
              <w:jc w:val="center"/>
            </w:pPr>
            <w:r>
              <w:rPr>
                <w:color w:val="000000"/>
                <w:sz w:val="24"/>
                <w:szCs w:val="24"/>
              </w:rPr>
              <w:t>8</w:t>
            </w:r>
          </w:p>
        </w:tc>
        <w:tc>
          <w:tcPr>
            <w:tcW w:w="1334" w:type="dxa"/>
            <w:vAlign w:val="center"/>
          </w:tcPr>
          <w:p w:rsidR="001D561E" w:rsidRDefault="00EC4085">
            <w:pPr>
              <w:jc w:val="center"/>
            </w:pPr>
            <w:r>
              <w:rPr>
                <w:color w:val="000000"/>
                <w:sz w:val="24"/>
                <w:szCs w:val="24"/>
              </w:rPr>
              <w:t>600629</w:t>
            </w:r>
          </w:p>
        </w:tc>
        <w:tc>
          <w:tcPr>
            <w:tcW w:w="1777" w:type="dxa"/>
            <w:vAlign w:val="center"/>
          </w:tcPr>
          <w:p w:rsidR="001D561E" w:rsidRDefault="00EC4085">
            <w:pPr>
              <w:jc w:val="center"/>
            </w:pPr>
            <w:r>
              <w:rPr>
                <w:color w:val="000000"/>
                <w:sz w:val="24"/>
                <w:szCs w:val="24"/>
              </w:rPr>
              <w:t>华建集团</w:t>
            </w:r>
          </w:p>
        </w:tc>
        <w:tc>
          <w:tcPr>
            <w:tcW w:w="1334" w:type="dxa"/>
            <w:vAlign w:val="center"/>
          </w:tcPr>
          <w:p w:rsidR="001D561E" w:rsidRDefault="00EC4085">
            <w:pPr>
              <w:jc w:val="right"/>
            </w:pPr>
            <w:r>
              <w:rPr>
                <w:color w:val="000000"/>
                <w:sz w:val="24"/>
                <w:szCs w:val="24"/>
              </w:rPr>
              <w:t>1,899,816</w:t>
            </w:r>
          </w:p>
        </w:tc>
        <w:tc>
          <w:tcPr>
            <w:tcW w:w="1924" w:type="dxa"/>
            <w:vAlign w:val="center"/>
          </w:tcPr>
          <w:p w:rsidR="001D561E" w:rsidRDefault="00EC4085">
            <w:pPr>
              <w:jc w:val="right"/>
            </w:pPr>
            <w:r>
              <w:rPr>
                <w:color w:val="000000"/>
                <w:sz w:val="24"/>
                <w:szCs w:val="24"/>
              </w:rPr>
              <w:t>31,707,929.04</w:t>
            </w:r>
          </w:p>
        </w:tc>
        <w:tc>
          <w:tcPr>
            <w:tcW w:w="1644" w:type="dxa"/>
            <w:vAlign w:val="center"/>
          </w:tcPr>
          <w:p w:rsidR="001D561E" w:rsidRDefault="00EC4085">
            <w:pPr>
              <w:jc w:val="right"/>
            </w:pPr>
            <w:r>
              <w:rPr>
                <w:color w:val="000000"/>
                <w:sz w:val="24"/>
                <w:szCs w:val="24"/>
              </w:rPr>
              <w:t>2.16</w:t>
            </w:r>
          </w:p>
        </w:tc>
      </w:tr>
      <w:tr w:rsidR="001D561E">
        <w:trPr>
          <w:jc w:val="center"/>
        </w:trPr>
        <w:tc>
          <w:tcPr>
            <w:tcW w:w="855" w:type="dxa"/>
            <w:vAlign w:val="center"/>
          </w:tcPr>
          <w:p w:rsidR="001D561E" w:rsidRDefault="00EC4085">
            <w:pPr>
              <w:jc w:val="center"/>
            </w:pPr>
            <w:r>
              <w:rPr>
                <w:color w:val="000000"/>
                <w:sz w:val="24"/>
                <w:szCs w:val="24"/>
              </w:rPr>
              <w:t>9</w:t>
            </w:r>
          </w:p>
        </w:tc>
        <w:tc>
          <w:tcPr>
            <w:tcW w:w="1334" w:type="dxa"/>
            <w:vAlign w:val="center"/>
          </w:tcPr>
          <w:p w:rsidR="001D561E" w:rsidRDefault="00EC4085">
            <w:pPr>
              <w:jc w:val="center"/>
            </w:pPr>
            <w:r>
              <w:rPr>
                <w:color w:val="000000"/>
                <w:sz w:val="24"/>
                <w:szCs w:val="24"/>
              </w:rPr>
              <w:t>600500</w:t>
            </w:r>
          </w:p>
        </w:tc>
        <w:tc>
          <w:tcPr>
            <w:tcW w:w="1777" w:type="dxa"/>
            <w:vAlign w:val="center"/>
          </w:tcPr>
          <w:p w:rsidR="001D561E" w:rsidRDefault="00EC4085">
            <w:pPr>
              <w:jc w:val="center"/>
            </w:pPr>
            <w:r>
              <w:rPr>
                <w:color w:val="000000"/>
                <w:sz w:val="24"/>
                <w:szCs w:val="24"/>
              </w:rPr>
              <w:t>中化国际</w:t>
            </w:r>
          </w:p>
        </w:tc>
        <w:tc>
          <w:tcPr>
            <w:tcW w:w="1334" w:type="dxa"/>
            <w:vAlign w:val="center"/>
          </w:tcPr>
          <w:p w:rsidR="001D561E" w:rsidRDefault="00EC4085">
            <w:pPr>
              <w:jc w:val="right"/>
            </w:pPr>
            <w:r>
              <w:rPr>
                <w:color w:val="000000"/>
                <w:sz w:val="24"/>
                <w:szCs w:val="24"/>
              </w:rPr>
              <w:t>2,854,700</w:t>
            </w:r>
          </w:p>
        </w:tc>
        <w:tc>
          <w:tcPr>
            <w:tcW w:w="1924" w:type="dxa"/>
            <w:vAlign w:val="center"/>
          </w:tcPr>
          <w:p w:rsidR="001D561E" w:rsidRDefault="00EC4085">
            <w:pPr>
              <w:jc w:val="right"/>
            </w:pPr>
            <w:r>
              <w:rPr>
                <w:color w:val="000000"/>
                <w:sz w:val="24"/>
                <w:szCs w:val="24"/>
              </w:rPr>
              <w:t>30,174,179.00</w:t>
            </w:r>
          </w:p>
        </w:tc>
        <w:tc>
          <w:tcPr>
            <w:tcW w:w="1644" w:type="dxa"/>
            <w:vAlign w:val="center"/>
          </w:tcPr>
          <w:p w:rsidR="001D561E" w:rsidRDefault="00EC4085">
            <w:pPr>
              <w:jc w:val="right"/>
            </w:pPr>
            <w:r>
              <w:rPr>
                <w:color w:val="000000"/>
                <w:sz w:val="24"/>
                <w:szCs w:val="24"/>
              </w:rPr>
              <w:t>2.06</w:t>
            </w:r>
          </w:p>
        </w:tc>
      </w:tr>
      <w:tr w:rsidR="001D561E">
        <w:trPr>
          <w:jc w:val="center"/>
        </w:trPr>
        <w:tc>
          <w:tcPr>
            <w:tcW w:w="855" w:type="dxa"/>
            <w:vAlign w:val="center"/>
          </w:tcPr>
          <w:p w:rsidR="001D561E" w:rsidRDefault="00EC4085">
            <w:pPr>
              <w:jc w:val="center"/>
            </w:pPr>
            <w:r>
              <w:rPr>
                <w:color w:val="000000"/>
                <w:sz w:val="24"/>
                <w:szCs w:val="24"/>
              </w:rPr>
              <w:t>10</w:t>
            </w:r>
          </w:p>
        </w:tc>
        <w:tc>
          <w:tcPr>
            <w:tcW w:w="1334" w:type="dxa"/>
            <w:vAlign w:val="center"/>
          </w:tcPr>
          <w:p w:rsidR="001D561E" w:rsidRDefault="00EC4085">
            <w:pPr>
              <w:jc w:val="center"/>
            </w:pPr>
            <w:r>
              <w:rPr>
                <w:color w:val="000000"/>
                <w:sz w:val="24"/>
                <w:szCs w:val="24"/>
              </w:rPr>
              <w:t>600055</w:t>
            </w:r>
          </w:p>
        </w:tc>
        <w:tc>
          <w:tcPr>
            <w:tcW w:w="1777" w:type="dxa"/>
            <w:vAlign w:val="center"/>
          </w:tcPr>
          <w:p w:rsidR="001D561E" w:rsidRDefault="00EC4085">
            <w:pPr>
              <w:jc w:val="center"/>
            </w:pPr>
            <w:r>
              <w:rPr>
                <w:color w:val="000000"/>
                <w:sz w:val="24"/>
                <w:szCs w:val="24"/>
              </w:rPr>
              <w:t>华润万东</w:t>
            </w:r>
          </w:p>
        </w:tc>
        <w:tc>
          <w:tcPr>
            <w:tcW w:w="1334" w:type="dxa"/>
            <w:vAlign w:val="center"/>
          </w:tcPr>
          <w:p w:rsidR="001D561E" w:rsidRDefault="00EC4085">
            <w:pPr>
              <w:jc w:val="right"/>
            </w:pPr>
            <w:r>
              <w:rPr>
                <w:color w:val="000000"/>
                <w:sz w:val="24"/>
                <w:szCs w:val="24"/>
              </w:rPr>
              <w:t>1,043,327</w:t>
            </w:r>
          </w:p>
        </w:tc>
        <w:tc>
          <w:tcPr>
            <w:tcW w:w="1924" w:type="dxa"/>
            <w:vAlign w:val="center"/>
          </w:tcPr>
          <w:p w:rsidR="001D561E" w:rsidRDefault="00EC4085">
            <w:pPr>
              <w:jc w:val="right"/>
            </w:pPr>
            <w:r>
              <w:rPr>
                <w:color w:val="000000"/>
                <w:sz w:val="24"/>
                <w:szCs w:val="24"/>
              </w:rPr>
              <w:t>29,860,018.74</w:t>
            </w:r>
          </w:p>
        </w:tc>
        <w:tc>
          <w:tcPr>
            <w:tcW w:w="1644" w:type="dxa"/>
            <w:vAlign w:val="center"/>
          </w:tcPr>
          <w:p w:rsidR="001D561E" w:rsidRDefault="00EC4085">
            <w:pPr>
              <w:jc w:val="right"/>
            </w:pPr>
            <w:r>
              <w:rPr>
                <w:color w:val="000000"/>
                <w:sz w:val="24"/>
                <w:szCs w:val="24"/>
              </w:rPr>
              <w:t>2.03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D561E">
        <w:trPr>
          <w:jc w:val="center"/>
        </w:trPr>
        <w:tc>
          <w:tcPr>
            <w:tcW w:w="850" w:type="dxa"/>
            <w:vAlign w:val="center"/>
          </w:tcPr>
          <w:p w:rsidR="001D561E" w:rsidRDefault="00EC4085">
            <w:pPr>
              <w:jc w:val="center"/>
            </w:pPr>
            <w:r>
              <w:rPr>
                <w:color w:val="000000"/>
                <w:sz w:val="24"/>
                <w:szCs w:val="24"/>
              </w:rPr>
              <w:t>1</w:t>
            </w:r>
          </w:p>
        </w:tc>
        <w:tc>
          <w:tcPr>
            <w:tcW w:w="1475" w:type="dxa"/>
            <w:vAlign w:val="center"/>
          </w:tcPr>
          <w:p w:rsidR="001D561E" w:rsidRDefault="00EC4085">
            <w:pPr>
              <w:jc w:val="center"/>
            </w:pPr>
            <w:r>
              <w:rPr>
                <w:color w:val="000000"/>
                <w:sz w:val="24"/>
                <w:szCs w:val="24"/>
              </w:rPr>
              <w:t>150416</w:t>
            </w:r>
          </w:p>
        </w:tc>
        <w:tc>
          <w:tcPr>
            <w:tcW w:w="1769" w:type="dxa"/>
            <w:vAlign w:val="center"/>
          </w:tcPr>
          <w:p w:rsidR="001D561E" w:rsidRDefault="00EC4085">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1D561E" w:rsidRDefault="00EC4085">
            <w:pPr>
              <w:jc w:val="right"/>
            </w:pPr>
            <w:r>
              <w:rPr>
                <w:color w:val="000000"/>
                <w:sz w:val="24"/>
                <w:szCs w:val="24"/>
              </w:rPr>
              <w:t>300,000</w:t>
            </w:r>
          </w:p>
        </w:tc>
        <w:tc>
          <w:tcPr>
            <w:tcW w:w="2150" w:type="dxa"/>
            <w:vAlign w:val="center"/>
          </w:tcPr>
          <w:p w:rsidR="001D561E" w:rsidRDefault="00EC4085">
            <w:pPr>
              <w:jc w:val="right"/>
            </w:pPr>
            <w:r>
              <w:rPr>
                <w:color w:val="000000"/>
                <w:sz w:val="24"/>
                <w:szCs w:val="24"/>
              </w:rPr>
              <w:t>30,030,000.00</w:t>
            </w:r>
          </w:p>
        </w:tc>
        <w:tc>
          <w:tcPr>
            <w:tcW w:w="1237" w:type="dxa"/>
            <w:vAlign w:val="center"/>
          </w:tcPr>
          <w:p w:rsidR="001D561E" w:rsidRDefault="00EC4085">
            <w:pPr>
              <w:jc w:val="right"/>
            </w:pPr>
            <w:r>
              <w:rPr>
                <w:color w:val="000000"/>
                <w:sz w:val="24"/>
                <w:szCs w:val="24"/>
              </w:rPr>
              <w:t>2.05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8E1D74" w:rsidRPr="00414345">
        <w:rPr>
          <w:b/>
          <w:bCs/>
          <w:color w:val="000000"/>
          <w:kern w:val="0"/>
          <w:sz w:val="24"/>
          <w:szCs w:val="24"/>
        </w:rPr>
        <w:t xml:space="preserve"> </w:t>
      </w:r>
      <w:r w:rsidR="00A96A94" w:rsidRPr="00414345">
        <w:rPr>
          <w:b/>
          <w:bCs/>
          <w:color w:val="000000"/>
          <w:kern w:val="0"/>
          <w:sz w:val="24"/>
          <w:szCs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1D561E">
        <w:trPr>
          <w:jc w:val="center"/>
        </w:trPr>
        <w:tc>
          <w:tcPr>
            <w:tcW w:w="1478" w:type="dxa"/>
            <w:vAlign w:val="center"/>
          </w:tcPr>
          <w:p w:rsidR="001D561E" w:rsidRDefault="00EC4085">
            <w:pPr>
              <w:jc w:val="center"/>
            </w:pPr>
            <w:r>
              <w:t>IC1606</w:t>
            </w:r>
          </w:p>
        </w:tc>
        <w:tc>
          <w:tcPr>
            <w:tcW w:w="1479" w:type="dxa"/>
            <w:vAlign w:val="center"/>
          </w:tcPr>
          <w:p w:rsidR="001D561E" w:rsidRDefault="00EC4085">
            <w:pPr>
              <w:jc w:val="left"/>
            </w:pPr>
            <w:r>
              <w:t>IC1606</w:t>
            </w:r>
          </w:p>
        </w:tc>
        <w:tc>
          <w:tcPr>
            <w:tcW w:w="1479" w:type="dxa"/>
            <w:vAlign w:val="center"/>
          </w:tcPr>
          <w:p w:rsidR="001D561E" w:rsidRDefault="00EC4085">
            <w:pPr>
              <w:jc w:val="right"/>
            </w:pPr>
            <w:r>
              <w:t>35.00</w:t>
            </w:r>
          </w:p>
        </w:tc>
        <w:tc>
          <w:tcPr>
            <w:tcW w:w="1479" w:type="dxa"/>
            <w:vAlign w:val="center"/>
          </w:tcPr>
          <w:p w:rsidR="001D561E" w:rsidRDefault="00EC4085">
            <w:pPr>
              <w:jc w:val="right"/>
            </w:pPr>
            <w:r>
              <w:t>-39,876,200.00</w:t>
            </w:r>
          </w:p>
        </w:tc>
        <w:tc>
          <w:tcPr>
            <w:tcW w:w="1480" w:type="dxa"/>
            <w:vAlign w:val="center"/>
          </w:tcPr>
          <w:p w:rsidR="001D561E" w:rsidRDefault="00EC4085">
            <w:pPr>
              <w:jc w:val="right"/>
            </w:pPr>
            <w:r>
              <w:t>-411,040.00</w:t>
            </w:r>
          </w:p>
        </w:tc>
        <w:tc>
          <w:tcPr>
            <w:tcW w:w="1473" w:type="dxa"/>
            <w:vAlign w:val="center"/>
          </w:tcPr>
          <w:p w:rsidR="001D561E" w:rsidRDefault="00EC4085">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-411,040.00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2,277,200.00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-411,040.00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04308C" w:rsidRPr="00414345">
        <w:rPr>
          <w:b/>
          <w:bCs/>
          <w:color w:val="000000"/>
          <w:kern w:val="0"/>
          <w:sz w:val="24"/>
          <w:szCs w:val="24"/>
        </w:rPr>
        <w:t xml:space="preserve"> </w:t>
      </w:r>
      <w:r w:rsidR="00275745" w:rsidRPr="00414345">
        <w:rPr>
          <w:b/>
          <w:bCs/>
          <w:color w:val="000000"/>
          <w:kern w:val="0"/>
          <w:sz w:val="24"/>
          <w:szCs w:val="24"/>
        </w:rPr>
        <w:t>本基金投资股指期货的投资政策</w:t>
      </w:r>
    </w:p>
    <w:p w:rsidR="001D561E" w:rsidRDefault="00EC4085">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13,129,770.70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56,144,260.91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685,203.98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92,497.80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70,051,733.39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1,681,452,872.36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90,818,652.10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171,936,703.31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1,600,334,821.15</w:t>
            </w:r>
          </w:p>
        </w:tc>
      </w:tr>
    </w:tbl>
    <w:p w:rsidR="001D561E" w:rsidRDefault="00EC40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D561E" w:rsidRDefault="00EC40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1D561E" w:rsidRDefault="00EC40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1D561E" w:rsidRDefault="00EC408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D561E" w:rsidRDefault="00EC408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D561E" w:rsidRDefault="00EC408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D561E" w:rsidRDefault="00EC40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809E7">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809E7">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561E"/>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09E7"/>
    <w:rsid w:val="00E84C7E"/>
    <w:rsid w:val="00E85E4B"/>
    <w:rsid w:val="00E8670B"/>
    <w:rsid w:val="00EA70F1"/>
    <w:rsid w:val="00EB2516"/>
    <w:rsid w:val="00EB2C07"/>
    <w:rsid w:val="00EB572B"/>
    <w:rsid w:val="00EC14ED"/>
    <w:rsid w:val="00EC1E04"/>
    <w:rsid w:val="00EC4085"/>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DA365-562E-4566-A5E7-DA9B9EC1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563</cp:revision>
  <dcterms:created xsi:type="dcterms:W3CDTF">2012-10-16T06:07:00Z</dcterms:created>
  <dcterms:modified xsi:type="dcterms:W3CDTF">2016-04-18T06:15:00Z</dcterms:modified>
</cp:coreProperties>
</file>