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交银施罗德丰润收益债券型证券投资基金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二〇一六年四月二十日</w:t>
      </w:r>
    </w:p>
    <w:p w:rsidR="009238DB" w:rsidRPr="007F52FA" w:rsidRDefault="009238DB" w:rsidP="007F50FB">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7F31E3" w:rsidRDefault="00573D9E">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7F31E3" w:rsidRDefault="00573D9E">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7F31E3" w:rsidRDefault="00573D9E">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7F31E3" w:rsidRDefault="00573D9E">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7F31E3" w:rsidRDefault="00573D9E">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交银丰润收益债券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w:t>
            </w:r>
            <w:r w:rsidRPr="007F52FA">
              <w:rPr>
                <w:color w:val="000000"/>
                <w:kern w:val="0"/>
                <w:sz w:val="24"/>
              </w:rPr>
              <w:t>,</w:t>
            </w:r>
            <w:r w:rsidRPr="007F52FA">
              <w:rPr>
                <w:color w:val="000000"/>
                <w:kern w:val="0"/>
                <w:sz w:val="24"/>
              </w:rPr>
              <w:t>本基金在基金合同生效之日起两年（含两年）的期间内封闭式运作（按照基金合同的约定提前转换基金运作方式的除外</w:t>
            </w:r>
            <w:r w:rsidRPr="007F52FA">
              <w:rPr>
                <w:color w:val="000000"/>
                <w:kern w:val="0"/>
                <w:sz w:val="24"/>
              </w:rPr>
              <w:t>)</w:t>
            </w:r>
            <w:r w:rsidRPr="007F52FA">
              <w:rPr>
                <w:color w:val="000000"/>
                <w:kern w:val="0"/>
                <w:sz w:val="24"/>
              </w:rPr>
              <w:t>，封闭期结束后转为开放式运作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425,488,278.42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两年期银行定期存款税后收益率</w:t>
            </w:r>
            <w:r w:rsidRPr="007F52FA">
              <w:rPr>
                <w:color w:val="000000"/>
                <w:kern w:val="0"/>
                <w:sz w:val="24"/>
              </w:rPr>
              <w:t>+1.25%</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519743</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519745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402,154,039.59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23,334,238.83</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(2016</w:t>
            </w:r>
            <w:r w:rsidRPr="007F52FA">
              <w:rPr>
                <w:color w:val="000000"/>
                <w:sz w:val="24"/>
              </w:rPr>
              <w:t>年</w:t>
            </w:r>
            <w:r w:rsidRPr="007F52FA">
              <w:rPr>
                <w:color w:val="000000"/>
                <w:sz w:val="24"/>
              </w:rPr>
              <w:t>1</w:t>
            </w:r>
            <w:r w:rsidRPr="007F52FA">
              <w:rPr>
                <w:color w:val="000000"/>
                <w:sz w:val="24"/>
              </w:rPr>
              <w:t>月</w:t>
            </w:r>
            <w:r w:rsidRPr="007F52FA">
              <w:rPr>
                <w:color w:val="000000"/>
                <w:sz w:val="24"/>
              </w:rPr>
              <w:t>1</w:t>
            </w:r>
            <w:r w:rsidRPr="007F52FA">
              <w:rPr>
                <w:color w:val="000000"/>
                <w:sz w:val="24"/>
              </w:rPr>
              <w:t>日</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交银丰润收益债券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交银丰润收益债券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8,845,591.23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475,035.94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8,339,138.79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445,387.17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0.0207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0.0191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429,181,263.39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24,843,107.33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1.067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1.065</w:t>
            </w:r>
          </w:p>
        </w:tc>
      </w:tr>
    </w:tbl>
    <w:p w:rsidR="007F31E3" w:rsidRDefault="00573D9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交银丰润收益债券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F31E3">
        <w:trPr>
          <w:jc w:val="center"/>
        </w:trPr>
        <w:tc>
          <w:tcPr>
            <w:tcW w:w="1266" w:type="dxa"/>
            <w:vAlign w:val="center"/>
          </w:tcPr>
          <w:p w:rsidR="007F31E3" w:rsidRDefault="00573D9E">
            <w:pPr>
              <w:jc w:val="left"/>
            </w:pPr>
            <w:r>
              <w:rPr>
                <w:color w:val="000000"/>
                <w:sz w:val="24"/>
              </w:rPr>
              <w:t>过去三个月</w:t>
            </w:r>
          </w:p>
        </w:tc>
        <w:tc>
          <w:tcPr>
            <w:tcW w:w="1267" w:type="dxa"/>
            <w:vAlign w:val="center"/>
          </w:tcPr>
          <w:p w:rsidR="007F31E3" w:rsidRDefault="00573D9E">
            <w:pPr>
              <w:jc w:val="center"/>
            </w:pPr>
            <w:r>
              <w:rPr>
                <w:color w:val="000000"/>
                <w:sz w:val="24"/>
              </w:rPr>
              <w:t>1.98%</w:t>
            </w:r>
          </w:p>
        </w:tc>
        <w:tc>
          <w:tcPr>
            <w:tcW w:w="1267" w:type="dxa"/>
            <w:vAlign w:val="center"/>
          </w:tcPr>
          <w:p w:rsidR="007F31E3" w:rsidRDefault="00573D9E">
            <w:pPr>
              <w:jc w:val="center"/>
            </w:pPr>
            <w:r>
              <w:rPr>
                <w:color w:val="000000"/>
                <w:sz w:val="24"/>
              </w:rPr>
              <w:t>0.09%</w:t>
            </w:r>
          </w:p>
        </w:tc>
        <w:tc>
          <w:tcPr>
            <w:tcW w:w="1267" w:type="dxa"/>
            <w:vAlign w:val="center"/>
          </w:tcPr>
          <w:p w:rsidR="007F31E3" w:rsidRDefault="00573D9E">
            <w:pPr>
              <w:jc w:val="center"/>
            </w:pPr>
            <w:r>
              <w:rPr>
                <w:color w:val="000000"/>
                <w:sz w:val="24"/>
              </w:rPr>
              <w:t>0.85%</w:t>
            </w:r>
          </w:p>
        </w:tc>
        <w:tc>
          <w:tcPr>
            <w:tcW w:w="1267" w:type="dxa"/>
            <w:vAlign w:val="center"/>
          </w:tcPr>
          <w:p w:rsidR="007F31E3" w:rsidRDefault="00573D9E">
            <w:pPr>
              <w:jc w:val="center"/>
            </w:pPr>
            <w:r>
              <w:rPr>
                <w:color w:val="000000"/>
                <w:sz w:val="24"/>
              </w:rPr>
              <w:t>0.01%</w:t>
            </w:r>
          </w:p>
        </w:tc>
        <w:tc>
          <w:tcPr>
            <w:tcW w:w="1267" w:type="dxa"/>
            <w:vAlign w:val="center"/>
          </w:tcPr>
          <w:p w:rsidR="007F31E3" w:rsidRDefault="00573D9E">
            <w:pPr>
              <w:jc w:val="center"/>
            </w:pPr>
            <w:r>
              <w:rPr>
                <w:color w:val="000000"/>
                <w:sz w:val="24"/>
              </w:rPr>
              <w:t>1.13%</w:t>
            </w:r>
          </w:p>
        </w:tc>
        <w:tc>
          <w:tcPr>
            <w:tcW w:w="1267" w:type="dxa"/>
            <w:vAlign w:val="center"/>
          </w:tcPr>
          <w:p w:rsidR="007F31E3" w:rsidRDefault="00573D9E">
            <w:pPr>
              <w:jc w:val="center"/>
            </w:pPr>
            <w:r>
              <w:rPr>
                <w:color w:val="000000"/>
                <w:sz w:val="24"/>
              </w:rPr>
              <w:t>0.08%</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交银丰润收益债券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F31E3">
        <w:trPr>
          <w:jc w:val="center"/>
        </w:trPr>
        <w:tc>
          <w:tcPr>
            <w:tcW w:w="1266" w:type="dxa"/>
            <w:vAlign w:val="center"/>
          </w:tcPr>
          <w:p w:rsidR="007F31E3" w:rsidRDefault="00573D9E">
            <w:pPr>
              <w:jc w:val="left"/>
            </w:pPr>
            <w:r>
              <w:rPr>
                <w:color w:val="000000"/>
                <w:sz w:val="24"/>
              </w:rPr>
              <w:t>过去三个月</w:t>
            </w:r>
          </w:p>
        </w:tc>
        <w:tc>
          <w:tcPr>
            <w:tcW w:w="1267" w:type="dxa"/>
            <w:vAlign w:val="center"/>
          </w:tcPr>
          <w:p w:rsidR="007F31E3" w:rsidRDefault="00573D9E">
            <w:pPr>
              <w:jc w:val="center"/>
            </w:pPr>
            <w:r>
              <w:rPr>
                <w:color w:val="000000"/>
                <w:sz w:val="24"/>
              </w:rPr>
              <w:t>1.80%</w:t>
            </w:r>
          </w:p>
        </w:tc>
        <w:tc>
          <w:tcPr>
            <w:tcW w:w="1267" w:type="dxa"/>
            <w:vAlign w:val="center"/>
          </w:tcPr>
          <w:p w:rsidR="007F31E3" w:rsidRDefault="00573D9E">
            <w:pPr>
              <w:jc w:val="center"/>
            </w:pPr>
            <w:r>
              <w:rPr>
                <w:color w:val="000000"/>
                <w:sz w:val="24"/>
              </w:rPr>
              <w:t>0.09%</w:t>
            </w:r>
          </w:p>
        </w:tc>
        <w:tc>
          <w:tcPr>
            <w:tcW w:w="1267" w:type="dxa"/>
            <w:vAlign w:val="center"/>
          </w:tcPr>
          <w:p w:rsidR="007F31E3" w:rsidRDefault="00573D9E">
            <w:pPr>
              <w:jc w:val="center"/>
            </w:pPr>
            <w:r>
              <w:rPr>
                <w:color w:val="000000"/>
                <w:sz w:val="24"/>
              </w:rPr>
              <w:t>0.85%</w:t>
            </w:r>
          </w:p>
        </w:tc>
        <w:tc>
          <w:tcPr>
            <w:tcW w:w="1267" w:type="dxa"/>
            <w:vAlign w:val="center"/>
          </w:tcPr>
          <w:p w:rsidR="007F31E3" w:rsidRDefault="00573D9E">
            <w:pPr>
              <w:jc w:val="center"/>
            </w:pPr>
            <w:r>
              <w:rPr>
                <w:color w:val="000000"/>
                <w:sz w:val="24"/>
              </w:rPr>
              <w:t>0.01%</w:t>
            </w:r>
          </w:p>
        </w:tc>
        <w:tc>
          <w:tcPr>
            <w:tcW w:w="1267" w:type="dxa"/>
            <w:vAlign w:val="center"/>
          </w:tcPr>
          <w:p w:rsidR="007F31E3" w:rsidRDefault="00573D9E">
            <w:pPr>
              <w:jc w:val="center"/>
            </w:pPr>
            <w:r>
              <w:rPr>
                <w:color w:val="000000"/>
                <w:sz w:val="24"/>
              </w:rPr>
              <w:t>0.95%</w:t>
            </w:r>
          </w:p>
        </w:tc>
        <w:tc>
          <w:tcPr>
            <w:tcW w:w="1267" w:type="dxa"/>
            <w:vAlign w:val="center"/>
          </w:tcPr>
          <w:p w:rsidR="007F31E3" w:rsidRDefault="00573D9E">
            <w:pPr>
              <w:jc w:val="center"/>
            </w:pPr>
            <w:r>
              <w:rPr>
                <w:color w:val="000000"/>
                <w:sz w:val="24"/>
              </w:rPr>
              <w:t>0.08%</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交银施罗德丰润收益债券型证券投资基金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交银丰润收益债券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2014</w:t>
      </w:r>
      <w:r w:rsidRPr="007F52FA">
        <w:rPr>
          <w:color w:val="000000"/>
          <w:sz w:val="24"/>
        </w:rPr>
        <w:t>年</w:t>
      </w:r>
      <w:r w:rsidRPr="007F52FA">
        <w:rPr>
          <w:color w:val="000000"/>
          <w:sz w:val="24"/>
        </w:rPr>
        <w:t>12</w:t>
      </w:r>
      <w:r w:rsidRPr="007F52FA">
        <w:rPr>
          <w:color w:val="000000"/>
          <w:sz w:val="24"/>
        </w:rPr>
        <w:t>月</w:t>
      </w:r>
      <w:r w:rsidRPr="007F52FA">
        <w:rPr>
          <w:color w:val="000000"/>
          <w:sz w:val="24"/>
        </w:rPr>
        <w:t>15</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交银丰润收益债券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2014</w:t>
      </w:r>
      <w:r w:rsidRPr="007F52FA">
        <w:rPr>
          <w:color w:val="000000"/>
          <w:sz w:val="24"/>
        </w:rPr>
        <w:t>年</w:t>
      </w:r>
      <w:r w:rsidRPr="007F52FA">
        <w:rPr>
          <w:color w:val="000000"/>
          <w:sz w:val="24"/>
        </w:rPr>
        <w:t>12</w:t>
      </w:r>
      <w:r w:rsidRPr="007F52FA">
        <w:rPr>
          <w:color w:val="000000"/>
          <w:sz w:val="24"/>
        </w:rPr>
        <w:t>月</w:t>
      </w:r>
      <w:r w:rsidRPr="007F52FA">
        <w:rPr>
          <w:color w:val="000000"/>
          <w:sz w:val="24"/>
        </w:rPr>
        <w:t>15</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7F31E3">
        <w:trPr>
          <w:jc w:val="center"/>
        </w:trPr>
        <w:tc>
          <w:tcPr>
            <w:tcW w:w="946" w:type="dxa"/>
            <w:vAlign w:val="center"/>
          </w:tcPr>
          <w:p w:rsidR="007F31E3" w:rsidRDefault="00573D9E">
            <w:pPr>
              <w:jc w:val="center"/>
            </w:pPr>
            <w:r>
              <w:rPr>
                <w:color w:val="000000"/>
                <w:sz w:val="24"/>
              </w:rPr>
              <w:t>孙超</w:t>
            </w:r>
          </w:p>
        </w:tc>
        <w:tc>
          <w:tcPr>
            <w:tcW w:w="924" w:type="dxa"/>
            <w:vAlign w:val="center"/>
          </w:tcPr>
          <w:p w:rsidR="007F31E3" w:rsidRDefault="00573D9E">
            <w:pPr>
              <w:jc w:val="center"/>
            </w:pPr>
            <w:r>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交银荣鑫保本</w:t>
            </w:r>
            <w:r w:rsidR="0069166C">
              <w:rPr>
                <w:rFonts w:hint="eastAsia"/>
                <w:color w:val="000000"/>
                <w:sz w:val="24"/>
              </w:rPr>
              <w:t>混合</w:t>
            </w:r>
            <w:r>
              <w:rPr>
                <w:color w:val="000000"/>
                <w:sz w:val="24"/>
              </w:rPr>
              <w:t>的基金经理</w:t>
            </w:r>
          </w:p>
        </w:tc>
        <w:tc>
          <w:tcPr>
            <w:tcW w:w="1202" w:type="dxa"/>
            <w:vAlign w:val="center"/>
          </w:tcPr>
          <w:p w:rsidR="007F31E3" w:rsidRDefault="00573D9E">
            <w:pPr>
              <w:jc w:val="center"/>
            </w:pPr>
            <w:r>
              <w:rPr>
                <w:color w:val="000000"/>
                <w:sz w:val="24"/>
              </w:rPr>
              <w:t>2014-12-15</w:t>
            </w:r>
          </w:p>
        </w:tc>
        <w:tc>
          <w:tcPr>
            <w:tcW w:w="1300" w:type="dxa"/>
            <w:vAlign w:val="center"/>
          </w:tcPr>
          <w:p w:rsidR="007F31E3" w:rsidRDefault="00573D9E">
            <w:pPr>
              <w:jc w:val="center"/>
            </w:pPr>
            <w:r>
              <w:rPr>
                <w:color w:val="000000"/>
                <w:sz w:val="24"/>
              </w:rPr>
              <w:t>-</w:t>
            </w:r>
          </w:p>
        </w:tc>
        <w:tc>
          <w:tcPr>
            <w:tcW w:w="1245" w:type="dxa"/>
            <w:vAlign w:val="center"/>
          </w:tcPr>
          <w:p w:rsidR="007F31E3" w:rsidRDefault="00573D9E">
            <w:pPr>
              <w:jc w:val="center"/>
            </w:pPr>
            <w:r>
              <w:rPr>
                <w:color w:val="000000"/>
                <w:sz w:val="24"/>
              </w:rPr>
              <w:t>5</w:t>
            </w:r>
            <w:r>
              <w:rPr>
                <w:color w:val="000000"/>
                <w:sz w:val="24"/>
              </w:rPr>
              <w:t>年</w:t>
            </w:r>
          </w:p>
        </w:tc>
        <w:tc>
          <w:tcPr>
            <w:tcW w:w="3251" w:type="dxa"/>
            <w:vAlign w:val="center"/>
          </w:tcPr>
          <w:p w:rsidR="007F31E3" w:rsidRDefault="00573D9E">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p>
        </w:tc>
      </w:tr>
      <w:tr w:rsidR="007F31E3">
        <w:trPr>
          <w:jc w:val="center"/>
        </w:trPr>
        <w:tc>
          <w:tcPr>
            <w:tcW w:w="946" w:type="dxa"/>
            <w:vAlign w:val="center"/>
          </w:tcPr>
          <w:p w:rsidR="007F31E3" w:rsidRDefault="00573D9E">
            <w:pPr>
              <w:jc w:val="center"/>
            </w:pPr>
            <w:r>
              <w:rPr>
                <w:color w:val="000000"/>
                <w:sz w:val="24"/>
              </w:rPr>
              <w:t>连端清</w:t>
            </w:r>
          </w:p>
        </w:tc>
        <w:tc>
          <w:tcPr>
            <w:tcW w:w="924" w:type="dxa"/>
            <w:vAlign w:val="center"/>
          </w:tcPr>
          <w:p w:rsidR="007F31E3" w:rsidRDefault="00573D9E">
            <w:pPr>
              <w:jc w:val="center"/>
            </w:pPr>
            <w:r>
              <w:rPr>
                <w:color w:val="000000"/>
                <w:sz w:val="24"/>
              </w:rPr>
              <w:t>交银货币、交银理财</w:t>
            </w:r>
            <w:r>
              <w:rPr>
                <w:color w:val="000000"/>
                <w:sz w:val="24"/>
              </w:rPr>
              <w:t>60</w:t>
            </w:r>
            <w:r>
              <w:rPr>
                <w:color w:val="000000"/>
                <w:sz w:val="24"/>
              </w:rPr>
              <w:t>天债券、交银丰盈收益债券、交银现金宝货币、交银丰润收益债券的基金经理</w:t>
            </w:r>
          </w:p>
        </w:tc>
        <w:tc>
          <w:tcPr>
            <w:tcW w:w="1202" w:type="dxa"/>
            <w:vAlign w:val="center"/>
          </w:tcPr>
          <w:p w:rsidR="007F31E3" w:rsidRDefault="00573D9E">
            <w:pPr>
              <w:jc w:val="center"/>
            </w:pPr>
            <w:r>
              <w:rPr>
                <w:color w:val="000000"/>
                <w:sz w:val="24"/>
              </w:rPr>
              <w:t>2015-08-04</w:t>
            </w:r>
          </w:p>
        </w:tc>
        <w:tc>
          <w:tcPr>
            <w:tcW w:w="1300" w:type="dxa"/>
            <w:vAlign w:val="center"/>
          </w:tcPr>
          <w:p w:rsidR="007F31E3" w:rsidRDefault="00573D9E">
            <w:pPr>
              <w:jc w:val="center"/>
            </w:pPr>
            <w:r>
              <w:rPr>
                <w:color w:val="000000"/>
                <w:sz w:val="24"/>
              </w:rPr>
              <w:t>-</w:t>
            </w:r>
          </w:p>
        </w:tc>
        <w:tc>
          <w:tcPr>
            <w:tcW w:w="1245" w:type="dxa"/>
            <w:vAlign w:val="center"/>
          </w:tcPr>
          <w:p w:rsidR="007F31E3" w:rsidRDefault="00573D9E">
            <w:pPr>
              <w:jc w:val="center"/>
            </w:pPr>
            <w:r>
              <w:rPr>
                <w:color w:val="000000"/>
                <w:sz w:val="24"/>
              </w:rPr>
              <w:t>5</w:t>
            </w:r>
            <w:r>
              <w:rPr>
                <w:color w:val="000000"/>
                <w:sz w:val="24"/>
              </w:rPr>
              <w:t>年</w:t>
            </w:r>
          </w:p>
        </w:tc>
        <w:tc>
          <w:tcPr>
            <w:tcW w:w="3251" w:type="dxa"/>
            <w:vAlign w:val="center"/>
          </w:tcPr>
          <w:p w:rsidR="007F31E3" w:rsidRDefault="00573D9E">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7F31E3" w:rsidRDefault="00573D9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F31E3" w:rsidRDefault="00573D9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F31E3" w:rsidRDefault="00573D9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2377D0" w:rsidRPr="002377D0" w:rsidRDefault="002377D0" w:rsidP="007C14DF">
      <w:pPr>
        <w:spacing w:before="29" w:line="288" w:lineRule="auto"/>
        <w:ind w:firstLineChars="200" w:firstLine="480"/>
        <w:rPr>
          <w:color w:val="000000"/>
          <w:sz w:val="24"/>
        </w:rPr>
      </w:pP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7F31E3" w:rsidRDefault="00573D9E">
      <w:pPr>
        <w:spacing w:before="29" w:line="288" w:lineRule="auto"/>
        <w:ind w:firstLineChars="200" w:firstLine="480"/>
        <w:rPr>
          <w:color w:val="000000"/>
          <w:sz w:val="24"/>
        </w:rPr>
      </w:pPr>
      <w:r>
        <w:rPr>
          <w:color w:val="000000"/>
          <w:sz w:val="24"/>
        </w:rPr>
        <w:t>2016</w:t>
      </w:r>
      <w:r>
        <w:rPr>
          <w:color w:val="000000"/>
          <w:sz w:val="24"/>
        </w:rPr>
        <w:t>年一季度，主要受房地产投资反弹、基建及供给侧改革推进影响，国内经济出现回暖企稳迹象。</w:t>
      </w:r>
      <w:r>
        <w:rPr>
          <w:color w:val="000000"/>
          <w:sz w:val="24"/>
        </w:rPr>
        <w:t>2016</w:t>
      </w:r>
      <w:r>
        <w:rPr>
          <w:color w:val="000000"/>
          <w:sz w:val="24"/>
        </w:rPr>
        <w:t>年</w:t>
      </w:r>
      <w:r>
        <w:rPr>
          <w:color w:val="000000"/>
          <w:sz w:val="24"/>
        </w:rPr>
        <w:t>1</w:t>
      </w:r>
      <w:r>
        <w:rPr>
          <w:color w:val="000000"/>
          <w:sz w:val="24"/>
        </w:rPr>
        <w:t>月份、</w:t>
      </w:r>
      <w:r>
        <w:rPr>
          <w:color w:val="000000"/>
          <w:sz w:val="24"/>
        </w:rPr>
        <w:t>2</w:t>
      </w:r>
      <w:r>
        <w:rPr>
          <w:color w:val="000000"/>
          <w:sz w:val="24"/>
        </w:rPr>
        <w:t>月份，房地产投资出现</w:t>
      </w:r>
      <w:r>
        <w:rPr>
          <w:color w:val="000000"/>
          <w:sz w:val="24"/>
        </w:rPr>
        <w:t>2</w:t>
      </w:r>
      <w:r>
        <w:rPr>
          <w:color w:val="000000"/>
          <w:sz w:val="24"/>
        </w:rPr>
        <w:t>年以来首次止跌回升，带动固定资产投资企稳回升。伴随着经济有所回暖，一季度</w:t>
      </w:r>
      <w:r>
        <w:rPr>
          <w:color w:val="000000"/>
          <w:sz w:val="24"/>
        </w:rPr>
        <w:t>CPI</w:t>
      </w:r>
      <w:r>
        <w:rPr>
          <w:color w:val="000000"/>
          <w:sz w:val="24"/>
        </w:rPr>
        <w:t>持续攀升，</w:t>
      </w:r>
      <w:r>
        <w:rPr>
          <w:color w:val="000000"/>
          <w:sz w:val="24"/>
        </w:rPr>
        <w:t>PPI</w:t>
      </w:r>
      <w:r>
        <w:rPr>
          <w:color w:val="000000"/>
          <w:sz w:val="24"/>
        </w:rPr>
        <w:t>降幅不断收窄。货币政策上，央行货币政策维持宽松操作思路，但宽松的边际在收窄。</w:t>
      </w:r>
      <w:r>
        <w:rPr>
          <w:color w:val="000000"/>
          <w:sz w:val="24"/>
        </w:rPr>
        <w:t>2016</w:t>
      </w:r>
      <w:r>
        <w:rPr>
          <w:color w:val="000000"/>
          <w:sz w:val="24"/>
        </w:rPr>
        <w:t>年春节前，央行通过公开市场及定向工具投放了巨额流动性，并且将公开市场操作频率由一周两次改为每个工作日，以维持相对宽松的资金面。</w:t>
      </w:r>
      <w:r>
        <w:rPr>
          <w:color w:val="000000"/>
          <w:sz w:val="24"/>
        </w:rPr>
        <w:t>2016</w:t>
      </w:r>
      <w:r>
        <w:rPr>
          <w:color w:val="000000"/>
          <w:sz w:val="24"/>
        </w:rPr>
        <w:t>年</w:t>
      </w:r>
      <w:r>
        <w:rPr>
          <w:color w:val="000000"/>
          <w:sz w:val="24"/>
        </w:rPr>
        <w:t>3</w:t>
      </w:r>
      <w:r>
        <w:rPr>
          <w:color w:val="000000"/>
          <w:sz w:val="24"/>
        </w:rPr>
        <w:t>月</w:t>
      </w:r>
      <w:r>
        <w:rPr>
          <w:color w:val="000000"/>
          <w:sz w:val="24"/>
        </w:rPr>
        <w:t>1</w:t>
      </w:r>
      <w:r>
        <w:rPr>
          <w:color w:val="000000"/>
          <w:sz w:val="24"/>
        </w:rPr>
        <w:t>日再次降准</w:t>
      </w:r>
      <w:r>
        <w:rPr>
          <w:color w:val="000000"/>
          <w:sz w:val="24"/>
        </w:rPr>
        <w:t>0.5</w:t>
      </w:r>
      <w:r>
        <w:rPr>
          <w:color w:val="000000"/>
          <w:sz w:val="24"/>
        </w:rPr>
        <w:t>个百分点。但是，</w:t>
      </w:r>
      <w:r>
        <w:rPr>
          <w:color w:val="000000"/>
          <w:sz w:val="24"/>
        </w:rPr>
        <w:t>3</w:t>
      </w:r>
      <w:r>
        <w:rPr>
          <w:color w:val="000000"/>
          <w:sz w:val="24"/>
        </w:rPr>
        <w:t>月下旬央行净投放的力度明显减弱。</w:t>
      </w:r>
    </w:p>
    <w:p w:rsidR="007F31E3" w:rsidRDefault="00573D9E">
      <w:pPr>
        <w:spacing w:before="29" w:line="288" w:lineRule="auto"/>
        <w:ind w:firstLineChars="200" w:firstLine="480"/>
        <w:rPr>
          <w:color w:val="000000"/>
          <w:sz w:val="24"/>
        </w:rPr>
      </w:pPr>
      <w:r>
        <w:rPr>
          <w:color w:val="000000"/>
          <w:sz w:val="24"/>
        </w:rPr>
        <w:t>一季度尽管市场资金整体依旧充裕，但是受信贷投放较大、央行</w:t>
      </w:r>
      <w:r>
        <w:rPr>
          <w:color w:val="000000"/>
          <w:sz w:val="24"/>
        </w:rPr>
        <w:t>MPA</w:t>
      </w:r>
      <w:r>
        <w:rPr>
          <w:color w:val="000000"/>
          <w:sz w:val="24"/>
        </w:rPr>
        <w:t>季末考核等影响，银行间市场资金面多次结构性趋紧，回购利率中枢在上移。受经济回暖及央行宽松力度低于预期等影响，一季度利率债出现震荡回调走势。但在旺盛的配置需求下，高评级信用债震荡下行，低评级中短期限信用债大幅下行。</w:t>
      </w:r>
    </w:p>
    <w:p w:rsidR="007F31E3" w:rsidRDefault="00573D9E">
      <w:pPr>
        <w:spacing w:before="29" w:line="288" w:lineRule="auto"/>
        <w:ind w:firstLineChars="200" w:firstLine="480"/>
        <w:rPr>
          <w:color w:val="000000"/>
          <w:sz w:val="24"/>
        </w:rPr>
      </w:pPr>
      <w:r>
        <w:rPr>
          <w:color w:val="000000"/>
          <w:sz w:val="24"/>
        </w:rPr>
        <w:t>基金操作方面，报告期内本基金注重信用风险控制，调整部分债券，维持一定的杠杆与久期，运作较为稳健，同时享受信用债收益率继续下行带来的行情。</w:t>
      </w:r>
    </w:p>
    <w:p w:rsidR="00952A72" w:rsidRPr="007F52FA" w:rsidRDefault="00323F25" w:rsidP="007C14DF">
      <w:pPr>
        <w:spacing w:before="29" w:line="288" w:lineRule="auto"/>
        <w:ind w:firstLineChars="200" w:firstLine="480"/>
        <w:rPr>
          <w:color w:val="000000"/>
          <w:sz w:val="24"/>
        </w:rPr>
      </w:pPr>
      <w:r w:rsidRPr="007F52FA">
        <w:rPr>
          <w:color w:val="000000"/>
          <w:sz w:val="24"/>
        </w:rPr>
        <w:t>展望二季度，考虑房地产投资回升及基建稳增长等累积效应带动经济回暖的势头可能持续一段时间，央行货币政策向稳健回归具有一定基础，预计央行将更多以定向工具及公开市场操作为主来调节流动性。组合管理方面，本基金将密切关注经济回暖的力度与央行货币政策动态，保持一定的杠杆水平，获取债券息差，同时控制信用风险，努力为持有人创造稳健的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日，交银丰润收益债券</w:t>
      </w:r>
      <w:r w:rsidRPr="007F52FA">
        <w:rPr>
          <w:color w:val="000000"/>
          <w:sz w:val="24"/>
        </w:rPr>
        <w:t>A</w:t>
      </w:r>
      <w:r w:rsidRPr="007F52FA">
        <w:rPr>
          <w:color w:val="000000"/>
          <w:sz w:val="24"/>
        </w:rPr>
        <w:t>份额净值为</w:t>
      </w:r>
      <w:r w:rsidRPr="007F52FA">
        <w:rPr>
          <w:color w:val="000000"/>
          <w:sz w:val="24"/>
        </w:rPr>
        <w:t>1.067</w:t>
      </w:r>
      <w:r w:rsidRPr="007F52FA">
        <w:rPr>
          <w:color w:val="000000"/>
          <w:sz w:val="24"/>
        </w:rPr>
        <w:t>元，本报告期份额净值增长率为</w:t>
      </w:r>
      <w:r w:rsidRPr="007F52FA">
        <w:rPr>
          <w:color w:val="000000"/>
          <w:sz w:val="24"/>
        </w:rPr>
        <w:t>1.98%</w:t>
      </w:r>
      <w:r w:rsidRPr="007F52FA">
        <w:rPr>
          <w:color w:val="000000"/>
          <w:sz w:val="24"/>
        </w:rPr>
        <w:t>，同期业绩比较基准增长率为</w:t>
      </w:r>
      <w:r w:rsidRPr="007F52FA">
        <w:rPr>
          <w:color w:val="000000"/>
          <w:sz w:val="24"/>
        </w:rPr>
        <w:t>0.85%</w:t>
      </w:r>
      <w:r w:rsidRPr="007F52FA">
        <w:rPr>
          <w:color w:val="000000"/>
          <w:sz w:val="24"/>
        </w:rPr>
        <w:t>；交银丰润收益债券</w:t>
      </w:r>
      <w:r w:rsidRPr="007F52FA">
        <w:rPr>
          <w:color w:val="000000"/>
          <w:sz w:val="24"/>
        </w:rPr>
        <w:t>C</w:t>
      </w:r>
      <w:r w:rsidRPr="007F52FA">
        <w:rPr>
          <w:color w:val="000000"/>
          <w:sz w:val="24"/>
        </w:rPr>
        <w:t>份额净值为</w:t>
      </w:r>
      <w:r w:rsidRPr="007F52FA">
        <w:rPr>
          <w:color w:val="000000"/>
          <w:sz w:val="24"/>
        </w:rPr>
        <w:t>1.065</w:t>
      </w:r>
      <w:r w:rsidRPr="007F52FA">
        <w:rPr>
          <w:color w:val="000000"/>
          <w:sz w:val="24"/>
        </w:rPr>
        <w:t>元，本报告期份额净值增长率为</w:t>
      </w:r>
      <w:r w:rsidRPr="007F52FA">
        <w:rPr>
          <w:color w:val="000000"/>
          <w:sz w:val="24"/>
        </w:rPr>
        <w:t>1.80%</w:t>
      </w:r>
      <w:r w:rsidRPr="007F52FA">
        <w:rPr>
          <w:color w:val="000000"/>
          <w:sz w:val="24"/>
        </w:rPr>
        <w:t>，同期业绩比较基准增长率为</w:t>
      </w:r>
      <w:r w:rsidRPr="007F52FA">
        <w:rPr>
          <w:color w:val="000000"/>
          <w:sz w:val="24"/>
        </w:rPr>
        <w:t>0.85%</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7F50FB">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753,402,702.41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96.07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738,402,702.41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94.16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15,000,000.00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1.91</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19,532,747.10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2.49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11,294,616.11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1.44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784,230,065.62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573D9E" w:rsidRDefault="00573D9E" w:rsidP="00573D9E">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573D9E" w:rsidRPr="001A5D39" w:rsidRDefault="00573D9E" w:rsidP="00573D9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73D9E" w:rsidRDefault="00573D9E" w:rsidP="00573D9E">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4A5BCF" w:rsidRPr="004A5BCF" w:rsidRDefault="004A5BCF" w:rsidP="00573D9E">
      <w:pPr>
        <w:autoSpaceDE w:val="0"/>
        <w:autoSpaceDN w:val="0"/>
        <w:adjustRightInd w:val="0"/>
        <w:spacing w:before="29" w:line="288" w:lineRule="auto"/>
        <w:jc w:val="left"/>
        <w:rPr>
          <w:color w:val="000000"/>
          <w:sz w:val="24"/>
        </w:rPr>
      </w:pPr>
    </w:p>
    <w:p w:rsidR="00573D9E" w:rsidRPr="008A409E" w:rsidRDefault="00D83133" w:rsidP="00573D9E">
      <w:pPr>
        <w:jc w:val="left"/>
        <w:rPr>
          <w:rFonts w:asciiTheme="minorEastAsia" w:eastAsiaTheme="minorEastAsia" w:hAnsiTheme="minorEastAsia"/>
          <w:b/>
          <w:bCs/>
          <w:color w:val="000000" w:themeColor="text1"/>
          <w:kern w:val="0"/>
          <w:sz w:val="24"/>
        </w:rPr>
      </w:pPr>
      <w:r w:rsidRPr="004A3846">
        <w:rPr>
          <w:rFonts w:eastAsiaTheme="minorEastAsia" w:hint="eastAsia"/>
          <w:b/>
          <w:color w:val="000000" w:themeColor="text1"/>
          <w:kern w:val="0"/>
          <w:sz w:val="24"/>
        </w:rPr>
        <w:t>5.2.</w:t>
      </w:r>
      <w:r>
        <w:rPr>
          <w:rFonts w:eastAsiaTheme="minorEastAsia"/>
          <w:b/>
          <w:color w:val="000000" w:themeColor="text1"/>
          <w:kern w:val="0"/>
          <w:sz w:val="24"/>
        </w:rPr>
        <w:t>2</w:t>
      </w:r>
      <w:r w:rsidR="00573D9E" w:rsidRPr="008A409E">
        <w:rPr>
          <w:rFonts w:asciiTheme="minorEastAsia" w:eastAsiaTheme="minorEastAsia" w:hAnsiTheme="minorEastAsia" w:hint="eastAsia"/>
          <w:b/>
          <w:bCs/>
          <w:color w:val="000000" w:themeColor="text1"/>
          <w:kern w:val="0"/>
          <w:sz w:val="24"/>
        </w:rPr>
        <w:t>报告期末按行业分类的沪港通投资股票投资组合</w:t>
      </w:r>
    </w:p>
    <w:p w:rsidR="00573D9E" w:rsidRDefault="00573D9E" w:rsidP="00573D9E">
      <w:pPr>
        <w:spacing w:before="29" w:line="360" w:lineRule="auto"/>
        <w:ind w:left="17"/>
        <w:rPr>
          <w:color w:val="000000"/>
          <w:sz w:val="24"/>
        </w:rPr>
      </w:pPr>
      <w:r w:rsidRPr="00FF0BBF">
        <w:rPr>
          <w:color w:val="000000"/>
          <w:sz w:val="24"/>
        </w:rPr>
        <w:t>本基金本报告期末未持有通过沪港通投资的股票。</w:t>
      </w:r>
    </w:p>
    <w:p w:rsidR="00573D9E" w:rsidRPr="00573D9E" w:rsidRDefault="00573D9E" w:rsidP="007C14DF">
      <w:pPr>
        <w:autoSpaceDE w:val="0"/>
        <w:autoSpaceDN w:val="0"/>
        <w:adjustRightInd w:val="0"/>
        <w:spacing w:before="29" w:line="288" w:lineRule="auto"/>
        <w:jc w:val="left"/>
        <w:rPr>
          <w:color w:val="00000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100,720,400.00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22.18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403,435,302.41</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88.86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40,170,000.00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8.85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194,077,000.00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42.75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738,402,702.41</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162.64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7F31E3">
        <w:trPr>
          <w:jc w:val="center"/>
        </w:trPr>
        <w:tc>
          <w:tcPr>
            <w:tcW w:w="1075" w:type="dxa"/>
            <w:vAlign w:val="center"/>
          </w:tcPr>
          <w:p w:rsidR="007F31E3" w:rsidRDefault="00573D9E">
            <w:pPr>
              <w:jc w:val="center"/>
            </w:pPr>
            <w:r>
              <w:rPr>
                <w:color w:val="000000"/>
                <w:sz w:val="24"/>
              </w:rPr>
              <w:t>1</w:t>
            </w:r>
          </w:p>
        </w:tc>
        <w:tc>
          <w:tcPr>
            <w:tcW w:w="1533" w:type="dxa"/>
            <w:vAlign w:val="center"/>
          </w:tcPr>
          <w:p w:rsidR="007F31E3" w:rsidRDefault="00573D9E">
            <w:pPr>
              <w:jc w:val="center"/>
            </w:pPr>
            <w:r>
              <w:rPr>
                <w:color w:val="000000"/>
                <w:sz w:val="24"/>
              </w:rPr>
              <w:t>122367</w:t>
            </w:r>
          </w:p>
        </w:tc>
        <w:tc>
          <w:tcPr>
            <w:tcW w:w="1533" w:type="dxa"/>
            <w:vAlign w:val="center"/>
          </w:tcPr>
          <w:p w:rsidR="007F31E3" w:rsidRDefault="00573D9E">
            <w:pPr>
              <w:jc w:val="center"/>
            </w:pPr>
            <w:r>
              <w:rPr>
                <w:color w:val="000000"/>
                <w:sz w:val="24"/>
              </w:rPr>
              <w:t>14</w:t>
            </w:r>
            <w:r>
              <w:rPr>
                <w:color w:val="000000"/>
                <w:sz w:val="24"/>
              </w:rPr>
              <w:t>财富债</w:t>
            </w:r>
          </w:p>
        </w:tc>
        <w:tc>
          <w:tcPr>
            <w:tcW w:w="1394" w:type="dxa"/>
            <w:vAlign w:val="center"/>
          </w:tcPr>
          <w:p w:rsidR="007F31E3" w:rsidRDefault="00573D9E">
            <w:pPr>
              <w:jc w:val="right"/>
            </w:pPr>
            <w:r>
              <w:rPr>
                <w:color w:val="000000"/>
                <w:sz w:val="24"/>
              </w:rPr>
              <w:t>400,000</w:t>
            </w:r>
          </w:p>
        </w:tc>
        <w:tc>
          <w:tcPr>
            <w:tcW w:w="1944" w:type="dxa"/>
            <w:vAlign w:val="center"/>
          </w:tcPr>
          <w:p w:rsidR="007F31E3" w:rsidRDefault="00573D9E">
            <w:pPr>
              <w:jc w:val="right"/>
            </w:pPr>
            <w:r>
              <w:rPr>
                <w:color w:val="000000"/>
                <w:sz w:val="24"/>
              </w:rPr>
              <w:t>42,428,000.00</w:t>
            </w:r>
          </w:p>
        </w:tc>
        <w:tc>
          <w:tcPr>
            <w:tcW w:w="1389" w:type="dxa"/>
            <w:vAlign w:val="center"/>
          </w:tcPr>
          <w:p w:rsidR="007F31E3" w:rsidRDefault="00573D9E">
            <w:pPr>
              <w:jc w:val="right"/>
            </w:pPr>
            <w:r>
              <w:rPr>
                <w:color w:val="000000"/>
                <w:sz w:val="24"/>
              </w:rPr>
              <w:t>9.34</w:t>
            </w:r>
          </w:p>
        </w:tc>
      </w:tr>
      <w:tr w:rsidR="007F31E3">
        <w:trPr>
          <w:jc w:val="center"/>
        </w:trPr>
        <w:tc>
          <w:tcPr>
            <w:tcW w:w="1075" w:type="dxa"/>
            <w:vAlign w:val="center"/>
          </w:tcPr>
          <w:p w:rsidR="007F31E3" w:rsidRDefault="00573D9E">
            <w:pPr>
              <w:jc w:val="center"/>
            </w:pPr>
            <w:r>
              <w:rPr>
                <w:color w:val="000000"/>
                <w:sz w:val="24"/>
              </w:rPr>
              <w:t>2</w:t>
            </w:r>
          </w:p>
        </w:tc>
        <w:tc>
          <w:tcPr>
            <w:tcW w:w="1533" w:type="dxa"/>
            <w:vAlign w:val="center"/>
          </w:tcPr>
          <w:p w:rsidR="007F31E3" w:rsidRDefault="00573D9E">
            <w:pPr>
              <w:jc w:val="center"/>
            </w:pPr>
            <w:r>
              <w:rPr>
                <w:color w:val="000000"/>
                <w:sz w:val="24"/>
              </w:rPr>
              <w:t>101562001</w:t>
            </w:r>
          </w:p>
        </w:tc>
        <w:tc>
          <w:tcPr>
            <w:tcW w:w="1533" w:type="dxa"/>
            <w:vAlign w:val="center"/>
          </w:tcPr>
          <w:p w:rsidR="007F31E3" w:rsidRDefault="00573D9E">
            <w:pPr>
              <w:jc w:val="center"/>
            </w:pPr>
            <w:r>
              <w:rPr>
                <w:color w:val="000000"/>
                <w:sz w:val="24"/>
              </w:rPr>
              <w:t>15</w:t>
            </w:r>
            <w:r>
              <w:rPr>
                <w:color w:val="000000"/>
                <w:sz w:val="24"/>
              </w:rPr>
              <w:t>东方</w:t>
            </w:r>
            <w:r>
              <w:rPr>
                <w:color w:val="000000"/>
                <w:sz w:val="24"/>
              </w:rPr>
              <w:t>MTN001</w:t>
            </w:r>
          </w:p>
        </w:tc>
        <w:tc>
          <w:tcPr>
            <w:tcW w:w="1394" w:type="dxa"/>
            <w:vAlign w:val="center"/>
          </w:tcPr>
          <w:p w:rsidR="007F31E3" w:rsidRDefault="00573D9E">
            <w:pPr>
              <w:jc w:val="right"/>
            </w:pPr>
            <w:r>
              <w:rPr>
                <w:color w:val="000000"/>
                <w:sz w:val="24"/>
              </w:rPr>
              <w:t>400,000</w:t>
            </w:r>
          </w:p>
        </w:tc>
        <w:tc>
          <w:tcPr>
            <w:tcW w:w="1944" w:type="dxa"/>
            <w:vAlign w:val="center"/>
          </w:tcPr>
          <w:p w:rsidR="007F31E3" w:rsidRDefault="00573D9E">
            <w:pPr>
              <w:jc w:val="right"/>
            </w:pPr>
            <w:r>
              <w:rPr>
                <w:color w:val="000000"/>
                <w:sz w:val="24"/>
              </w:rPr>
              <w:t>41,128,000.00</w:t>
            </w:r>
          </w:p>
        </w:tc>
        <w:tc>
          <w:tcPr>
            <w:tcW w:w="1389" w:type="dxa"/>
            <w:vAlign w:val="center"/>
          </w:tcPr>
          <w:p w:rsidR="007F31E3" w:rsidRDefault="00573D9E">
            <w:pPr>
              <w:jc w:val="right"/>
            </w:pPr>
            <w:r>
              <w:rPr>
                <w:color w:val="000000"/>
                <w:sz w:val="24"/>
              </w:rPr>
              <w:t>9.06</w:t>
            </w:r>
          </w:p>
        </w:tc>
      </w:tr>
      <w:tr w:rsidR="007F31E3">
        <w:trPr>
          <w:jc w:val="center"/>
        </w:trPr>
        <w:tc>
          <w:tcPr>
            <w:tcW w:w="1075" w:type="dxa"/>
            <w:vAlign w:val="center"/>
          </w:tcPr>
          <w:p w:rsidR="007F31E3" w:rsidRDefault="00573D9E">
            <w:pPr>
              <w:jc w:val="center"/>
            </w:pPr>
            <w:r>
              <w:rPr>
                <w:color w:val="000000"/>
                <w:sz w:val="24"/>
              </w:rPr>
              <w:t>3</w:t>
            </w:r>
          </w:p>
        </w:tc>
        <w:tc>
          <w:tcPr>
            <w:tcW w:w="1533" w:type="dxa"/>
            <w:vAlign w:val="center"/>
          </w:tcPr>
          <w:p w:rsidR="007F31E3" w:rsidRDefault="00573D9E">
            <w:pPr>
              <w:jc w:val="center"/>
            </w:pPr>
            <w:r>
              <w:rPr>
                <w:color w:val="000000"/>
                <w:sz w:val="24"/>
              </w:rPr>
              <w:t>122342</w:t>
            </w:r>
          </w:p>
        </w:tc>
        <w:tc>
          <w:tcPr>
            <w:tcW w:w="1533" w:type="dxa"/>
            <w:vAlign w:val="center"/>
          </w:tcPr>
          <w:p w:rsidR="007F31E3" w:rsidRDefault="00573D9E">
            <w:pPr>
              <w:jc w:val="center"/>
            </w:pPr>
            <w:r>
              <w:rPr>
                <w:color w:val="000000"/>
                <w:sz w:val="24"/>
              </w:rPr>
              <w:t>13</w:t>
            </w:r>
            <w:r>
              <w:rPr>
                <w:color w:val="000000"/>
                <w:sz w:val="24"/>
              </w:rPr>
              <w:t>包钢</w:t>
            </w:r>
            <w:r>
              <w:rPr>
                <w:color w:val="000000"/>
                <w:sz w:val="24"/>
              </w:rPr>
              <w:t>03</w:t>
            </w:r>
          </w:p>
        </w:tc>
        <w:tc>
          <w:tcPr>
            <w:tcW w:w="1394" w:type="dxa"/>
            <w:vAlign w:val="center"/>
          </w:tcPr>
          <w:p w:rsidR="007F31E3" w:rsidRDefault="00573D9E">
            <w:pPr>
              <w:jc w:val="right"/>
            </w:pPr>
            <w:r>
              <w:rPr>
                <w:color w:val="000000"/>
                <w:sz w:val="24"/>
              </w:rPr>
              <w:t>400,000</w:t>
            </w:r>
          </w:p>
        </w:tc>
        <w:tc>
          <w:tcPr>
            <w:tcW w:w="1944" w:type="dxa"/>
            <w:vAlign w:val="center"/>
          </w:tcPr>
          <w:p w:rsidR="007F31E3" w:rsidRDefault="00573D9E">
            <w:pPr>
              <w:jc w:val="right"/>
            </w:pPr>
            <w:r>
              <w:rPr>
                <w:color w:val="000000"/>
                <w:sz w:val="24"/>
              </w:rPr>
              <w:t>40,560,000.00</w:t>
            </w:r>
          </w:p>
        </w:tc>
        <w:tc>
          <w:tcPr>
            <w:tcW w:w="1389" w:type="dxa"/>
            <w:vAlign w:val="center"/>
          </w:tcPr>
          <w:p w:rsidR="007F31E3" w:rsidRDefault="00573D9E">
            <w:pPr>
              <w:jc w:val="right"/>
            </w:pPr>
            <w:r>
              <w:rPr>
                <w:color w:val="000000"/>
                <w:sz w:val="24"/>
              </w:rPr>
              <w:t>8.93</w:t>
            </w:r>
          </w:p>
        </w:tc>
      </w:tr>
      <w:tr w:rsidR="007F31E3">
        <w:trPr>
          <w:jc w:val="center"/>
        </w:trPr>
        <w:tc>
          <w:tcPr>
            <w:tcW w:w="1075" w:type="dxa"/>
            <w:vAlign w:val="center"/>
          </w:tcPr>
          <w:p w:rsidR="007F31E3" w:rsidRDefault="00573D9E">
            <w:pPr>
              <w:jc w:val="center"/>
            </w:pPr>
            <w:r>
              <w:rPr>
                <w:color w:val="000000"/>
                <w:sz w:val="24"/>
              </w:rPr>
              <w:t>4</w:t>
            </w:r>
          </w:p>
        </w:tc>
        <w:tc>
          <w:tcPr>
            <w:tcW w:w="1533" w:type="dxa"/>
            <w:vAlign w:val="center"/>
          </w:tcPr>
          <w:p w:rsidR="007F31E3" w:rsidRDefault="00573D9E">
            <w:pPr>
              <w:jc w:val="center"/>
            </w:pPr>
            <w:r>
              <w:rPr>
                <w:color w:val="000000"/>
                <w:sz w:val="24"/>
              </w:rPr>
              <w:t>101553002</w:t>
            </w:r>
          </w:p>
        </w:tc>
        <w:tc>
          <w:tcPr>
            <w:tcW w:w="1533" w:type="dxa"/>
            <w:vAlign w:val="center"/>
          </w:tcPr>
          <w:p w:rsidR="007F31E3" w:rsidRDefault="00573D9E">
            <w:pPr>
              <w:jc w:val="center"/>
            </w:pPr>
            <w:r>
              <w:rPr>
                <w:color w:val="000000"/>
                <w:sz w:val="24"/>
              </w:rPr>
              <w:t>15</w:t>
            </w:r>
            <w:r>
              <w:rPr>
                <w:color w:val="000000"/>
                <w:sz w:val="24"/>
              </w:rPr>
              <w:t>峰峰</w:t>
            </w:r>
            <w:r>
              <w:rPr>
                <w:color w:val="000000"/>
                <w:sz w:val="24"/>
              </w:rPr>
              <w:t>MTN001</w:t>
            </w:r>
          </w:p>
        </w:tc>
        <w:tc>
          <w:tcPr>
            <w:tcW w:w="1394" w:type="dxa"/>
            <w:vAlign w:val="center"/>
          </w:tcPr>
          <w:p w:rsidR="007F31E3" w:rsidRDefault="00573D9E">
            <w:pPr>
              <w:jc w:val="right"/>
            </w:pPr>
            <w:r>
              <w:rPr>
                <w:color w:val="000000"/>
                <w:sz w:val="24"/>
              </w:rPr>
              <w:t>400,000</w:t>
            </w:r>
          </w:p>
        </w:tc>
        <w:tc>
          <w:tcPr>
            <w:tcW w:w="1944" w:type="dxa"/>
            <w:vAlign w:val="center"/>
          </w:tcPr>
          <w:p w:rsidR="007F31E3" w:rsidRDefault="00573D9E">
            <w:pPr>
              <w:jc w:val="right"/>
            </w:pPr>
            <w:r>
              <w:rPr>
                <w:color w:val="000000"/>
                <w:sz w:val="24"/>
              </w:rPr>
              <w:t>39,804,000.00</w:t>
            </w:r>
          </w:p>
        </w:tc>
        <w:tc>
          <w:tcPr>
            <w:tcW w:w="1389" w:type="dxa"/>
            <w:vAlign w:val="center"/>
          </w:tcPr>
          <w:p w:rsidR="007F31E3" w:rsidRDefault="00573D9E">
            <w:pPr>
              <w:jc w:val="right"/>
            </w:pPr>
            <w:r>
              <w:rPr>
                <w:color w:val="000000"/>
                <w:sz w:val="24"/>
              </w:rPr>
              <w:t>8.77</w:t>
            </w:r>
          </w:p>
        </w:tc>
      </w:tr>
      <w:tr w:rsidR="007F31E3">
        <w:trPr>
          <w:jc w:val="center"/>
        </w:trPr>
        <w:tc>
          <w:tcPr>
            <w:tcW w:w="1075" w:type="dxa"/>
            <w:vAlign w:val="center"/>
          </w:tcPr>
          <w:p w:rsidR="007F31E3" w:rsidRDefault="00573D9E">
            <w:pPr>
              <w:jc w:val="center"/>
            </w:pPr>
            <w:r>
              <w:rPr>
                <w:color w:val="000000"/>
                <w:sz w:val="24"/>
              </w:rPr>
              <w:t>5</w:t>
            </w:r>
          </w:p>
        </w:tc>
        <w:tc>
          <w:tcPr>
            <w:tcW w:w="1533" w:type="dxa"/>
            <w:vAlign w:val="center"/>
          </w:tcPr>
          <w:p w:rsidR="007F31E3" w:rsidRDefault="00573D9E">
            <w:pPr>
              <w:jc w:val="center"/>
            </w:pPr>
            <w:r>
              <w:rPr>
                <w:color w:val="000000"/>
                <w:sz w:val="24"/>
              </w:rPr>
              <w:t>123306</w:t>
            </w:r>
          </w:p>
        </w:tc>
        <w:tc>
          <w:tcPr>
            <w:tcW w:w="1533" w:type="dxa"/>
            <w:vAlign w:val="center"/>
          </w:tcPr>
          <w:p w:rsidR="007F31E3" w:rsidRDefault="00573D9E">
            <w:pPr>
              <w:jc w:val="center"/>
            </w:pPr>
            <w:r>
              <w:rPr>
                <w:color w:val="000000"/>
                <w:sz w:val="24"/>
              </w:rPr>
              <w:t>14</w:t>
            </w:r>
            <w:r>
              <w:rPr>
                <w:color w:val="000000"/>
                <w:sz w:val="24"/>
              </w:rPr>
              <w:t>财通</w:t>
            </w:r>
            <w:r>
              <w:rPr>
                <w:color w:val="000000"/>
                <w:sz w:val="24"/>
              </w:rPr>
              <w:t>02</w:t>
            </w:r>
          </w:p>
        </w:tc>
        <w:tc>
          <w:tcPr>
            <w:tcW w:w="1394" w:type="dxa"/>
            <w:vAlign w:val="center"/>
          </w:tcPr>
          <w:p w:rsidR="007F31E3" w:rsidRDefault="00573D9E">
            <w:pPr>
              <w:jc w:val="right"/>
            </w:pPr>
            <w:r>
              <w:rPr>
                <w:color w:val="000000"/>
                <w:sz w:val="24"/>
              </w:rPr>
              <w:t>300,000</w:t>
            </w:r>
          </w:p>
        </w:tc>
        <w:tc>
          <w:tcPr>
            <w:tcW w:w="1944" w:type="dxa"/>
            <w:vAlign w:val="center"/>
          </w:tcPr>
          <w:p w:rsidR="007F31E3" w:rsidRDefault="00573D9E">
            <w:pPr>
              <w:jc w:val="right"/>
            </w:pPr>
            <w:r>
              <w:rPr>
                <w:color w:val="000000"/>
                <w:sz w:val="24"/>
              </w:rPr>
              <w:t>31,986,000.00</w:t>
            </w:r>
          </w:p>
        </w:tc>
        <w:tc>
          <w:tcPr>
            <w:tcW w:w="1389" w:type="dxa"/>
            <w:vAlign w:val="center"/>
          </w:tcPr>
          <w:p w:rsidR="007F31E3" w:rsidRDefault="00573D9E">
            <w:pPr>
              <w:jc w:val="right"/>
            </w:pPr>
            <w:r>
              <w:rPr>
                <w:color w:val="000000"/>
                <w:sz w:val="24"/>
              </w:rPr>
              <w:t>7.04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35"/>
        <w:gridCol w:w="1465"/>
        <w:gridCol w:w="1437"/>
        <w:gridCol w:w="1469"/>
        <w:gridCol w:w="1596"/>
        <w:gridCol w:w="1466"/>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7F31E3">
        <w:trPr>
          <w:jc w:val="center"/>
        </w:trPr>
        <w:tc>
          <w:tcPr>
            <w:tcW w:w="0" w:type="auto"/>
            <w:vAlign w:val="center"/>
          </w:tcPr>
          <w:p w:rsidR="007F31E3" w:rsidRDefault="00573D9E">
            <w:pPr>
              <w:jc w:val="center"/>
            </w:pPr>
            <w:r>
              <w:rPr>
                <w:color w:val="000000"/>
                <w:sz w:val="24"/>
              </w:rPr>
              <w:t>1</w:t>
            </w:r>
          </w:p>
        </w:tc>
        <w:tc>
          <w:tcPr>
            <w:tcW w:w="0" w:type="auto"/>
            <w:vAlign w:val="center"/>
          </w:tcPr>
          <w:p w:rsidR="007F31E3" w:rsidRDefault="00573D9E">
            <w:pPr>
              <w:jc w:val="center"/>
            </w:pPr>
            <w:r>
              <w:rPr>
                <w:color w:val="000000"/>
                <w:sz w:val="24"/>
              </w:rPr>
              <w:t>119163</w:t>
            </w:r>
          </w:p>
        </w:tc>
        <w:tc>
          <w:tcPr>
            <w:tcW w:w="0" w:type="auto"/>
            <w:vAlign w:val="center"/>
          </w:tcPr>
          <w:p w:rsidR="007F31E3" w:rsidRDefault="00573D9E">
            <w:pPr>
              <w:jc w:val="center"/>
            </w:pPr>
            <w:r>
              <w:rPr>
                <w:color w:val="000000"/>
                <w:sz w:val="24"/>
              </w:rPr>
              <w:t>15</w:t>
            </w:r>
            <w:r>
              <w:rPr>
                <w:color w:val="000000"/>
                <w:sz w:val="24"/>
              </w:rPr>
              <w:t>中和</w:t>
            </w:r>
            <w:r>
              <w:rPr>
                <w:color w:val="000000"/>
                <w:sz w:val="24"/>
              </w:rPr>
              <w:t>1A</w:t>
            </w:r>
          </w:p>
        </w:tc>
        <w:tc>
          <w:tcPr>
            <w:tcW w:w="0" w:type="auto"/>
            <w:vAlign w:val="center"/>
          </w:tcPr>
          <w:p w:rsidR="007F31E3" w:rsidRDefault="00573D9E">
            <w:pPr>
              <w:jc w:val="right"/>
            </w:pPr>
            <w:r>
              <w:rPr>
                <w:color w:val="000000"/>
                <w:sz w:val="24"/>
              </w:rPr>
              <w:t>150,000</w:t>
            </w:r>
          </w:p>
        </w:tc>
        <w:tc>
          <w:tcPr>
            <w:tcW w:w="0" w:type="auto"/>
            <w:vAlign w:val="center"/>
          </w:tcPr>
          <w:p w:rsidR="007F31E3" w:rsidRDefault="00573D9E">
            <w:pPr>
              <w:jc w:val="right"/>
            </w:pPr>
            <w:r>
              <w:rPr>
                <w:color w:val="000000"/>
                <w:sz w:val="24"/>
              </w:rPr>
              <w:t>15,000,000.00</w:t>
            </w:r>
          </w:p>
        </w:tc>
        <w:tc>
          <w:tcPr>
            <w:tcW w:w="0" w:type="auto"/>
            <w:vAlign w:val="center"/>
          </w:tcPr>
          <w:p w:rsidR="007F31E3" w:rsidRDefault="00573D9E">
            <w:pPr>
              <w:jc w:val="right"/>
            </w:pPr>
            <w:r>
              <w:rPr>
                <w:color w:val="000000"/>
                <w:sz w:val="24"/>
              </w:rPr>
              <w:t>3.30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530.97</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394,648.79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10,899,436.35</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11,294,616.11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420795" w:rsidRDefault="00420795" w:rsidP="00420795">
      <w:pPr>
        <w:autoSpaceDE w:val="0"/>
        <w:autoSpaceDN w:val="0"/>
        <w:spacing w:before="29" w:line="288" w:lineRule="auto"/>
        <w:rPr>
          <w:kern w:val="0"/>
          <w:sz w:val="24"/>
        </w:rPr>
      </w:pPr>
      <w:r>
        <w:rPr>
          <w:rFonts w:ascii="宋体" w:hAnsi="宋体" w:hint="eastAsia"/>
          <w:sz w:val="24"/>
        </w:rPr>
        <w:t>本基金本报告期末未持有股票。</w:t>
      </w:r>
    </w:p>
    <w:p w:rsidR="001D5CD0" w:rsidRPr="00420795" w:rsidRDefault="001D5CD0" w:rsidP="007C14DF">
      <w:pPr>
        <w:spacing w:before="29" w:line="288" w:lineRule="auto"/>
        <w:rPr>
          <w:rFonts w:eastAsiaTheme="minorEastAsia"/>
          <w:sz w:val="24"/>
        </w:rPr>
      </w:pPr>
      <w:bookmarkStart w:id="0" w:name="_GoBack"/>
      <w:bookmarkEnd w:id="0"/>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AA013B" w:rsidP="007F50FB">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§6</w:t>
      </w:r>
      <w:r w:rsidR="000673DA" w:rsidRPr="000673DA">
        <w:rPr>
          <w:color w:val="000000"/>
          <w:kern w:val="0"/>
          <w:sz w:val="24"/>
          <w:szCs w:val="24"/>
        </w:rPr>
        <w:t xml:space="preserve">  </w:t>
      </w:r>
      <w:r w:rsidR="000673DA" w:rsidRPr="000673DA">
        <w:rPr>
          <w:rFonts w:hAnsi="宋体"/>
          <w:sz w:val="24"/>
          <w:szCs w:val="24"/>
        </w:rPr>
        <w:t>基金管理人运用固有资金投资本基金情况</w:t>
      </w:r>
    </w:p>
    <w:p w:rsidR="000673DA" w:rsidRPr="000673DA" w:rsidRDefault="00AA013B" w:rsidP="007C14DF">
      <w:pPr>
        <w:spacing w:line="288" w:lineRule="auto"/>
        <w:jc w:val="left"/>
        <w:rPr>
          <w:sz w:val="24"/>
        </w:rPr>
      </w:pPr>
      <w:r>
        <w:rPr>
          <w:b/>
          <w:sz w:val="24"/>
        </w:rPr>
        <w:t>6</w:t>
      </w:r>
      <w:r w:rsidR="000673DA" w:rsidRPr="000673DA">
        <w:rPr>
          <w:b/>
          <w:sz w:val="24"/>
        </w:rPr>
        <w:t xml:space="preserve">.1 </w:t>
      </w:r>
      <w:r w:rsidR="000673DA"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AA013B" w:rsidP="00646AEE">
      <w:pPr>
        <w:autoSpaceDE w:val="0"/>
        <w:autoSpaceDN w:val="0"/>
        <w:adjustRightInd w:val="0"/>
        <w:spacing w:before="29" w:line="288" w:lineRule="auto"/>
        <w:jc w:val="left"/>
        <w:rPr>
          <w:b/>
          <w:color w:val="000000"/>
          <w:sz w:val="24"/>
        </w:rPr>
      </w:pPr>
      <w:r>
        <w:rPr>
          <w:rFonts w:hint="eastAsia"/>
          <w:b/>
          <w:sz w:val="24"/>
        </w:rPr>
        <w:t>6</w:t>
      </w:r>
      <w:r w:rsidR="000673DA" w:rsidRPr="008A3BCC">
        <w:rPr>
          <w:b/>
          <w:sz w:val="24"/>
        </w:rPr>
        <w:t>.</w:t>
      </w:r>
      <w:r w:rsidR="000673DA" w:rsidRPr="008A3BCC">
        <w:rPr>
          <w:rFonts w:hint="eastAsia"/>
          <w:b/>
          <w:sz w:val="24"/>
        </w:rPr>
        <w:t xml:space="preserve">2 </w:t>
      </w:r>
      <w:r w:rsidR="000673DA" w:rsidRPr="008A3BCC">
        <w:rPr>
          <w:rFonts w:hint="eastAsia"/>
          <w:b/>
          <w:sz w:val="24"/>
        </w:rPr>
        <w:t>基</w:t>
      </w:r>
      <w:r w:rsidR="000673DA"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A013B">
        <w:rPr>
          <w:rFonts w:eastAsiaTheme="minorEastAsia"/>
          <w:color w:val="000000"/>
          <w:kern w:val="0"/>
          <w:sz w:val="24"/>
          <w:szCs w:val="24"/>
        </w:rPr>
        <w:t>7</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A013B"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b/>
          <w:bCs/>
          <w:color w:val="000000"/>
          <w:kern w:val="0"/>
          <w:sz w:val="24"/>
        </w:rPr>
        <w:t>7</w:t>
      </w:r>
      <w:r w:rsidR="00A14399" w:rsidRPr="007F52FA">
        <w:rPr>
          <w:rFonts w:eastAsiaTheme="minorEastAsia"/>
          <w:b/>
          <w:bCs/>
          <w:color w:val="000000"/>
          <w:kern w:val="0"/>
          <w:sz w:val="24"/>
        </w:rPr>
        <w:t>.</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7F31E3" w:rsidRDefault="00573D9E">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、中国证监会准予交银施罗德丰润收益债券型证券投资基金募集注册的文件；</w:t>
      </w:r>
      <w:r>
        <w:rPr>
          <w:rFonts w:eastAsiaTheme="minorEastAsia"/>
          <w:color w:val="000000"/>
          <w:sz w:val="24"/>
        </w:rPr>
        <w:t xml:space="preserve"> </w:t>
      </w:r>
    </w:p>
    <w:p w:rsidR="007F31E3" w:rsidRDefault="00573D9E">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、《交银施罗德丰润收益债券型证券投资基金基金合同》；</w:t>
      </w:r>
    </w:p>
    <w:p w:rsidR="007F31E3" w:rsidRDefault="00573D9E">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、《交银施罗德丰润收益债券型证券投资基金招募说明书》；</w:t>
      </w:r>
      <w:r>
        <w:rPr>
          <w:rFonts w:eastAsiaTheme="minorEastAsia"/>
          <w:color w:val="000000"/>
          <w:sz w:val="24"/>
        </w:rPr>
        <w:t xml:space="preserve"> </w:t>
      </w:r>
    </w:p>
    <w:p w:rsidR="007F31E3" w:rsidRDefault="00573D9E">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、《交银施罗德丰润收益债券型证券投资基金托管协议》；</w:t>
      </w:r>
      <w:r>
        <w:rPr>
          <w:rFonts w:eastAsiaTheme="minorEastAsia"/>
          <w:color w:val="000000"/>
          <w:sz w:val="24"/>
        </w:rPr>
        <w:t xml:space="preserve"> </w:t>
      </w:r>
    </w:p>
    <w:p w:rsidR="007F31E3" w:rsidRDefault="00573D9E">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7F31E3" w:rsidRDefault="00573D9E">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7F31E3" w:rsidRDefault="00573D9E">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、关于申请募集注册交银施罗德丰润收益债券型证券投资基金的法律意见书；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、报告期内交银施罗德丰润收益债券型证券投资基金在指定报刊上各项公告的原稿。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AA013B"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b/>
          <w:bCs/>
          <w:color w:val="000000"/>
          <w:kern w:val="0"/>
          <w:sz w:val="24"/>
        </w:rPr>
        <w:t>7</w:t>
      </w:r>
      <w:r w:rsidR="00D13A01" w:rsidRPr="007F52FA">
        <w:rPr>
          <w:rFonts w:eastAsiaTheme="minorEastAsia"/>
          <w:b/>
          <w:bCs/>
          <w:color w:val="000000"/>
          <w:kern w:val="0"/>
          <w:sz w:val="24"/>
        </w:rPr>
        <w:t>.2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AA013B"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b/>
          <w:bCs/>
          <w:color w:val="000000"/>
          <w:kern w:val="0"/>
          <w:sz w:val="24"/>
        </w:rPr>
        <w:t>7</w:t>
      </w:r>
      <w:r w:rsidR="00D13A01" w:rsidRPr="007F52FA">
        <w:rPr>
          <w:rFonts w:eastAsiaTheme="minorEastAsia"/>
          <w:b/>
          <w:bCs/>
          <w:color w:val="000000"/>
          <w:kern w:val="0"/>
          <w:sz w:val="24"/>
        </w:rPr>
        <w:t>.3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7F31E3" w:rsidRDefault="00573D9E">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56D" w:rsidRDefault="003A556D">
      <w:r>
        <w:separator/>
      </w:r>
    </w:p>
  </w:endnote>
  <w:endnote w:type="continuationSeparator" w:id="0">
    <w:p w:rsidR="003A556D" w:rsidRDefault="003A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420795">
      <w:rPr>
        <w:noProof/>
        <w:kern w:val="0"/>
        <w:szCs w:val="21"/>
      </w:rPr>
      <w:t>11</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420795">
      <w:rPr>
        <w:noProof/>
        <w:kern w:val="0"/>
        <w:szCs w:val="21"/>
      </w:rPr>
      <w:t>13</w:t>
    </w:r>
    <w:r>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F50F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56D" w:rsidRDefault="003A556D">
      <w:r>
        <w:separator/>
      </w:r>
    </w:p>
  </w:footnote>
  <w:footnote w:type="continuationSeparator" w:id="0">
    <w:p w:rsidR="003A556D" w:rsidRDefault="003A5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420795"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377D0"/>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556D"/>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0795"/>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5BCF"/>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3D9E"/>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66C"/>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1E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2E9C"/>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13B"/>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2F2A"/>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3133"/>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045"/>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C196D4AE-95F9-4E44-A4C5-89D3DA6B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437673990">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3F8EA-8AA5-4196-99AD-491C41277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197</TotalTime>
  <Pages>13</Pages>
  <Words>1014</Words>
  <Characters>5786</Characters>
  <Application>Microsoft Office Word</Application>
  <DocSecurity>0</DocSecurity>
  <Lines>48</Lines>
  <Paragraphs>13</Paragraphs>
  <ScaleCrop>false</ScaleCrop>
  <Company>TRT. Ltd. Co.</Company>
  <LinksUpToDate>false</LinksUpToDate>
  <CharactersWithSpaces>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375</cp:revision>
  <cp:lastPrinted>2007-07-19T00:46:00Z</cp:lastPrinted>
  <dcterms:created xsi:type="dcterms:W3CDTF">2014-01-17T06:19:00Z</dcterms:created>
  <dcterms:modified xsi:type="dcterms:W3CDTF">2016-04-18T06:27:00Z</dcterms:modified>
</cp:coreProperties>
</file>