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E9" w:rsidRPr="006662B2" w:rsidRDefault="009C1DE9" w:rsidP="00814461">
      <w:pPr>
        <w:spacing w:line="360" w:lineRule="auto"/>
        <w:jc w:val="center"/>
        <w:rPr>
          <w:rFonts w:asciiTheme="minorEastAsia" w:eastAsiaTheme="minorEastAsia" w:hAnsiTheme="minorEastAsia"/>
          <w:b/>
          <w:bCs/>
          <w:color w:val="000000"/>
          <w:sz w:val="24"/>
        </w:rPr>
      </w:pPr>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631C0B" w:rsidRPr="00C4492C" w:rsidRDefault="00631C0B" w:rsidP="00C4492C">
      <w:pPr>
        <w:spacing w:before="29" w:line="288" w:lineRule="auto"/>
        <w:jc w:val="center"/>
        <w:rPr>
          <w:b/>
          <w:sz w:val="36"/>
          <w:szCs w:val="36"/>
        </w:rPr>
      </w:pPr>
      <w:r w:rsidRPr="00C4492C">
        <w:rPr>
          <w:rFonts w:hint="eastAsia"/>
          <w:b/>
          <w:sz w:val="36"/>
          <w:szCs w:val="36"/>
        </w:rPr>
        <w:t>交银施罗德现金宝货币市场基金</w:t>
      </w:r>
    </w:p>
    <w:p w:rsidR="00631C0B" w:rsidRPr="00C4492C" w:rsidRDefault="00631C0B" w:rsidP="00C4492C">
      <w:pPr>
        <w:spacing w:before="29" w:line="288" w:lineRule="auto"/>
        <w:jc w:val="center"/>
        <w:rPr>
          <w:b/>
          <w:sz w:val="36"/>
          <w:szCs w:val="36"/>
        </w:rPr>
      </w:pPr>
      <w:r w:rsidRPr="00C4492C">
        <w:rPr>
          <w:rFonts w:hint="eastAsia"/>
          <w:b/>
          <w:sz w:val="36"/>
          <w:szCs w:val="36"/>
        </w:rPr>
        <w:t>2016</w:t>
      </w:r>
      <w:r w:rsidRPr="00C4492C">
        <w:rPr>
          <w:rFonts w:hint="eastAsia"/>
          <w:b/>
          <w:sz w:val="36"/>
          <w:szCs w:val="36"/>
        </w:rPr>
        <w:t>年第</w:t>
      </w:r>
      <w:r w:rsidRPr="00C4492C">
        <w:rPr>
          <w:rFonts w:hint="eastAsia"/>
          <w:b/>
          <w:sz w:val="36"/>
          <w:szCs w:val="36"/>
        </w:rPr>
        <w:t>1</w:t>
      </w:r>
      <w:r w:rsidRPr="00C4492C">
        <w:rPr>
          <w:rFonts w:hint="eastAsia"/>
          <w:b/>
          <w:sz w:val="36"/>
          <w:szCs w:val="36"/>
        </w:rPr>
        <w:t>季度报告</w:t>
      </w:r>
    </w:p>
    <w:p w:rsidR="009C1DE9" w:rsidRPr="00C4492C" w:rsidRDefault="009452B9" w:rsidP="00C4492C">
      <w:pPr>
        <w:spacing w:before="29" w:line="288" w:lineRule="auto"/>
        <w:jc w:val="center"/>
        <w:rPr>
          <w:b/>
          <w:sz w:val="36"/>
          <w:szCs w:val="36"/>
        </w:rPr>
      </w:pPr>
      <w:r w:rsidRPr="00C4492C">
        <w:rPr>
          <w:b/>
          <w:sz w:val="36"/>
          <w:szCs w:val="36"/>
        </w:rPr>
        <w:t>2016</w:t>
      </w:r>
      <w:r w:rsidRPr="00C4492C">
        <w:rPr>
          <w:b/>
          <w:sz w:val="36"/>
          <w:szCs w:val="36"/>
        </w:rPr>
        <w:t>年</w:t>
      </w:r>
      <w:r w:rsidRPr="00C4492C">
        <w:rPr>
          <w:b/>
          <w:sz w:val="36"/>
          <w:szCs w:val="36"/>
        </w:rPr>
        <w:t>3</w:t>
      </w:r>
      <w:r w:rsidRPr="00C4492C">
        <w:rPr>
          <w:b/>
          <w:sz w:val="36"/>
          <w:szCs w:val="36"/>
        </w:rPr>
        <w:t>月</w:t>
      </w:r>
      <w:r w:rsidRPr="00C4492C">
        <w:rPr>
          <w:b/>
          <w:sz w:val="36"/>
          <w:szCs w:val="36"/>
        </w:rPr>
        <w:t>31</w:t>
      </w:r>
      <w:r w:rsidRPr="00C4492C">
        <w:rPr>
          <w:b/>
          <w:sz w:val="36"/>
          <w:szCs w:val="36"/>
        </w:rPr>
        <w:t>日</w:t>
      </w:r>
    </w:p>
    <w:p w:rsidR="009C1DE9" w:rsidRPr="006662B2" w:rsidRDefault="009C1DE9" w:rsidP="00814461">
      <w:pPr>
        <w:spacing w:line="360" w:lineRule="auto"/>
        <w:jc w:val="center"/>
        <w:rPr>
          <w:rFonts w:asciiTheme="minorEastAsia" w:eastAsiaTheme="minorEastAsia" w:hAnsiTheme="minorEastAsia"/>
          <w:b/>
          <w:bCs/>
          <w:color w:val="000000"/>
          <w:sz w:val="24"/>
        </w:rPr>
      </w:pPr>
    </w:p>
    <w:p w:rsidR="00A147F8" w:rsidRPr="006662B2" w:rsidRDefault="00A147F8" w:rsidP="00A147F8">
      <w:pPr>
        <w:spacing w:line="360" w:lineRule="auto"/>
        <w:jc w:val="center"/>
        <w:rPr>
          <w:rFonts w:asciiTheme="minorEastAsia" w:eastAsiaTheme="minorEastAsia" w:hAnsiTheme="minorEastAsia" w:cs="宋体"/>
          <w:b/>
          <w:bCs/>
          <w:color w:val="000000"/>
          <w:sz w:val="24"/>
        </w:rPr>
      </w:pPr>
    </w:p>
    <w:p w:rsidR="00186667" w:rsidRPr="006662B2" w:rsidRDefault="00186667"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CD3718"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795056"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基金管理人：</w:t>
      </w:r>
      <w:r w:rsidRPr="00C4492C">
        <w:rPr>
          <w:rFonts w:hAnsi="宋体"/>
          <w:b/>
          <w:color w:val="000000"/>
          <w:sz w:val="24"/>
        </w:rPr>
        <w:t>交银施罗德基金管理有限公司</w:t>
      </w: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基金托管人：</w:t>
      </w:r>
      <w:r w:rsidRPr="00C4492C">
        <w:rPr>
          <w:rFonts w:hAnsi="宋体"/>
          <w:b/>
          <w:color w:val="000000"/>
          <w:sz w:val="24"/>
        </w:rPr>
        <w:t>中信银行股份有限公司</w:t>
      </w:r>
    </w:p>
    <w:p w:rsidR="00902E3F" w:rsidRPr="00C4492C" w:rsidRDefault="00A147F8" w:rsidP="00C4492C">
      <w:pPr>
        <w:spacing w:before="29" w:line="288" w:lineRule="auto"/>
        <w:ind w:firstLineChars="900" w:firstLine="2168"/>
        <w:rPr>
          <w:rFonts w:hAnsi="宋体"/>
          <w:b/>
          <w:color w:val="000000"/>
          <w:sz w:val="24"/>
        </w:rPr>
        <w:sectPr w:rsidR="00902E3F" w:rsidRPr="00C4492C" w:rsidSect="005633AD">
          <w:headerReference w:type="default" r:id="rId8"/>
          <w:footerReference w:type="default" r:id="rId9"/>
          <w:pgSz w:w="11926" w:h="15840"/>
          <w:pgMar w:top="1418" w:right="1418" w:bottom="851" w:left="1418" w:header="851" w:footer="992" w:gutter="0"/>
          <w:cols w:space="720"/>
          <w:noEndnote/>
        </w:sectPr>
      </w:pPr>
      <w:r w:rsidRPr="00C4492C">
        <w:rPr>
          <w:rFonts w:hAnsi="宋体" w:hint="eastAsia"/>
          <w:b/>
          <w:color w:val="000000"/>
          <w:sz w:val="24"/>
        </w:rPr>
        <w:t>报告送出日期：</w:t>
      </w:r>
      <w:r w:rsidR="00EB5186" w:rsidRPr="00C4492C">
        <w:rPr>
          <w:rFonts w:hAnsi="宋体"/>
          <w:b/>
          <w:color w:val="000000"/>
          <w:sz w:val="24"/>
        </w:rPr>
        <w:t>二〇一六年四月二十日</w:t>
      </w:r>
    </w:p>
    <w:p w:rsidR="00902E3F" w:rsidRPr="00CC0A34" w:rsidRDefault="00902E3F" w:rsidP="00BA26A0">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lastRenderedPageBreak/>
        <w:t>§</w:t>
      </w:r>
      <w:r w:rsidRPr="00CC0A34">
        <w:rPr>
          <w:color w:val="000000"/>
          <w:kern w:val="0"/>
          <w:sz w:val="24"/>
          <w:szCs w:val="24"/>
        </w:rPr>
        <w:t xml:space="preserve">1  </w:t>
      </w:r>
      <w:r w:rsidRPr="00CC0A34">
        <w:rPr>
          <w:rFonts w:hint="eastAsia"/>
          <w:color w:val="000000"/>
          <w:kern w:val="0"/>
          <w:sz w:val="24"/>
          <w:szCs w:val="24"/>
        </w:rPr>
        <w:t>重要提示</w:t>
      </w:r>
    </w:p>
    <w:p w:rsidR="00BD618B" w:rsidRDefault="00804C79">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D618B" w:rsidRDefault="00804C79">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D618B" w:rsidRDefault="00804C79">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D618B" w:rsidRDefault="00804C79">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D618B" w:rsidRDefault="00804C79">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DA67B3" w:rsidRDefault="00DA67B3" w:rsidP="00CC0A34">
      <w:pPr>
        <w:adjustRightInd w:val="0"/>
        <w:spacing w:before="29" w:line="288" w:lineRule="auto"/>
        <w:ind w:firstLineChars="200" w:firstLine="480"/>
        <w:rPr>
          <w:color w:val="000000"/>
          <w:sz w:val="24"/>
        </w:rPr>
      </w:pPr>
      <w:r w:rsidRPr="00CC0A34">
        <w:rPr>
          <w:color w:val="000000"/>
          <w:sz w:val="24"/>
        </w:rPr>
        <w:t>本报告期自</w:t>
      </w:r>
      <w:r w:rsidRPr="00CC0A34">
        <w:rPr>
          <w:color w:val="000000"/>
          <w:sz w:val="24"/>
        </w:rPr>
        <w:t>2016</w:t>
      </w:r>
      <w:r w:rsidRPr="00CC0A34">
        <w:rPr>
          <w:color w:val="000000"/>
          <w:sz w:val="24"/>
        </w:rPr>
        <w:t>年</w:t>
      </w:r>
      <w:r w:rsidRPr="00CC0A34">
        <w:rPr>
          <w:color w:val="000000"/>
          <w:sz w:val="24"/>
        </w:rPr>
        <w:t>1</w:t>
      </w:r>
      <w:r w:rsidRPr="00CC0A34">
        <w:rPr>
          <w:color w:val="000000"/>
          <w:sz w:val="24"/>
        </w:rPr>
        <w:t>月</w:t>
      </w:r>
      <w:r w:rsidRPr="00CC0A34">
        <w:rPr>
          <w:color w:val="000000"/>
          <w:sz w:val="24"/>
        </w:rPr>
        <w:t>1</w:t>
      </w:r>
      <w:r w:rsidRPr="00CC0A34">
        <w:rPr>
          <w:color w:val="000000"/>
          <w:sz w:val="24"/>
        </w:rPr>
        <w:t>日起至</w:t>
      </w:r>
      <w:r w:rsidRPr="00CC0A34">
        <w:rPr>
          <w:color w:val="000000"/>
          <w:sz w:val="24"/>
        </w:rPr>
        <w:t>3</w:t>
      </w:r>
      <w:r w:rsidRPr="00CC0A34">
        <w:rPr>
          <w:color w:val="000000"/>
          <w:sz w:val="24"/>
        </w:rPr>
        <w:t>月</w:t>
      </w:r>
      <w:r w:rsidRPr="00CC0A34">
        <w:rPr>
          <w:color w:val="000000"/>
          <w:sz w:val="24"/>
        </w:rPr>
        <w:t>31</w:t>
      </w:r>
      <w:r w:rsidRPr="00CC0A34">
        <w:rPr>
          <w:color w:val="000000"/>
          <w:sz w:val="24"/>
        </w:rPr>
        <w:t>日止。</w:t>
      </w:r>
    </w:p>
    <w:p w:rsidR="00CB08EA" w:rsidRPr="00CC0A34" w:rsidRDefault="00CB08EA" w:rsidP="00CC0A34">
      <w:pPr>
        <w:adjustRightInd w:val="0"/>
        <w:spacing w:before="29" w:line="288" w:lineRule="auto"/>
        <w:ind w:firstLineChars="200" w:firstLine="480"/>
        <w:rPr>
          <w:color w:val="000000"/>
          <w:sz w:val="24"/>
        </w:rPr>
      </w:pPr>
    </w:p>
    <w:p w:rsidR="00902E3F" w:rsidRPr="00CC0A34" w:rsidRDefault="00902E3F" w:rsidP="00BA26A0">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t>§</w:t>
      </w:r>
      <w:r w:rsidRPr="00CC0A34">
        <w:rPr>
          <w:color w:val="000000"/>
          <w:kern w:val="0"/>
          <w:sz w:val="24"/>
          <w:szCs w:val="24"/>
        </w:rPr>
        <w:t xml:space="preserve">2  </w:t>
      </w:r>
      <w:r w:rsidRPr="00CC0A34">
        <w:rPr>
          <w:rFonts w:hint="eastAsia"/>
          <w:color w:val="000000"/>
          <w:kern w:val="0"/>
          <w:sz w:val="24"/>
          <w:szCs w:val="24"/>
        </w:rPr>
        <w:t>基金产品概况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5930"/>
      </w:tblGrid>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基金简称</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交银现金宝货币</w:t>
            </w:r>
          </w:p>
        </w:tc>
      </w:tr>
      <w:tr w:rsidR="00637395" w:rsidRPr="006662B2" w:rsidTr="00BA7C71">
        <w:tc>
          <w:tcPr>
            <w:tcW w:w="2835" w:type="dxa"/>
            <w:tcBorders>
              <w:top w:val="single" w:sz="4" w:space="0" w:color="auto"/>
              <w:left w:val="single" w:sz="4" w:space="0" w:color="auto"/>
              <w:bottom w:val="single" w:sz="4" w:space="0" w:color="auto"/>
              <w:right w:val="single" w:sz="4" w:space="0" w:color="auto"/>
            </w:tcBorders>
            <w:vAlign w:val="center"/>
            <w:hideMark/>
          </w:tcPr>
          <w:p w:rsidR="00637395" w:rsidRPr="00322F2E" w:rsidRDefault="00637395" w:rsidP="00322F2E">
            <w:pPr>
              <w:adjustRightInd w:val="0"/>
              <w:spacing w:before="29" w:line="288" w:lineRule="auto"/>
              <w:ind w:left="17"/>
              <w:jc w:val="left"/>
              <w:rPr>
                <w:rFonts w:hAnsi="宋体"/>
                <w:kern w:val="0"/>
                <w:sz w:val="24"/>
              </w:rPr>
            </w:pPr>
            <w:r w:rsidRPr="00322F2E">
              <w:rPr>
                <w:rFonts w:hAnsi="宋体" w:hint="eastAsia"/>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637395" w:rsidRPr="00CC0A34" w:rsidRDefault="0063739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017E35" w:rsidRPr="006662B2" w:rsidTr="00BA7C71">
        <w:tc>
          <w:tcPr>
            <w:tcW w:w="2835" w:type="dxa"/>
            <w:tcBorders>
              <w:top w:val="single" w:sz="4" w:space="0" w:color="auto"/>
              <w:left w:val="single" w:sz="4" w:space="0" w:color="auto"/>
              <w:bottom w:val="single" w:sz="4" w:space="0" w:color="auto"/>
              <w:right w:val="single" w:sz="4" w:space="0" w:color="auto"/>
            </w:tcBorders>
            <w:vAlign w:val="center"/>
          </w:tcPr>
          <w:p w:rsidR="00017E35" w:rsidRPr="00322F2E" w:rsidRDefault="00017E35" w:rsidP="00322F2E">
            <w:pPr>
              <w:adjustRightInd w:val="0"/>
              <w:spacing w:before="29" w:line="288" w:lineRule="auto"/>
              <w:ind w:left="17"/>
              <w:jc w:val="left"/>
              <w:rPr>
                <w:rFonts w:hAnsi="宋体"/>
                <w:kern w:val="0"/>
                <w:sz w:val="24"/>
              </w:rPr>
            </w:pPr>
            <w:r w:rsidRPr="00322F2E">
              <w:rPr>
                <w:rFonts w:hAnsi="宋体" w:hint="eastAsia"/>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017E35" w:rsidRPr="00CC0A34" w:rsidRDefault="00017E3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基金运作方式</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契约型开放式</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基金合同生效日</w:t>
            </w:r>
          </w:p>
        </w:tc>
        <w:tc>
          <w:tcPr>
            <w:tcW w:w="5479" w:type="dxa"/>
            <w:vAlign w:val="center"/>
          </w:tcPr>
          <w:p w:rsidR="00DA67B3" w:rsidRPr="00CC0A34" w:rsidRDefault="00CA0F59" w:rsidP="00CC0A34">
            <w:pPr>
              <w:adjustRightInd w:val="0"/>
              <w:spacing w:before="29" w:line="288" w:lineRule="auto"/>
              <w:ind w:left="17"/>
              <w:jc w:val="left"/>
              <w:rPr>
                <w:color w:val="000000"/>
                <w:kern w:val="0"/>
                <w:sz w:val="24"/>
              </w:rPr>
            </w:pPr>
            <w:r w:rsidRPr="00CC0A34">
              <w:rPr>
                <w:color w:val="000000"/>
                <w:kern w:val="0"/>
                <w:sz w:val="24"/>
              </w:rPr>
              <w:t>2014</w:t>
            </w:r>
            <w:r w:rsidRPr="00CC0A34">
              <w:rPr>
                <w:color w:val="000000"/>
                <w:kern w:val="0"/>
                <w:sz w:val="24"/>
              </w:rPr>
              <w:t>年</w:t>
            </w:r>
            <w:r w:rsidRPr="00CC0A34">
              <w:rPr>
                <w:color w:val="000000"/>
                <w:kern w:val="0"/>
                <w:sz w:val="24"/>
              </w:rPr>
              <w:t>9</w:t>
            </w:r>
            <w:r w:rsidRPr="00CC0A34">
              <w:rPr>
                <w:color w:val="000000"/>
                <w:kern w:val="0"/>
                <w:sz w:val="24"/>
              </w:rPr>
              <w:t>月</w:t>
            </w:r>
            <w:r w:rsidRPr="00CC0A34">
              <w:rPr>
                <w:color w:val="000000"/>
                <w:kern w:val="0"/>
                <w:sz w:val="24"/>
              </w:rPr>
              <w:t>12</w:t>
            </w:r>
            <w:r w:rsidRPr="00CC0A34">
              <w:rPr>
                <w:color w:val="000000"/>
                <w:kern w:val="0"/>
                <w:sz w:val="24"/>
              </w:rPr>
              <w:t>日</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报告期末基金份额总额</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2,896,249,172.22</w:t>
            </w:r>
            <w:r w:rsidR="005F409A" w:rsidRPr="00CC0A34">
              <w:rPr>
                <w:rFonts w:hint="eastAsia"/>
                <w:color w:val="000000"/>
                <w:kern w:val="0"/>
                <w:sz w:val="24"/>
              </w:rPr>
              <w:t>份</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投资目标</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在力求本金安全性和资产充分流动性的前提下，追求超过业绩比较基准的投资收益。</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投资策略</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业绩比较基准</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活期存款利率（税后）</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风险收益特征</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本基金属于货币市场基金，是证券投资基金中的低风险品种，长期风险收益水平低于股票型基金、混合型基金和债券型基金。</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lastRenderedPageBreak/>
              <w:t>基金管理人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交银施罗德基金管理有限公司</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基金托管人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中信银行股份有限公司</w:t>
            </w:r>
          </w:p>
        </w:tc>
      </w:tr>
    </w:tbl>
    <w:p w:rsidR="00FD0100" w:rsidRPr="00611AEC" w:rsidRDefault="00FD0100" w:rsidP="00611AEC">
      <w:pPr>
        <w:autoSpaceDE w:val="0"/>
        <w:autoSpaceDN w:val="0"/>
        <w:adjustRightInd w:val="0"/>
        <w:spacing w:before="29" w:line="288" w:lineRule="auto"/>
        <w:jc w:val="left"/>
        <w:rPr>
          <w:color w:val="000000"/>
          <w:sz w:val="24"/>
        </w:rPr>
      </w:pPr>
    </w:p>
    <w:p w:rsidR="00902E3F" w:rsidRPr="00611AEC" w:rsidRDefault="00902E3F" w:rsidP="00BA26A0">
      <w:pPr>
        <w:pStyle w:val="1"/>
        <w:spacing w:beforeLines="100" w:before="240" w:afterLines="100" w:after="240" w:line="288" w:lineRule="auto"/>
        <w:jc w:val="center"/>
        <w:rPr>
          <w:color w:val="000000"/>
          <w:kern w:val="0"/>
          <w:sz w:val="24"/>
          <w:szCs w:val="24"/>
        </w:rPr>
      </w:pPr>
      <w:r w:rsidRPr="00611AEC">
        <w:rPr>
          <w:rFonts w:hint="eastAsia"/>
          <w:color w:val="000000"/>
          <w:kern w:val="0"/>
          <w:sz w:val="24"/>
          <w:szCs w:val="24"/>
        </w:rPr>
        <w:t>§</w:t>
      </w:r>
      <w:r w:rsidRPr="00611AEC">
        <w:rPr>
          <w:color w:val="000000"/>
          <w:kern w:val="0"/>
          <w:sz w:val="24"/>
          <w:szCs w:val="24"/>
        </w:rPr>
        <w:t xml:space="preserve">3  </w:t>
      </w:r>
      <w:r w:rsidRPr="00611AEC">
        <w:rPr>
          <w:rFonts w:hint="eastAsia"/>
          <w:color w:val="000000"/>
          <w:kern w:val="0"/>
          <w:sz w:val="24"/>
          <w:szCs w:val="24"/>
        </w:rPr>
        <w:t>主要财务指标和基金净值表现</w:t>
      </w:r>
    </w:p>
    <w:p w:rsidR="00902E3F" w:rsidRPr="006662B2" w:rsidRDefault="00902E3F" w:rsidP="00611AEC">
      <w:pPr>
        <w:spacing w:before="29" w:line="288" w:lineRule="auto"/>
        <w:rPr>
          <w:rFonts w:asciiTheme="minorEastAsia" w:eastAsiaTheme="minorEastAsia" w:hAnsiTheme="minorEastAsia" w:cs="Arial"/>
          <w:b/>
          <w:color w:val="000000"/>
          <w:kern w:val="0"/>
          <w:sz w:val="24"/>
        </w:rPr>
      </w:pPr>
      <w:r w:rsidRPr="006662B2">
        <w:rPr>
          <w:rFonts w:asciiTheme="minorEastAsia" w:eastAsiaTheme="minorEastAsia" w:hAnsiTheme="minorEastAsia" w:cs="Arial"/>
          <w:b/>
          <w:color w:val="000000"/>
          <w:kern w:val="0"/>
          <w:sz w:val="24"/>
        </w:rPr>
        <w:t xml:space="preserve">3.1 </w:t>
      </w:r>
      <w:r w:rsidRPr="006662B2">
        <w:rPr>
          <w:rFonts w:asciiTheme="minorEastAsia" w:eastAsiaTheme="minorEastAsia" w:hAnsiTheme="minorEastAsia" w:cs="Arial" w:hint="eastAsia"/>
          <w:b/>
          <w:color w:val="000000"/>
          <w:kern w:val="0"/>
          <w:sz w:val="24"/>
        </w:rPr>
        <w:t>主要财务指标</w:t>
      </w:r>
    </w:p>
    <w:p w:rsidR="00902E3F" w:rsidRPr="00611AEC" w:rsidRDefault="00902E3F" w:rsidP="00611AEC">
      <w:pPr>
        <w:autoSpaceDE w:val="0"/>
        <w:autoSpaceDN w:val="0"/>
        <w:adjustRightInd w:val="0"/>
        <w:spacing w:before="29" w:line="288" w:lineRule="auto"/>
        <w:ind w:left="15"/>
        <w:jc w:val="right"/>
        <w:rPr>
          <w:rFonts w:hAnsi="宋体"/>
          <w:color w:val="000000"/>
          <w:kern w:val="0"/>
          <w:sz w:val="24"/>
        </w:rPr>
      </w:pPr>
      <w:r w:rsidRPr="00611AEC">
        <w:rPr>
          <w:rFonts w:hAnsi="宋体"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5338"/>
      </w:tblGrid>
      <w:tr w:rsidR="00804C79" w:rsidRPr="006662B2" w:rsidTr="00804C79">
        <w:tc>
          <w:tcPr>
            <w:tcW w:w="3402" w:type="dxa"/>
            <w:vAlign w:val="center"/>
          </w:tcPr>
          <w:p w:rsidR="00D43232" w:rsidRPr="00611AEC" w:rsidRDefault="00D43232" w:rsidP="00611AEC">
            <w:pPr>
              <w:adjustRightInd w:val="0"/>
              <w:spacing w:before="29" w:line="288" w:lineRule="auto"/>
              <w:ind w:left="17"/>
              <w:jc w:val="center"/>
              <w:rPr>
                <w:rFonts w:hAnsi="宋体"/>
                <w:kern w:val="0"/>
                <w:sz w:val="24"/>
              </w:rPr>
            </w:pPr>
            <w:r w:rsidRPr="00611AEC">
              <w:rPr>
                <w:rFonts w:hAnsi="宋体" w:hint="eastAsia"/>
                <w:kern w:val="0"/>
                <w:sz w:val="24"/>
              </w:rPr>
              <w:t>主要财务指标</w:t>
            </w:r>
          </w:p>
        </w:tc>
        <w:tc>
          <w:tcPr>
            <w:tcW w:w="4962" w:type="dxa"/>
            <w:vAlign w:val="center"/>
          </w:tcPr>
          <w:p w:rsidR="00D43232" w:rsidRPr="00611AEC" w:rsidRDefault="0004063B" w:rsidP="00611AEC">
            <w:pPr>
              <w:adjustRightInd w:val="0"/>
              <w:spacing w:before="29" w:line="288" w:lineRule="auto"/>
              <w:ind w:left="17"/>
              <w:jc w:val="center"/>
              <w:rPr>
                <w:color w:val="000000"/>
                <w:kern w:val="0"/>
                <w:sz w:val="24"/>
              </w:rPr>
            </w:pPr>
            <w:r w:rsidRPr="00611AEC">
              <w:rPr>
                <w:rFonts w:hint="eastAsia"/>
                <w:color w:val="000000"/>
                <w:kern w:val="0"/>
                <w:sz w:val="24"/>
              </w:rPr>
              <w:t>报告期（</w:t>
            </w:r>
            <w:r w:rsidRPr="00611AEC">
              <w:rPr>
                <w:color w:val="000000"/>
                <w:kern w:val="0"/>
                <w:sz w:val="24"/>
              </w:rPr>
              <w:t>2016</w:t>
            </w:r>
            <w:r w:rsidRPr="00611AEC">
              <w:rPr>
                <w:color w:val="000000"/>
                <w:kern w:val="0"/>
                <w:sz w:val="24"/>
              </w:rPr>
              <w:t>年</w:t>
            </w:r>
            <w:r w:rsidRPr="00611AEC">
              <w:rPr>
                <w:color w:val="000000"/>
                <w:kern w:val="0"/>
                <w:sz w:val="24"/>
              </w:rPr>
              <w:t>1</w:t>
            </w:r>
            <w:r w:rsidRPr="00611AEC">
              <w:rPr>
                <w:color w:val="000000"/>
                <w:kern w:val="0"/>
                <w:sz w:val="24"/>
              </w:rPr>
              <w:t>月</w:t>
            </w:r>
            <w:r w:rsidRPr="00611AEC">
              <w:rPr>
                <w:color w:val="000000"/>
                <w:kern w:val="0"/>
                <w:sz w:val="24"/>
              </w:rPr>
              <w:t>1</w:t>
            </w:r>
            <w:r w:rsidRPr="00611AEC">
              <w:rPr>
                <w:color w:val="000000"/>
                <w:kern w:val="0"/>
                <w:sz w:val="24"/>
              </w:rPr>
              <w:t>日</w:t>
            </w:r>
            <w:r w:rsidRPr="00611AEC">
              <w:rPr>
                <w:rFonts w:hint="eastAsia"/>
                <w:color w:val="000000"/>
                <w:kern w:val="0"/>
                <w:sz w:val="24"/>
              </w:rPr>
              <w:t>-</w:t>
            </w:r>
            <w:r w:rsidRPr="00611AEC">
              <w:rPr>
                <w:color w:val="000000"/>
                <w:kern w:val="0"/>
                <w:sz w:val="24"/>
              </w:rPr>
              <w:t>2016</w:t>
            </w:r>
            <w:r w:rsidRPr="00611AEC">
              <w:rPr>
                <w:color w:val="000000"/>
                <w:kern w:val="0"/>
                <w:sz w:val="24"/>
              </w:rPr>
              <w:t>年</w:t>
            </w:r>
            <w:r w:rsidRPr="00611AEC">
              <w:rPr>
                <w:color w:val="000000"/>
                <w:kern w:val="0"/>
                <w:sz w:val="24"/>
              </w:rPr>
              <w:t>3</w:t>
            </w:r>
            <w:r w:rsidRPr="00611AEC">
              <w:rPr>
                <w:color w:val="000000"/>
                <w:kern w:val="0"/>
                <w:sz w:val="24"/>
              </w:rPr>
              <w:t>月</w:t>
            </w:r>
            <w:r w:rsidRPr="00611AEC">
              <w:rPr>
                <w:color w:val="000000"/>
                <w:kern w:val="0"/>
                <w:sz w:val="24"/>
              </w:rPr>
              <w:t>31</w:t>
            </w:r>
            <w:r w:rsidRPr="00611AEC">
              <w:rPr>
                <w:color w:val="000000"/>
                <w:kern w:val="0"/>
                <w:sz w:val="24"/>
              </w:rPr>
              <w:t>日</w:t>
            </w:r>
            <w:r w:rsidRPr="00611AEC">
              <w:rPr>
                <w:rFonts w:hint="eastAsia"/>
                <w:color w:val="000000"/>
                <w:kern w:val="0"/>
                <w:sz w:val="24"/>
              </w:rPr>
              <w:t>）</w:t>
            </w:r>
          </w:p>
        </w:tc>
      </w:tr>
      <w:tr w:rsidR="00804C79" w:rsidRPr="006662B2" w:rsidTr="00804C79">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8D4143">
              <w:rPr>
                <w:kern w:val="0"/>
                <w:sz w:val="24"/>
              </w:rPr>
              <w:t>1.</w:t>
            </w:r>
            <w:r w:rsidRPr="008D4143">
              <w:rPr>
                <w:rFonts w:hint="eastAsia"/>
                <w:kern w:val="0"/>
                <w:sz w:val="24"/>
              </w:rPr>
              <w:t>本期已实现收益</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14,831,941.15</w:t>
            </w:r>
          </w:p>
        </w:tc>
      </w:tr>
      <w:tr w:rsidR="00804C79" w:rsidRPr="006662B2" w:rsidTr="00804C79">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611AEC">
              <w:rPr>
                <w:rFonts w:hAnsi="宋体"/>
                <w:kern w:val="0"/>
                <w:sz w:val="24"/>
              </w:rPr>
              <w:t>2.</w:t>
            </w:r>
            <w:r w:rsidRPr="00611AEC">
              <w:rPr>
                <w:rFonts w:hAnsi="宋体" w:hint="eastAsia"/>
                <w:kern w:val="0"/>
                <w:sz w:val="24"/>
              </w:rPr>
              <w:t>本期利润</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14,831,941.15</w:t>
            </w:r>
          </w:p>
        </w:tc>
      </w:tr>
      <w:tr w:rsidR="00804C79" w:rsidRPr="006662B2" w:rsidTr="00804C79">
        <w:tc>
          <w:tcPr>
            <w:tcW w:w="3402" w:type="dxa"/>
            <w:vAlign w:val="center"/>
          </w:tcPr>
          <w:p w:rsidR="00D43232" w:rsidRPr="00611AEC" w:rsidRDefault="00DA3451" w:rsidP="00CD3718">
            <w:pPr>
              <w:adjustRightInd w:val="0"/>
              <w:spacing w:before="29" w:line="288" w:lineRule="auto"/>
              <w:ind w:left="17"/>
              <w:rPr>
                <w:rFonts w:hAnsi="宋体"/>
                <w:kern w:val="0"/>
                <w:sz w:val="24"/>
              </w:rPr>
            </w:pPr>
            <w:r w:rsidRPr="00611AEC">
              <w:rPr>
                <w:rFonts w:hAnsi="宋体" w:hint="eastAsia"/>
                <w:kern w:val="0"/>
                <w:sz w:val="24"/>
              </w:rPr>
              <w:t>3</w:t>
            </w:r>
            <w:r w:rsidR="00D43232" w:rsidRPr="00611AEC">
              <w:rPr>
                <w:rFonts w:hAnsi="宋体"/>
                <w:kern w:val="0"/>
                <w:sz w:val="24"/>
              </w:rPr>
              <w:t>.</w:t>
            </w:r>
            <w:r w:rsidR="00D43232" w:rsidRPr="00611AEC">
              <w:rPr>
                <w:rFonts w:hAnsi="宋体" w:hint="eastAsia"/>
                <w:kern w:val="0"/>
                <w:sz w:val="24"/>
              </w:rPr>
              <w:t>期末基金资产净值</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2,896,249,172.22</w:t>
            </w:r>
          </w:p>
        </w:tc>
      </w:tr>
    </w:tbl>
    <w:p w:rsidR="00BD618B" w:rsidRDefault="00804C7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、自合同生效日起，本基金按照</w:t>
      </w:r>
      <w:r>
        <w:rPr>
          <w:color w:val="000000"/>
          <w:sz w:val="24"/>
        </w:rPr>
        <w:t>0.25%</w:t>
      </w:r>
      <w:r>
        <w:rPr>
          <w:color w:val="000000"/>
          <w:sz w:val="24"/>
        </w:rPr>
        <w:t>的年费率计提销售服务费。</w:t>
      </w:r>
    </w:p>
    <w:p w:rsidR="00D43232" w:rsidRPr="00CE1F91" w:rsidRDefault="00D43232" w:rsidP="00CE1F91">
      <w:pPr>
        <w:autoSpaceDE w:val="0"/>
        <w:autoSpaceDN w:val="0"/>
        <w:adjustRightInd w:val="0"/>
        <w:spacing w:before="29" w:line="288" w:lineRule="auto"/>
        <w:jc w:val="left"/>
        <w:rPr>
          <w:color w:val="000000"/>
          <w:sz w:val="24"/>
        </w:rPr>
      </w:pPr>
      <w:r w:rsidRPr="00CE1F91">
        <w:rPr>
          <w:color w:val="000000"/>
          <w:sz w:val="24"/>
        </w:rPr>
        <w:t xml:space="preserve">   2</w:t>
      </w:r>
      <w:r w:rsidRPr="00CE1F91">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A37D1" w:rsidRDefault="00902E3F" w:rsidP="000A37D1">
      <w:pPr>
        <w:spacing w:before="29" w:line="288" w:lineRule="auto"/>
        <w:rPr>
          <w:b/>
          <w:color w:val="000000"/>
          <w:kern w:val="0"/>
          <w:sz w:val="24"/>
        </w:rPr>
      </w:pPr>
      <w:r w:rsidRPr="000A37D1">
        <w:rPr>
          <w:b/>
          <w:color w:val="000000"/>
          <w:kern w:val="0"/>
          <w:sz w:val="24"/>
        </w:rPr>
        <w:t xml:space="preserve">3.2 </w:t>
      </w:r>
      <w:r w:rsidRPr="000A37D1">
        <w:rPr>
          <w:rFonts w:hint="eastAsia"/>
          <w:b/>
          <w:color w:val="000000"/>
          <w:kern w:val="0"/>
          <w:sz w:val="24"/>
        </w:rPr>
        <w:t>基金净值表现</w:t>
      </w:r>
    </w:p>
    <w:p w:rsidR="00902E3F" w:rsidRPr="000A37D1" w:rsidRDefault="00902E3F" w:rsidP="000A37D1">
      <w:pPr>
        <w:spacing w:before="29" w:line="288" w:lineRule="auto"/>
        <w:rPr>
          <w:b/>
          <w:color w:val="000000"/>
          <w:kern w:val="0"/>
          <w:sz w:val="24"/>
        </w:rPr>
      </w:pPr>
      <w:r w:rsidRPr="000A37D1">
        <w:rPr>
          <w:b/>
          <w:color w:val="000000"/>
          <w:kern w:val="0"/>
          <w:sz w:val="24"/>
        </w:rPr>
        <w:t xml:space="preserve">3.2.1 </w:t>
      </w:r>
      <w:r w:rsidRPr="000A37D1">
        <w:rPr>
          <w:rFonts w:hint="eastAsia"/>
          <w:b/>
          <w:color w:val="000000"/>
          <w:kern w:val="0"/>
          <w:sz w:val="24"/>
        </w:rPr>
        <w:t>本报告期基金份额净值收益率及其与同期业绩比较基准收益率的比较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285"/>
        <w:gridCol w:w="1285"/>
        <w:gridCol w:w="1286"/>
        <w:gridCol w:w="1286"/>
        <w:gridCol w:w="1286"/>
        <w:gridCol w:w="1286"/>
      </w:tblGrid>
      <w:tr w:rsidR="003A169E" w:rsidRPr="006662B2" w:rsidTr="00A8129A">
        <w:tc>
          <w:tcPr>
            <w:tcW w:w="1266"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阶段</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净值收益率①</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净值收益率标准差②</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业绩比较基准收益率③</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业绩比较基准收益率标准差④</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①</w:t>
            </w:r>
            <w:r w:rsidRPr="000A37D1">
              <w:rPr>
                <w:rFonts w:ascii="Times New Roman" w:hint="eastAsia"/>
                <w:color w:val="000000"/>
                <w:szCs w:val="24"/>
              </w:rPr>
              <w:t>-</w:t>
            </w:r>
            <w:r w:rsidRPr="000A37D1">
              <w:rPr>
                <w:rFonts w:ascii="Times New Roman" w:hint="eastAsia"/>
                <w:color w:val="000000"/>
                <w:szCs w:val="24"/>
              </w:rPr>
              <w:t>③</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②</w:t>
            </w:r>
            <w:r w:rsidRPr="000A37D1">
              <w:rPr>
                <w:rFonts w:ascii="Times New Roman" w:hint="eastAsia"/>
                <w:color w:val="000000"/>
                <w:szCs w:val="24"/>
              </w:rPr>
              <w:t>-</w:t>
            </w:r>
            <w:r w:rsidRPr="000A37D1">
              <w:rPr>
                <w:rFonts w:ascii="Times New Roman" w:hint="eastAsia"/>
                <w:color w:val="000000"/>
                <w:szCs w:val="24"/>
              </w:rPr>
              <w:t>④</w:t>
            </w:r>
          </w:p>
        </w:tc>
      </w:tr>
      <w:tr w:rsidR="00BD618B">
        <w:tc>
          <w:tcPr>
            <w:tcW w:w="1284" w:type="dxa"/>
            <w:vAlign w:val="center"/>
          </w:tcPr>
          <w:p w:rsidR="00BD618B" w:rsidRDefault="00804C79">
            <w:pPr>
              <w:jc w:val="left"/>
            </w:pPr>
            <w:r>
              <w:rPr>
                <w:color w:val="000000"/>
              </w:rPr>
              <w:t>过去三个月</w:t>
            </w:r>
          </w:p>
        </w:tc>
        <w:tc>
          <w:tcPr>
            <w:tcW w:w="1285" w:type="dxa"/>
            <w:vAlign w:val="center"/>
          </w:tcPr>
          <w:p w:rsidR="00BD618B" w:rsidRDefault="00804C79">
            <w:pPr>
              <w:jc w:val="center"/>
            </w:pPr>
            <w:r>
              <w:rPr>
                <w:color w:val="000000"/>
              </w:rPr>
              <w:t>0.6025%</w:t>
            </w:r>
          </w:p>
        </w:tc>
        <w:tc>
          <w:tcPr>
            <w:tcW w:w="1285" w:type="dxa"/>
            <w:vAlign w:val="center"/>
          </w:tcPr>
          <w:p w:rsidR="00BD618B" w:rsidRDefault="00804C79">
            <w:pPr>
              <w:jc w:val="center"/>
            </w:pPr>
            <w:r>
              <w:rPr>
                <w:color w:val="000000"/>
              </w:rPr>
              <w:t>0.0015%</w:t>
            </w:r>
          </w:p>
        </w:tc>
        <w:tc>
          <w:tcPr>
            <w:tcW w:w="1286" w:type="dxa"/>
            <w:vAlign w:val="center"/>
          </w:tcPr>
          <w:p w:rsidR="00BD618B" w:rsidRDefault="00804C79">
            <w:pPr>
              <w:jc w:val="center"/>
            </w:pPr>
            <w:r>
              <w:rPr>
                <w:color w:val="000000"/>
              </w:rPr>
              <w:t>0.0873%</w:t>
            </w:r>
          </w:p>
        </w:tc>
        <w:tc>
          <w:tcPr>
            <w:tcW w:w="1286" w:type="dxa"/>
            <w:vAlign w:val="center"/>
          </w:tcPr>
          <w:p w:rsidR="00BD618B" w:rsidRDefault="00804C79">
            <w:pPr>
              <w:jc w:val="center"/>
            </w:pPr>
            <w:r>
              <w:rPr>
                <w:color w:val="000000"/>
              </w:rPr>
              <w:t>0.0000%</w:t>
            </w:r>
          </w:p>
        </w:tc>
        <w:tc>
          <w:tcPr>
            <w:tcW w:w="1286" w:type="dxa"/>
            <w:vAlign w:val="center"/>
          </w:tcPr>
          <w:p w:rsidR="00BD618B" w:rsidRDefault="00804C79">
            <w:pPr>
              <w:jc w:val="center"/>
            </w:pPr>
            <w:r>
              <w:rPr>
                <w:color w:val="000000"/>
              </w:rPr>
              <w:t>0.5152%</w:t>
            </w:r>
          </w:p>
        </w:tc>
        <w:tc>
          <w:tcPr>
            <w:tcW w:w="1286" w:type="dxa"/>
            <w:vAlign w:val="center"/>
          </w:tcPr>
          <w:p w:rsidR="00BD618B" w:rsidRDefault="00804C79">
            <w:pPr>
              <w:jc w:val="center"/>
            </w:pPr>
            <w:r>
              <w:rPr>
                <w:color w:val="000000"/>
              </w:rPr>
              <w:t>0.0015%</w:t>
            </w:r>
          </w:p>
        </w:tc>
      </w:tr>
    </w:tbl>
    <w:p w:rsidR="00C86529" w:rsidRPr="000A37D1" w:rsidRDefault="00C86529" w:rsidP="000A37D1">
      <w:pPr>
        <w:autoSpaceDE w:val="0"/>
        <w:autoSpaceDN w:val="0"/>
        <w:adjustRightInd w:val="0"/>
        <w:spacing w:before="29" w:line="288" w:lineRule="auto"/>
        <w:jc w:val="left"/>
        <w:rPr>
          <w:color w:val="000000"/>
          <w:sz w:val="24"/>
        </w:rPr>
      </w:pPr>
      <w:r w:rsidRPr="000A37D1">
        <w:rPr>
          <w:color w:val="000000"/>
          <w:sz w:val="24"/>
        </w:rPr>
        <w:t>注：本基金收益分配按日结转份额。</w:t>
      </w:r>
    </w:p>
    <w:p w:rsidR="00E145BC" w:rsidRPr="006662B2" w:rsidRDefault="00E145BC" w:rsidP="00C30110">
      <w:pPr>
        <w:rPr>
          <w:rFonts w:asciiTheme="minorEastAsia" w:eastAsiaTheme="minorEastAsia" w:hAnsiTheme="minorEastAsia" w:cs="Arial"/>
          <w:color w:val="000000"/>
          <w:kern w:val="0"/>
          <w:sz w:val="24"/>
        </w:rPr>
      </w:pPr>
    </w:p>
    <w:p w:rsidR="00902E3F" w:rsidRPr="00567BAC" w:rsidRDefault="00902E3F" w:rsidP="00567BAC">
      <w:pPr>
        <w:spacing w:before="29" w:line="288" w:lineRule="auto"/>
        <w:rPr>
          <w:b/>
          <w:color w:val="000000"/>
          <w:kern w:val="0"/>
          <w:sz w:val="24"/>
        </w:rPr>
      </w:pPr>
      <w:r w:rsidRPr="00567BAC">
        <w:rPr>
          <w:b/>
          <w:color w:val="000000"/>
          <w:kern w:val="0"/>
          <w:sz w:val="24"/>
        </w:rPr>
        <w:t>3.2.2</w:t>
      </w:r>
      <w:r w:rsidR="00A73419">
        <w:rPr>
          <w:rFonts w:hint="eastAsia"/>
          <w:b/>
          <w:color w:val="000000"/>
          <w:kern w:val="0"/>
          <w:sz w:val="24"/>
        </w:rPr>
        <w:t xml:space="preserve"> </w:t>
      </w:r>
      <w:r w:rsidR="00A64B4F">
        <w:rPr>
          <w:rFonts w:hint="eastAsia"/>
          <w:b/>
          <w:color w:val="000000"/>
          <w:kern w:val="0"/>
          <w:sz w:val="24"/>
        </w:rPr>
        <w:t xml:space="preserve"> </w:t>
      </w:r>
      <w:r w:rsidR="00A73419" w:rsidRPr="00E0237F">
        <w:rPr>
          <w:rFonts w:hint="eastAsia"/>
          <w:b/>
          <w:color w:val="000000"/>
          <w:kern w:val="0"/>
          <w:sz w:val="24"/>
        </w:rPr>
        <w:t>自基金合同生效以来</w:t>
      </w:r>
      <w:r w:rsidRPr="00567BAC">
        <w:rPr>
          <w:rFonts w:hint="eastAsia"/>
          <w:b/>
          <w:color w:val="000000"/>
          <w:kern w:val="0"/>
          <w:sz w:val="24"/>
        </w:rPr>
        <w:t>基金累计净值收益率变动及其与同期业绩比较基准收益率变动的比较</w:t>
      </w:r>
    </w:p>
    <w:p w:rsidR="007F525E" w:rsidRPr="00567BAC" w:rsidRDefault="007F525E" w:rsidP="00567BAC">
      <w:pPr>
        <w:pStyle w:val="a6"/>
        <w:snapToGrid w:val="0"/>
        <w:spacing w:before="29" w:line="288" w:lineRule="auto"/>
        <w:jc w:val="center"/>
        <w:rPr>
          <w:rFonts w:ascii="Times New Roman" w:hAnsi="宋体"/>
          <w:sz w:val="24"/>
          <w:szCs w:val="24"/>
        </w:rPr>
      </w:pPr>
      <w:r w:rsidRPr="00567BAC">
        <w:rPr>
          <w:rFonts w:ascii="Times New Roman" w:hAnsi="宋体" w:hint="eastAsia"/>
          <w:sz w:val="24"/>
          <w:szCs w:val="24"/>
        </w:rPr>
        <w:t>交银施罗德现金宝货币市场基金</w:t>
      </w:r>
    </w:p>
    <w:p w:rsidR="00825EA5" w:rsidRPr="006662B2" w:rsidRDefault="00825EA5" w:rsidP="00567BAC">
      <w:pPr>
        <w:pStyle w:val="a6"/>
        <w:snapToGrid w:val="0"/>
        <w:spacing w:before="29" w:line="288" w:lineRule="auto"/>
        <w:jc w:val="center"/>
        <w:rPr>
          <w:rFonts w:asciiTheme="minorEastAsia" w:eastAsiaTheme="minorEastAsia" w:hAnsiTheme="minorEastAsia"/>
          <w:sz w:val="24"/>
          <w:szCs w:val="24"/>
        </w:rPr>
      </w:pPr>
      <w:r w:rsidRPr="006662B2">
        <w:rPr>
          <w:rFonts w:asciiTheme="minorEastAsia" w:eastAsiaTheme="minorEastAsia" w:hAnsiTheme="minorEastAsia" w:hint="eastAsia"/>
          <w:sz w:val="24"/>
          <w:szCs w:val="24"/>
        </w:rPr>
        <w:t>累计净值收益率与业绩比较基准收益率历史走势对比图</w:t>
      </w:r>
    </w:p>
    <w:p w:rsidR="00AC7FEB" w:rsidRPr="00567BAC" w:rsidRDefault="00AC7FEB" w:rsidP="00567BAC">
      <w:pPr>
        <w:spacing w:before="29" w:line="288" w:lineRule="auto"/>
        <w:jc w:val="center"/>
        <w:rPr>
          <w:rFonts w:hAnsi="宋体"/>
          <w:color w:val="000000"/>
          <w:sz w:val="24"/>
        </w:rPr>
      </w:pPr>
      <w:r w:rsidRPr="00567BAC">
        <w:rPr>
          <w:rFonts w:hAnsi="宋体" w:hint="eastAsia"/>
          <w:color w:val="000000"/>
          <w:sz w:val="24"/>
        </w:rPr>
        <w:t>（</w:t>
      </w:r>
      <w:r w:rsidR="009452B9" w:rsidRPr="00567BAC">
        <w:rPr>
          <w:rFonts w:hAnsi="宋体"/>
          <w:color w:val="000000"/>
          <w:sz w:val="24"/>
        </w:rPr>
        <w:t>2014</w:t>
      </w:r>
      <w:r w:rsidR="009452B9" w:rsidRPr="00567BAC">
        <w:rPr>
          <w:rFonts w:hAnsi="宋体"/>
          <w:color w:val="000000"/>
          <w:sz w:val="24"/>
        </w:rPr>
        <w:t>年</w:t>
      </w:r>
      <w:r w:rsidR="009452B9" w:rsidRPr="00567BAC">
        <w:rPr>
          <w:rFonts w:hAnsi="宋体"/>
          <w:color w:val="000000"/>
          <w:sz w:val="24"/>
        </w:rPr>
        <w:t>9</w:t>
      </w:r>
      <w:r w:rsidR="009452B9" w:rsidRPr="00567BAC">
        <w:rPr>
          <w:rFonts w:hAnsi="宋体"/>
          <w:color w:val="000000"/>
          <w:sz w:val="24"/>
        </w:rPr>
        <w:t>月</w:t>
      </w:r>
      <w:r w:rsidR="009452B9" w:rsidRPr="00567BAC">
        <w:rPr>
          <w:rFonts w:hAnsi="宋体"/>
          <w:color w:val="000000"/>
          <w:sz w:val="24"/>
        </w:rPr>
        <w:t>12</w:t>
      </w:r>
      <w:r w:rsidR="009452B9" w:rsidRPr="00567BAC">
        <w:rPr>
          <w:rFonts w:hAnsi="宋体"/>
          <w:color w:val="000000"/>
          <w:sz w:val="24"/>
        </w:rPr>
        <w:t>日</w:t>
      </w:r>
      <w:r w:rsidRPr="00567BAC">
        <w:rPr>
          <w:rFonts w:hAnsi="宋体" w:hint="eastAsia"/>
          <w:color w:val="000000"/>
          <w:sz w:val="24"/>
        </w:rPr>
        <w:t>至</w:t>
      </w:r>
      <w:r w:rsidRPr="00567BAC">
        <w:rPr>
          <w:rFonts w:hAnsi="宋体" w:hint="eastAsia"/>
          <w:color w:val="000000"/>
          <w:sz w:val="24"/>
        </w:rPr>
        <w:t>2016</w:t>
      </w:r>
      <w:r w:rsidRPr="00567BAC">
        <w:rPr>
          <w:rFonts w:hAnsi="宋体" w:hint="eastAsia"/>
          <w:color w:val="000000"/>
          <w:sz w:val="24"/>
        </w:rPr>
        <w:t>年</w:t>
      </w:r>
      <w:r w:rsidRPr="00567BAC">
        <w:rPr>
          <w:rFonts w:hAnsi="宋体" w:hint="eastAsia"/>
          <w:color w:val="000000"/>
          <w:sz w:val="24"/>
        </w:rPr>
        <w:t>3</w:t>
      </w:r>
      <w:r w:rsidRPr="00567BAC">
        <w:rPr>
          <w:rFonts w:hAnsi="宋体" w:hint="eastAsia"/>
          <w:color w:val="000000"/>
          <w:sz w:val="24"/>
        </w:rPr>
        <w:t>月</w:t>
      </w:r>
      <w:r w:rsidRPr="00567BAC">
        <w:rPr>
          <w:rFonts w:hAnsi="宋体" w:hint="eastAsia"/>
          <w:color w:val="000000"/>
          <w:sz w:val="24"/>
        </w:rPr>
        <w:t>31</w:t>
      </w:r>
      <w:r w:rsidRPr="00567BAC">
        <w:rPr>
          <w:rFonts w:hAnsi="宋体" w:hint="eastAsia"/>
          <w:color w:val="000000"/>
          <w:sz w:val="24"/>
        </w:rPr>
        <w:t>日）</w:t>
      </w:r>
    </w:p>
    <w:p w:rsidR="009D0796" w:rsidRPr="006662B2" w:rsidRDefault="00804C79" w:rsidP="009D0796">
      <w:pPr>
        <w:tabs>
          <w:tab w:val="left" w:pos="1800"/>
        </w:tabs>
        <w:spacing w:line="360" w:lineRule="auto"/>
        <w:jc w:val="center"/>
        <w:rPr>
          <w:rFonts w:asciiTheme="minorEastAsia" w:eastAsiaTheme="minorEastAsia" w:hAnsiTheme="minorEastAsia"/>
          <w:color w:val="000000"/>
          <w:sz w:val="24"/>
        </w:rPr>
      </w:pPr>
      <w:r w:rsidRPr="00804C79">
        <w:rPr>
          <w:rFonts w:asciiTheme="minorEastAsia" w:eastAsiaTheme="minorEastAsia" w:hAnsiTheme="minorEastAsia"/>
          <w:noProof/>
          <w:color w:val="000000"/>
          <w:sz w:val="24"/>
        </w:rPr>
        <w:drawing>
          <wp:inline distT="0" distB="0" distL="0" distR="0">
            <wp:extent cx="5769610" cy="3379887"/>
            <wp:effectExtent l="19050" t="0" r="2540" b="0"/>
            <wp:docPr id="1"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9610" cy="3379887"/>
                    </a:xfrm>
                    <a:prstGeom prst="rect">
                      <a:avLst/>
                    </a:prstGeom>
                    <a:noFill/>
                    <a:ln>
                      <a:noFill/>
                    </a:ln>
                  </pic:spPr>
                </pic:pic>
              </a:graphicData>
            </a:graphic>
          </wp:inline>
        </w:drawing>
      </w:r>
    </w:p>
    <w:p w:rsidR="00825EA5" w:rsidRDefault="00C86529" w:rsidP="00567BAC">
      <w:pPr>
        <w:autoSpaceDE w:val="0"/>
        <w:autoSpaceDN w:val="0"/>
        <w:adjustRightInd w:val="0"/>
        <w:spacing w:before="29" w:line="288" w:lineRule="auto"/>
        <w:jc w:val="left"/>
        <w:rPr>
          <w:color w:val="000000"/>
          <w:sz w:val="24"/>
        </w:rPr>
      </w:pPr>
      <w:r w:rsidRPr="00567BAC">
        <w:rPr>
          <w:color w:val="000000"/>
          <w:sz w:val="24"/>
        </w:rPr>
        <w:t>注：本基金建仓期为自基金合同生效日起的</w:t>
      </w:r>
      <w:r w:rsidRPr="00567BAC">
        <w:rPr>
          <w:color w:val="000000"/>
          <w:sz w:val="24"/>
        </w:rPr>
        <w:t>6</w:t>
      </w:r>
      <w:r w:rsidRPr="00567BAC">
        <w:rPr>
          <w:color w:val="000000"/>
          <w:sz w:val="24"/>
        </w:rPr>
        <w:t>个月。截至建仓期结束，本基金各项资产配置比例符合基金合同及招募说明书有关投资比例的约定。</w:t>
      </w:r>
    </w:p>
    <w:p w:rsidR="00925C97" w:rsidRPr="00567BAC" w:rsidRDefault="00925C97" w:rsidP="00567BAC">
      <w:pPr>
        <w:autoSpaceDE w:val="0"/>
        <w:autoSpaceDN w:val="0"/>
        <w:adjustRightInd w:val="0"/>
        <w:spacing w:before="29" w:line="288" w:lineRule="auto"/>
        <w:jc w:val="left"/>
        <w:rPr>
          <w:color w:val="000000"/>
          <w:sz w:val="24"/>
        </w:rPr>
      </w:pPr>
    </w:p>
    <w:p w:rsidR="00902E3F" w:rsidRPr="003306EE" w:rsidRDefault="00902E3F" w:rsidP="00BA26A0">
      <w:pPr>
        <w:pStyle w:val="1"/>
        <w:spacing w:beforeLines="100" w:before="240" w:afterLines="100" w:after="240" w:line="288" w:lineRule="auto"/>
        <w:jc w:val="center"/>
        <w:rPr>
          <w:color w:val="000000"/>
          <w:kern w:val="0"/>
          <w:sz w:val="24"/>
          <w:szCs w:val="24"/>
        </w:rPr>
      </w:pPr>
      <w:r w:rsidRPr="003306EE">
        <w:rPr>
          <w:rFonts w:hint="eastAsia"/>
          <w:color w:val="000000"/>
          <w:kern w:val="0"/>
          <w:sz w:val="24"/>
          <w:szCs w:val="24"/>
        </w:rPr>
        <w:t>§</w:t>
      </w:r>
      <w:r w:rsidRPr="003306EE">
        <w:rPr>
          <w:color w:val="000000"/>
          <w:kern w:val="0"/>
          <w:sz w:val="24"/>
          <w:szCs w:val="24"/>
        </w:rPr>
        <w:t xml:space="preserve">4  </w:t>
      </w:r>
      <w:r w:rsidRPr="003306EE">
        <w:rPr>
          <w:rFonts w:hint="eastAsia"/>
          <w:color w:val="000000"/>
          <w:kern w:val="0"/>
          <w:sz w:val="24"/>
          <w:szCs w:val="24"/>
        </w:rPr>
        <w:t>管理人报告</w:t>
      </w:r>
    </w:p>
    <w:p w:rsidR="00902E3F" w:rsidRPr="003306EE" w:rsidRDefault="00902E3F" w:rsidP="003306EE">
      <w:pPr>
        <w:autoSpaceDE w:val="0"/>
        <w:autoSpaceDN w:val="0"/>
        <w:adjustRightInd w:val="0"/>
        <w:spacing w:before="29" w:line="288" w:lineRule="auto"/>
        <w:jc w:val="left"/>
        <w:rPr>
          <w:b/>
          <w:color w:val="000000"/>
          <w:kern w:val="0"/>
          <w:sz w:val="24"/>
        </w:rPr>
      </w:pPr>
      <w:r w:rsidRPr="003306EE">
        <w:rPr>
          <w:b/>
          <w:color w:val="000000"/>
          <w:kern w:val="0"/>
          <w:sz w:val="24"/>
        </w:rPr>
        <w:t xml:space="preserve">4.1 </w:t>
      </w:r>
      <w:r w:rsidRPr="003306EE">
        <w:rPr>
          <w:rFonts w:hint="eastAsia"/>
          <w:b/>
          <w:color w:val="000000"/>
          <w:kern w:val="0"/>
          <w:sz w:val="24"/>
        </w:rPr>
        <w:t>基金经理（或基金经理小组）简介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1439"/>
        <w:gridCol w:w="1582"/>
        <w:gridCol w:w="1439"/>
        <w:gridCol w:w="1007"/>
        <w:gridCol w:w="2492"/>
      </w:tblGrid>
      <w:tr w:rsidR="00C86529" w:rsidRPr="006662B2" w:rsidTr="00A8129A">
        <w:trPr>
          <w:trHeight w:val="292"/>
        </w:trPr>
        <w:tc>
          <w:tcPr>
            <w:tcW w:w="1025"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姓名</w:t>
            </w:r>
          </w:p>
        </w:tc>
        <w:tc>
          <w:tcPr>
            <w:tcW w:w="1418"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职务</w:t>
            </w:r>
          </w:p>
        </w:tc>
        <w:tc>
          <w:tcPr>
            <w:tcW w:w="2977" w:type="dxa"/>
            <w:gridSpan w:val="2"/>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任本基金的基金经理期限</w:t>
            </w:r>
          </w:p>
        </w:tc>
        <w:tc>
          <w:tcPr>
            <w:tcW w:w="992"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证券从业年限</w:t>
            </w:r>
          </w:p>
        </w:tc>
        <w:tc>
          <w:tcPr>
            <w:tcW w:w="2456"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说明</w:t>
            </w:r>
          </w:p>
        </w:tc>
      </w:tr>
      <w:tr w:rsidR="00C86529" w:rsidRPr="006662B2" w:rsidTr="00A8129A">
        <w:tc>
          <w:tcPr>
            <w:tcW w:w="1025"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418"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559"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任职日期</w:t>
            </w:r>
          </w:p>
        </w:tc>
        <w:tc>
          <w:tcPr>
            <w:tcW w:w="1418"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离任日期</w:t>
            </w:r>
          </w:p>
        </w:tc>
        <w:tc>
          <w:tcPr>
            <w:tcW w:w="992"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2456"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r>
      <w:tr w:rsidR="00BD618B">
        <w:tc>
          <w:tcPr>
            <w:tcW w:w="1039" w:type="dxa"/>
            <w:vAlign w:val="center"/>
          </w:tcPr>
          <w:p w:rsidR="00BD618B" w:rsidRDefault="00804C79">
            <w:pPr>
              <w:jc w:val="center"/>
            </w:pPr>
            <w:r>
              <w:rPr>
                <w:color w:val="000000"/>
                <w:sz w:val="24"/>
              </w:rPr>
              <w:t>黄莹洁</w:t>
            </w:r>
          </w:p>
        </w:tc>
        <w:tc>
          <w:tcPr>
            <w:tcW w:w="1439" w:type="dxa"/>
            <w:vAlign w:val="center"/>
          </w:tcPr>
          <w:p w:rsidR="00BD618B" w:rsidRDefault="00804C79">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582" w:type="dxa"/>
            <w:vAlign w:val="center"/>
          </w:tcPr>
          <w:p w:rsidR="00BD618B" w:rsidRDefault="00804C79">
            <w:pPr>
              <w:jc w:val="center"/>
            </w:pPr>
            <w:r>
              <w:rPr>
                <w:color w:val="000000"/>
                <w:sz w:val="24"/>
              </w:rPr>
              <w:t>2015-05-27</w:t>
            </w:r>
          </w:p>
        </w:tc>
        <w:tc>
          <w:tcPr>
            <w:tcW w:w="1439" w:type="dxa"/>
            <w:vAlign w:val="center"/>
          </w:tcPr>
          <w:p w:rsidR="00BD618B" w:rsidRDefault="00804C79">
            <w:pPr>
              <w:jc w:val="center"/>
            </w:pPr>
            <w:r>
              <w:rPr>
                <w:color w:val="000000"/>
                <w:sz w:val="24"/>
              </w:rPr>
              <w:t>-</w:t>
            </w:r>
          </w:p>
        </w:tc>
        <w:tc>
          <w:tcPr>
            <w:tcW w:w="1007" w:type="dxa"/>
            <w:vAlign w:val="center"/>
          </w:tcPr>
          <w:p w:rsidR="00BD618B" w:rsidRDefault="00804C79">
            <w:pPr>
              <w:jc w:val="center"/>
            </w:pPr>
            <w:r>
              <w:rPr>
                <w:color w:val="000000"/>
                <w:sz w:val="24"/>
              </w:rPr>
              <w:t>8</w:t>
            </w:r>
            <w:r>
              <w:rPr>
                <w:color w:val="000000"/>
                <w:sz w:val="24"/>
              </w:rPr>
              <w:t>年</w:t>
            </w:r>
          </w:p>
        </w:tc>
        <w:tc>
          <w:tcPr>
            <w:tcW w:w="2492" w:type="dxa"/>
            <w:vAlign w:val="center"/>
          </w:tcPr>
          <w:p w:rsidR="00BD618B" w:rsidRDefault="00804C7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BD618B">
        <w:tc>
          <w:tcPr>
            <w:tcW w:w="1039" w:type="dxa"/>
            <w:vAlign w:val="center"/>
          </w:tcPr>
          <w:p w:rsidR="00BD618B" w:rsidRDefault="00804C79">
            <w:pPr>
              <w:jc w:val="center"/>
            </w:pPr>
            <w:r>
              <w:rPr>
                <w:color w:val="000000"/>
                <w:sz w:val="24"/>
              </w:rPr>
              <w:t>连端清</w:t>
            </w:r>
          </w:p>
        </w:tc>
        <w:tc>
          <w:tcPr>
            <w:tcW w:w="1439" w:type="dxa"/>
            <w:vAlign w:val="center"/>
          </w:tcPr>
          <w:p w:rsidR="00BD618B" w:rsidRDefault="00804C79">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582" w:type="dxa"/>
            <w:vAlign w:val="center"/>
          </w:tcPr>
          <w:p w:rsidR="00BD618B" w:rsidRDefault="00804C79">
            <w:pPr>
              <w:jc w:val="center"/>
            </w:pPr>
            <w:r>
              <w:rPr>
                <w:color w:val="000000"/>
                <w:sz w:val="24"/>
              </w:rPr>
              <w:t>2015-08-04</w:t>
            </w:r>
          </w:p>
        </w:tc>
        <w:tc>
          <w:tcPr>
            <w:tcW w:w="1439" w:type="dxa"/>
            <w:vAlign w:val="center"/>
          </w:tcPr>
          <w:p w:rsidR="00BD618B" w:rsidRDefault="00804C79">
            <w:pPr>
              <w:jc w:val="center"/>
            </w:pPr>
            <w:r>
              <w:rPr>
                <w:color w:val="000000"/>
                <w:sz w:val="24"/>
              </w:rPr>
              <w:t>-</w:t>
            </w:r>
          </w:p>
        </w:tc>
        <w:tc>
          <w:tcPr>
            <w:tcW w:w="1007" w:type="dxa"/>
            <w:vAlign w:val="center"/>
          </w:tcPr>
          <w:p w:rsidR="00BD618B" w:rsidRDefault="00804C79">
            <w:pPr>
              <w:jc w:val="center"/>
            </w:pPr>
            <w:r>
              <w:rPr>
                <w:color w:val="000000"/>
                <w:sz w:val="24"/>
              </w:rPr>
              <w:t>5</w:t>
            </w:r>
            <w:r>
              <w:rPr>
                <w:color w:val="000000"/>
                <w:sz w:val="24"/>
              </w:rPr>
              <w:t>年</w:t>
            </w:r>
          </w:p>
        </w:tc>
        <w:tc>
          <w:tcPr>
            <w:tcW w:w="2492" w:type="dxa"/>
            <w:vAlign w:val="center"/>
          </w:tcPr>
          <w:p w:rsidR="00BD618B" w:rsidRDefault="00804C7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4771B9" w:rsidRPr="009F28CA" w:rsidRDefault="00C86529" w:rsidP="009F28CA">
      <w:pPr>
        <w:autoSpaceDE w:val="0"/>
        <w:autoSpaceDN w:val="0"/>
        <w:adjustRightInd w:val="0"/>
        <w:spacing w:before="29" w:line="288" w:lineRule="auto"/>
        <w:jc w:val="left"/>
        <w:rPr>
          <w:color w:val="000000"/>
          <w:sz w:val="24"/>
        </w:rPr>
      </w:pPr>
      <w:r w:rsidRPr="009F28CA">
        <w:rPr>
          <w:color w:val="000000"/>
          <w:sz w:val="24"/>
        </w:rPr>
        <w:t>注：基金经理（或基金经理小组）期后变动（如有）敬请关注基金管理人发布的相关公告。</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E84450" w:rsidRDefault="00902E3F" w:rsidP="00E84450">
      <w:pPr>
        <w:spacing w:before="29" w:line="288" w:lineRule="auto"/>
        <w:rPr>
          <w:b/>
          <w:color w:val="000000"/>
          <w:kern w:val="0"/>
          <w:sz w:val="24"/>
        </w:rPr>
      </w:pPr>
      <w:r w:rsidRPr="00E84450">
        <w:rPr>
          <w:b/>
          <w:color w:val="000000"/>
          <w:kern w:val="0"/>
          <w:sz w:val="24"/>
        </w:rPr>
        <w:t xml:space="preserve">4.2 </w:t>
      </w:r>
      <w:r w:rsidRPr="00E84450">
        <w:rPr>
          <w:rFonts w:hint="eastAsia"/>
          <w:b/>
          <w:color w:val="000000"/>
          <w:kern w:val="0"/>
          <w:sz w:val="24"/>
        </w:rPr>
        <w:t>报告期内本基金运作遵规守信情况说明</w:t>
      </w:r>
    </w:p>
    <w:p w:rsidR="00902E3F" w:rsidRDefault="00DD590E" w:rsidP="00E84450">
      <w:pPr>
        <w:spacing w:before="29" w:line="288" w:lineRule="auto"/>
        <w:ind w:firstLineChars="200" w:firstLine="480"/>
        <w:rPr>
          <w:color w:val="000000"/>
          <w:sz w:val="24"/>
        </w:rPr>
      </w:pPr>
      <w:r w:rsidRPr="00E8445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E84450" w:rsidRPr="00E84450" w:rsidRDefault="00E84450" w:rsidP="00E84450">
      <w:pPr>
        <w:spacing w:before="29" w:line="288" w:lineRule="auto"/>
        <w:ind w:firstLineChars="200" w:firstLine="480"/>
        <w:rPr>
          <w:color w:val="000000"/>
          <w:sz w:val="24"/>
        </w:rPr>
      </w:pPr>
    </w:p>
    <w:p w:rsidR="00902E3F" w:rsidRPr="00E84450" w:rsidRDefault="00902E3F" w:rsidP="00E84450">
      <w:pPr>
        <w:autoSpaceDE w:val="0"/>
        <w:autoSpaceDN w:val="0"/>
        <w:adjustRightInd w:val="0"/>
        <w:spacing w:before="29" w:line="288" w:lineRule="auto"/>
        <w:jc w:val="left"/>
        <w:rPr>
          <w:b/>
          <w:color w:val="000000"/>
          <w:kern w:val="0"/>
          <w:sz w:val="24"/>
        </w:rPr>
      </w:pPr>
      <w:r w:rsidRPr="00E84450">
        <w:rPr>
          <w:b/>
          <w:color w:val="000000"/>
          <w:kern w:val="0"/>
          <w:sz w:val="24"/>
        </w:rPr>
        <w:t xml:space="preserve">4.3 </w:t>
      </w:r>
      <w:r w:rsidRPr="00E84450">
        <w:rPr>
          <w:rFonts w:hint="eastAsia"/>
          <w:b/>
          <w:color w:val="000000"/>
          <w:kern w:val="0"/>
          <w:sz w:val="24"/>
        </w:rPr>
        <w:t>公平交易专项说明</w:t>
      </w:r>
    </w:p>
    <w:p w:rsidR="00E149A5" w:rsidRPr="00E84450" w:rsidRDefault="00E149A5" w:rsidP="00E84450">
      <w:pPr>
        <w:spacing w:before="29" w:line="288" w:lineRule="auto"/>
        <w:rPr>
          <w:sz w:val="24"/>
        </w:rPr>
      </w:pPr>
      <w:r w:rsidRPr="00E84450">
        <w:rPr>
          <w:rFonts w:hint="eastAsia"/>
          <w:sz w:val="24"/>
        </w:rPr>
        <w:t xml:space="preserve">4.3.1 </w:t>
      </w:r>
      <w:r w:rsidRPr="00E84450">
        <w:rPr>
          <w:rFonts w:hint="eastAsia"/>
          <w:sz w:val="24"/>
        </w:rPr>
        <w:t>公平交易制度的执行情况</w:t>
      </w:r>
    </w:p>
    <w:p w:rsidR="00BD618B" w:rsidRDefault="00804C7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D618B" w:rsidRDefault="00804C7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D618B" w:rsidRDefault="00804C7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149A5" w:rsidRDefault="00DD590E" w:rsidP="00E84450">
      <w:pPr>
        <w:spacing w:before="29" w:line="288" w:lineRule="auto"/>
        <w:ind w:firstLineChars="200" w:firstLine="480"/>
        <w:rPr>
          <w:color w:val="000000"/>
          <w:sz w:val="24"/>
        </w:rPr>
      </w:pPr>
      <w:r w:rsidRPr="00E84450">
        <w:rPr>
          <w:color w:val="000000"/>
          <w:sz w:val="24"/>
        </w:rPr>
        <w:t>报告期内本公司严格执行公平交易制度，公平对待旗下各投资组合，未发现任何违反公平交易的行为。</w:t>
      </w:r>
    </w:p>
    <w:p w:rsidR="00F32DEE" w:rsidRPr="00E84450" w:rsidRDefault="00F32DEE" w:rsidP="00E84450">
      <w:pPr>
        <w:spacing w:before="29" w:line="288" w:lineRule="auto"/>
        <w:ind w:firstLineChars="200" w:firstLine="480"/>
        <w:rPr>
          <w:color w:val="000000"/>
          <w:sz w:val="24"/>
        </w:rPr>
      </w:pPr>
    </w:p>
    <w:p w:rsidR="00E149A5" w:rsidRPr="00E84450" w:rsidRDefault="00E149A5" w:rsidP="00E84450">
      <w:pPr>
        <w:spacing w:before="29" w:line="288" w:lineRule="auto"/>
        <w:rPr>
          <w:sz w:val="24"/>
        </w:rPr>
      </w:pPr>
      <w:r w:rsidRPr="00E84450">
        <w:rPr>
          <w:rFonts w:hint="eastAsia"/>
          <w:sz w:val="24"/>
        </w:rPr>
        <w:t>4.3.</w:t>
      </w:r>
      <w:r w:rsidR="00C52039" w:rsidRPr="00E84450">
        <w:rPr>
          <w:rFonts w:hint="eastAsia"/>
          <w:sz w:val="24"/>
        </w:rPr>
        <w:t>2</w:t>
      </w:r>
      <w:r w:rsidRPr="00E84450">
        <w:rPr>
          <w:rFonts w:hint="eastAsia"/>
          <w:sz w:val="24"/>
        </w:rPr>
        <w:t xml:space="preserve"> </w:t>
      </w:r>
      <w:r w:rsidRPr="00E84450">
        <w:rPr>
          <w:rFonts w:hint="eastAsia"/>
          <w:sz w:val="24"/>
        </w:rPr>
        <w:t>异常交易行为的专项说明</w:t>
      </w:r>
    </w:p>
    <w:p w:rsidR="00E149A5" w:rsidRPr="00E84450" w:rsidRDefault="00DD590E" w:rsidP="00E84450">
      <w:pPr>
        <w:spacing w:before="29" w:line="288" w:lineRule="auto"/>
        <w:ind w:firstLineChars="200" w:firstLine="480"/>
        <w:rPr>
          <w:color w:val="000000"/>
          <w:sz w:val="24"/>
        </w:rPr>
      </w:pPr>
      <w:r w:rsidRPr="00E84450">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E84450">
        <w:rPr>
          <w:rFonts w:hint="eastAsia"/>
          <w:color w:val="000000"/>
          <w:sz w:val="24"/>
        </w:rPr>
        <w:t>5%</w:t>
      </w:r>
      <w:r w:rsidRPr="00E84450">
        <w:rPr>
          <w:rFonts w:hint="eastAsia"/>
          <w:color w:val="000000"/>
          <w:sz w:val="24"/>
        </w:rPr>
        <w:t>的情形，本基金与本公司管理的其他投资组合在不同时间窗下（如日内、</w:t>
      </w:r>
      <w:r w:rsidRPr="00E84450">
        <w:rPr>
          <w:rFonts w:hint="eastAsia"/>
          <w:color w:val="000000"/>
          <w:sz w:val="24"/>
        </w:rPr>
        <w:t>3</w:t>
      </w:r>
      <w:r w:rsidRPr="00E84450">
        <w:rPr>
          <w:rFonts w:hint="eastAsia"/>
          <w:color w:val="000000"/>
          <w:sz w:val="24"/>
        </w:rPr>
        <w:t>日内、</w:t>
      </w:r>
      <w:r w:rsidRPr="00E84450">
        <w:rPr>
          <w:rFonts w:hint="eastAsia"/>
          <w:color w:val="000000"/>
          <w:sz w:val="24"/>
        </w:rPr>
        <w:t>5</w:t>
      </w:r>
      <w:r w:rsidRPr="00E84450">
        <w:rPr>
          <w:rFonts w:hint="eastAsia"/>
          <w:color w:val="000000"/>
          <w:sz w:val="24"/>
        </w:rPr>
        <w:t>日内）同向交易的交易价差未出现异常。</w:t>
      </w:r>
    </w:p>
    <w:p w:rsidR="00902E3F" w:rsidRPr="006662B2" w:rsidRDefault="00902E3F" w:rsidP="00437706">
      <w:pPr>
        <w:autoSpaceDE w:val="0"/>
        <w:autoSpaceDN w:val="0"/>
        <w:adjustRightInd w:val="0"/>
        <w:spacing w:line="360" w:lineRule="auto"/>
        <w:jc w:val="left"/>
        <w:rPr>
          <w:rFonts w:asciiTheme="minorEastAsia" w:eastAsiaTheme="minorEastAsia" w:hAnsiTheme="minorEastAsia" w:cs="Arial"/>
          <w:color w:val="000000"/>
          <w:kern w:val="0"/>
          <w:sz w:val="24"/>
        </w:rPr>
      </w:pPr>
    </w:p>
    <w:p w:rsidR="00EE661A" w:rsidRPr="000E4C40" w:rsidRDefault="00EE661A" w:rsidP="00EE661A">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D618B" w:rsidRDefault="00804C79">
      <w:pPr>
        <w:spacing w:before="29" w:line="288" w:lineRule="auto"/>
        <w:ind w:firstLineChars="200" w:firstLine="480"/>
        <w:rPr>
          <w:color w:val="000000"/>
          <w:sz w:val="24"/>
        </w:rPr>
      </w:pPr>
      <w:r>
        <w:rPr>
          <w:color w:val="000000"/>
          <w:sz w:val="24"/>
        </w:rPr>
        <w:t>2016</w:t>
      </w:r>
      <w:r>
        <w:rPr>
          <w:color w:val="000000"/>
          <w:sz w:val="24"/>
        </w:rPr>
        <w:t>年一季度，主要受房地产投资反弹、基建及供给侧改革推进影响，国内经济出现回暖企稳迹象。</w:t>
      </w:r>
      <w:r>
        <w:rPr>
          <w:color w:val="000000"/>
          <w:sz w:val="24"/>
        </w:rPr>
        <w:t>2016</w:t>
      </w:r>
      <w:r>
        <w:rPr>
          <w:color w:val="000000"/>
          <w:sz w:val="24"/>
        </w:rPr>
        <w:t>年</w:t>
      </w:r>
      <w:r>
        <w:rPr>
          <w:color w:val="000000"/>
          <w:sz w:val="24"/>
        </w:rPr>
        <w:t>1</w:t>
      </w:r>
      <w:r>
        <w:rPr>
          <w:color w:val="000000"/>
          <w:sz w:val="24"/>
        </w:rPr>
        <w:t>月份、</w:t>
      </w:r>
      <w:r>
        <w:rPr>
          <w:color w:val="000000"/>
          <w:sz w:val="24"/>
        </w:rPr>
        <w:t>2</w:t>
      </w:r>
      <w:r>
        <w:rPr>
          <w:color w:val="000000"/>
          <w:sz w:val="24"/>
        </w:rPr>
        <w:t>月份，房地产投资出现</w:t>
      </w:r>
      <w:r>
        <w:rPr>
          <w:color w:val="000000"/>
          <w:sz w:val="24"/>
        </w:rPr>
        <w:t>2</w:t>
      </w:r>
      <w:r>
        <w:rPr>
          <w:color w:val="000000"/>
          <w:sz w:val="24"/>
        </w:rPr>
        <w:t>年以来首次止跌回升，带动固定资产投资企稳回升。伴随着经济有所回暖，一季度</w:t>
      </w:r>
      <w:r>
        <w:rPr>
          <w:color w:val="000000"/>
          <w:sz w:val="24"/>
        </w:rPr>
        <w:t>CPI</w:t>
      </w:r>
      <w:r>
        <w:rPr>
          <w:color w:val="000000"/>
          <w:sz w:val="24"/>
        </w:rPr>
        <w:t>持续攀升，</w:t>
      </w:r>
      <w:r>
        <w:rPr>
          <w:color w:val="000000"/>
          <w:sz w:val="24"/>
        </w:rPr>
        <w:t>PPI</w:t>
      </w:r>
      <w:r>
        <w:rPr>
          <w:color w:val="000000"/>
          <w:sz w:val="24"/>
        </w:rPr>
        <w:t>降幅不断收窄。货币政策上，央行货币政策维持宽松操作思路，但宽松的边际在收窄。</w:t>
      </w:r>
      <w:r>
        <w:rPr>
          <w:color w:val="000000"/>
          <w:sz w:val="24"/>
        </w:rPr>
        <w:t>2016</w:t>
      </w:r>
      <w:r>
        <w:rPr>
          <w:color w:val="000000"/>
          <w:sz w:val="24"/>
        </w:rPr>
        <w:t>年春节前，央行通过公开市场及定向工具投放了巨额流动性，并且将公开市场操作频率由一周两次改为每个工作日，以维持相对宽松的资金面。</w:t>
      </w:r>
      <w:r>
        <w:rPr>
          <w:color w:val="000000"/>
          <w:sz w:val="24"/>
        </w:rPr>
        <w:t>2016</w:t>
      </w:r>
      <w:r>
        <w:rPr>
          <w:color w:val="000000"/>
          <w:sz w:val="24"/>
        </w:rPr>
        <w:t>年</w:t>
      </w:r>
      <w:r>
        <w:rPr>
          <w:color w:val="000000"/>
          <w:sz w:val="24"/>
        </w:rPr>
        <w:t>3</w:t>
      </w:r>
      <w:r>
        <w:rPr>
          <w:color w:val="000000"/>
          <w:sz w:val="24"/>
        </w:rPr>
        <w:t>月</w:t>
      </w:r>
      <w:r>
        <w:rPr>
          <w:color w:val="000000"/>
          <w:sz w:val="24"/>
        </w:rPr>
        <w:t>1</w:t>
      </w:r>
      <w:r>
        <w:rPr>
          <w:color w:val="000000"/>
          <w:sz w:val="24"/>
        </w:rPr>
        <w:t>日再次降准</w:t>
      </w:r>
      <w:r>
        <w:rPr>
          <w:color w:val="000000"/>
          <w:sz w:val="24"/>
        </w:rPr>
        <w:t>0.5</w:t>
      </w:r>
      <w:r>
        <w:rPr>
          <w:color w:val="000000"/>
          <w:sz w:val="24"/>
        </w:rPr>
        <w:t>个百分点。但是，</w:t>
      </w:r>
      <w:r>
        <w:rPr>
          <w:color w:val="000000"/>
          <w:sz w:val="24"/>
        </w:rPr>
        <w:t>3</w:t>
      </w:r>
      <w:r>
        <w:rPr>
          <w:color w:val="000000"/>
          <w:sz w:val="24"/>
        </w:rPr>
        <w:t>月下旬央行净投放的力度明显减弱。</w:t>
      </w:r>
    </w:p>
    <w:p w:rsidR="00BD618B" w:rsidRDefault="00804C79">
      <w:pPr>
        <w:spacing w:before="29" w:line="288" w:lineRule="auto"/>
        <w:ind w:firstLineChars="200" w:firstLine="480"/>
        <w:rPr>
          <w:color w:val="000000"/>
          <w:sz w:val="24"/>
        </w:rPr>
      </w:pPr>
      <w:r>
        <w:rPr>
          <w:color w:val="000000"/>
          <w:sz w:val="24"/>
        </w:rPr>
        <w:t>一季度尽管市场资金整体依旧充裕，但是受信贷投放较大、央行</w:t>
      </w:r>
      <w:r>
        <w:rPr>
          <w:color w:val="000000"/>
          <w:sz w:val="24"/>
        </w:rPr>
        <w:t>MPA</w:t>
      </w:r>
      <w:r>
        <w:rPr>
          <w:color w:val="000000"/>
          <w:sz w:val="24"/>
        </w:rPr>
        <w:t>季末考核等影响，银行间市场资金面多次结构性趋紧，回购利率中枢在上移。受经济回暖及央行宽松力度低于预期等影响，一季度利率债出现震荡回调走势。但在旺盛的配置需求下，高评级信用债震荡下行，低评级中短期限信用债大幅下行。</w:t>
      </w:r>
    </w:p>
    <w:p w:rsidR="00BD618B" w:rsidRDefault="00804C79">
      <w:pPr>
        <w:spacing w:before="29" w:line="288" w:lineRule="auto"/>
        <w:ind w:firstLineChars="200" w:firstLine="480"/>
        <w:rPr>
          <w:color w:val="000000"/>
          <w:sz w:val="24"/>
        </w:rPr>
      </w:pPr>
      <w:r>
        <w:rPr>
          <w:color w:val="000000"/>
          <w:sz w:val="24"/>
        </w:rPr>
        <w:t>基金操作方面，报告期内本基金通过流动性管理满足客户赎回需求，保持适当的组合久期，在资产类别配置上以存款及同业存单为主，择机配置了部分债券，同时适应货币基金监管新规带来的变化。</w:t>
      </w:r>
    </w:p>
    <w:p w:rsidR="00EE661A" w:rsidRPr="006169F7" w:rsidRDefault="00EE661A" w:rsidP="00EE661A">
      <w:pPr>
        <w:spacing w:before="29" w:line="288" w:lineRule="auto"/>
        <w:ind w:firstLineChars="200" w:firstLine="480"/>
        <w:rPr>
          <w:color w:val="000000"/>
          <w:sz w:val="24"/>
        </w:rPr>
      </w:pPr>
      <w:r w:rsidRPr="006169F7">
        <w:rPr>
          <w:color w:val="000000"/>
          <w:sz w:val="24"/>
        </w:rPr>
        <w:t>展望二季度，考虑房地产投资回升及基建稳增长等累积效应带动经济回暖的势头可能持续一段时间，央行货币政策向稳健回归具有一定基础，预计央行将更多以定向工具及公开市场操作为主来调节流动性。组合管理方面，本基金将密切关注经济回暖的力度与央行货币政策动态，保持较好流动性，紧抓市场机会，同时控制信用风险，努力为投资者带来稳健的回报。</w:t>
      </w:r>
    </w:p>
    <w:p w:rsidR="00EE661A" w:rsidRPr="000E4C40" w:rsidRDefault="00EE661A" w:rsidP="00EE661A">
      <w:pPr>
        <w:spacing w:before="29" w:line="288" w:lineRule="auto"/>
        <w:ind w:firstLineChars="200" w:firstLine="480"/>
        <w:rPr>
          <w:color w:val="000000"/>
          <w:sz w:val="24"/>
        </w:rPr>
      </w:pPr>
    </w:p>
    <w:p w:rsidR="00EE661A" w:rsidRPr="000E4C40" w:rsidRDefault="00EE661A" w:rsidP="00EE661A">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EE661A" w:rsidRPr="006169F7" w:rsidRDefault="00EE661A" w:rsidP="00EE661A">
      <w:pPr>
        <w:spacing w:before="29" w:line="288" w:lineRule="auto"/>
        <w:ind w:firstLineChars="200" w:firstLine="480"/>
        <w:rPr>
          <w:color w:val="000000"/>
          <w:sz w:val="24"/>
        </w:rPr>
      </w:pPr>
      <w:r w:rsidRPr="006169F7">
        <w:rPr>
          <w:color w:val="000000"/>
          <w:sz w:val="24"/>
        </w:rPr>
        <w:t>本报告期内，本基金净值收益率为</w:t>
      </w:r>
      <w:r w:rsidRPr="006169F7">
        <w:rPr>
          <w:color w:val="000000"/>
          <w:sz w:val="24"/>
        </w:rPr>
        <w:t>0.60</w:t>
      </w:r>
      <w:r w:rsidR="00CD2D0C">
        <w:rPr>
          <w:rFonts w:hint="eastAsia"/>
          <w:color w:val="000000"/>
          <w:sz w:val="24"/>
        </w:rPr>
        <w:t>25</w:t>
      </w:r>
      <w:r w:rsidRPr="006169F7">
        <w:rPr>
          <w:color w:val="000000"/>
          <w:sz w:val="24"/>
        </w:rPr>
        <w:t>%</w:t>
      </w:r>
      <w:r w:rsidRPr="006169F7">
        <w:rPr>
          <w:color w:val="000000"/>
          <w:sz w:val="24"/>
        </w:rPr>
        <w:t>，同期业绩比较基准收益率为</w:t>
      </w:r>
      <w:r w:rsidRPr="006169F7">
        <w:rPr>
          <w:color w:val="000000"/>
          <w:sz w:val="24"/>
        </w:rPr>
        <w:t>0.0873%</w:t>
      </w:r>
      <w:r w:rsidRPr="006169F7">
        <w:rPr>
          <w:color w:val="000000"/>
          <w:sz w:val="24"/>
        </w:rPr>
        <w:t>。</w:t>
      </w:r>
    </w:p>
    <w:p w:rsidR="00EE661A" w:rsidRPr="000E4C40" w:rsidRDefault="00EE661A" w:rsidP="00EE661A">
      <w:pPr>
        <w:autoSpaceDE w:val="0"/>
        <w:autoSpaceDN w:val="0"/>
        <w:adjustRightInd w:val="0"/>
        <w:spacing w:before="29" w:line="288" w:lineRule="auto"/>
        <w:jc w:val="left"/>
        <w:rPr>
          <w:kern w:val="0"/>
          <w:sz w:val="24"/>
        </w:rPr>
      </w:pPr>
    </w:p>
    <w:p w:rsidR="00737A36" w:rsidRPr="002070B4" w:rsidRDefault="00737A36" w:rsidP="00737A36">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37A36" w:rsidRDefault="00737A36" w:rsidP="00737A36">
      <w:pPr>
        <w:spacing w:before="29" w:line="288" w:lineRule="auto"/>
        <w:ind w:firstLineChars="200" w:firstLine="480"/>
        <w:rPr>
          <w:color w:val="000000"/>
          <w:sz w:val="24"/>
        </w:rPr>
      </w:pPr>
      <w:r w:rsidRPr="002070B4">
        <w:rPr>
          <w:color w:val="000000"/>
          <w:sz w:val="24"/>
        </w:rPr>
        <w:t>本基金本报告期内无需预警说明。</w:t>
      </w:r>
    </w:p>
    <w:p w:rsidR="002357A0" w:rsidRPr="006169F7" w:rsidRDefault="002357A0" w:rsidP="006169F7">
      <w:pPr>
        <w:spacing w:before="29" w:line="288" w:lineRule="auto"/>
        <w:ind w:firstLineChars="200" w:firstLine="480"/>
        <w:rPr>
          <w:color w:val="000000"/>
          <w:sz w:val="24"/>
        </w:rPr>
      </w:pPr>
    </w:p>
    <w:p w:rsidR="00902E3F" w:rsidRPr="008F1ECB" w:rsidRDefault="00902E3F" w:rsidP="00BA26A0">
      <w:pPr>
        <w:pStyle w:val="1"/>
        <w:spacing w:beforeLines="100" w:before="240" w:afterLines="100" w:after="240" w:line="288" w:lineRule="auto"/>
        <w:jc w:val="center"/>
        <w:rPr>
          <w:color w:val="000000"/>
          <w:kern w:val="0"/>
          <w:sz w:val="24"/>
          <w:szCs w:val="24"/>
        </w:rPr>
      </w:pPr>
      <w:r w:rsidRPr="008F1ECB">
        <w:rPr>
          <w:rFonts w:hint="eastAsia"/>
          <w:color w:val="000000"/>
          <w:kern w:val="0"/>
          <w:sz w:val="24"/>
          <w:szCs w:val="24"/>
        </w:rPr>
        <w:t>§</w:t>
      </w:r>
      <w:r w:rsidRPr="008F1ECB">
        <w:rPr>
          <w:color w:val="000000"/>
          <w:kern w:val="0"/>
          <w:sz w:val="24"/>
          <w:szCs w:val="24"/>
        </w:rPr>
        <w:t xml:space="preserve">5  </w:t>
      </w:r>
      <w:r w:rsidRPr="008F1ECB">
        <w:rPr>
          <w:rFonts w:hint="eastAsia"/>
          <w:color w:val="000000"/>
          <w:kern w:val="0"/>
          <w:sz w:val="24"/>
          <w:szCs w:val="24"/>
        </w:rPr>
        <w:t>投资组合报告</w:t>
      </w:r>
    </w:p>
    <w:p w:rsidR="00902E3F" w:rsidRPr="008F1ECB" w:rsidRDefault="00902E3F" w:rsidP="008F1ECB">
      <w:pPr>
        <w:spacing w:before="29" w:line="288" w:lineRule="auto"/>
        <w:rPr>
          <w:b/>
          <w:color w:val="000000"/>
          <w:kern w:val="0"/>
          <w:sz w:val="24"/>
        </w:rPr>
      </w:pPr>
      <w:r w:rsidRPr="008F1ECB">
        <w:rPr>
          <w:b/>
          <w:color w:val="000000"/>
          <w:kern w:val="0"/>
          <w:sz w:val="24"/>
        </w:rPr>
        <w:t xml:space="preserve">5.1 </w:t>
      </w:r>
      <w:r w:rsidRPr="008F1ECB">
        <w:rPr>
          <w:rFonts w:hint="eastAsia"/>
          <w:b/>
          <w:color w:val="000000"/>
          <w:kern w:val="0"/>
          <w:sz w:val="24"/>
        </w:rPr>
        <w:t>报告期末基金资产组合情况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021"/>
        <w:gridCol w:w="3021"/>
        <w:gridCol w:w="1773"/>
      </w:tblGrid>
      <w:tr w:rsidR="00C32E36" w:rsidRPr="006662B2" w:rsidTr="00A8129A">
        <w:tc>
          <w:tcPr>
            <w:tcW w:w="116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序号</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项目</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金额</w:t>
            </w:r>
            <w:r w:rsidRPr="005A4EEA">
              <w:rPr>
                <w:rFonts w:hAnsi="宋体" w:hint="eastAsia"/>
                <w:color w:val="000000"/>
                <w:sz w:val="24"/>
              </w:rPr>
              <w:t>(</w:t>
            </w:r>
            <w:r w:rsidRPr="005A4EEA">
              <w:rPr>
                <w:rFonts w:hAnsi="宋体" w:hint="eastAsia"/>
                <w:color w:val="000000"/>
                <w:sz w:val="24"/>
              </w:rPr>
              <w:t>元</w:t>
            </w:r>
            <w:r w:rsidRPr="005A4EEA">
              <w:rPr>
                <w:rFonts w:hAnsi="宋体" w:hint="eastAsia"/>
                <w:color w:val="000000"/>
                <w:sz w:val="24"/>
              </w:rPr>
              <w:t>)</w:t>
            </w:r>
          </w:p>
        </w:tc>
        <w:tc>
          <w:tcPr>
            <w:tcW w:w="174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占基金总资产的比例</w:t>
            </w:r>
            <w:r w:rsidRPr="005A4EEA">
              <w:rPr>
                <w:rFonts w:hAnsi="宋体" w:hint="eastAsia"/>
                <w:color w:val="000000"/>
                <w:sz w:val="24"/>
              </w:rPr>
              <w:t>(</w:t>
            </w:r>
            <w:r w:rsidRPr="005A4EEA">
              <w:rPr>
                <w:rFonts w:hAnsi="宋体"/>
                <w:color w:val="000000"/>
                <w:sz w:val="24"/>
              </w:rPr>
              <w:t>%</w:t>
            </w:r>
            <w:r w:rsidRPr="005A4EEA">
              <w:rPr>
                <w:rFonts w:hAnsi="宋体" w:hint="eastAsia"/>
                <w:color w:val="000000"/>
                <w:sz w:val="24"/>
              </w:rPr>
              <w:t>)</w:t>
            </w:r>
          </w:p>
        </w:tc>
      </w:tr>
      <w:tr w:rsidR="00C32E36" w:rsidRPr="006662B2" w:rsidTr="00A8129A">
        <w:tc>
          <w:tcPr>
            <w:tcW w:w="1167" w:type="dxa"/>
            <w:shd w:val="clear" w:color="auto" w:fill="auto"/>
            <w:vAlign w:val="center"/>
          </w:tcPr>
          <w:p w:rsidR="00BC144F" w:rsidRPr="00347167" w:rsidRDefault="004730B4" w:rsidP="00347167">
            <w:pPr>
              <w:spacing w:before="29" w:line="288" w:lineRule="auto"/>
              <w:ind w:left="17"/>
              <w:jc w:val="center"/>
              <w:rPr>
                <w:color w:val="000000"/>
                <w:sz w:val="24"/>
              </w:rPr>
            </w:pPr>
            <w:r w:rsidRPr="00347167">
              <w:rPr>
                <w:rFonts w:hint="eastAsia"/>
                <w:color w:val="000000"/>
                <w:sz w:val="24"/>
              </w:rPr>
              <w:t>1</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固定收益投资</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1,588,596,674.17</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48.18</w:t>
            </w:r>
          </w:p>
        </w:tc>
      </w:tr>
      <w:tr w:rsidR="00C32E36" w:rsidRPr="006662B2"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其中：债券</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1,588,596,674.17</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48.18</w:t>
            </w:r>
          </w:p>
        </w:tc>
      </w:tr>
      <w:tr w:rsidR="00C32E36" w:rsidRPr="006662B2" w:rsidTr="00A8129A">
        <w:tc>
          <w:tcPr>
            <w:tcW w:w="1167" w:type="dxa"/>
            <w:shd w:val="clear" w:color="auto" w:fill="auto"/>
            <w:vAlign w:val="center"/>
          </w:tcPr>
          <w:p w:rsidR="00BC144F" w:rsidRPr="006662B2" w:rsidRDefault="00BC144F" w:rsidP="00F03F87">
            <w:pPr>
              <w:spacing w:before="29" w:line="360" w:lineRule="auto"/>
              <w:ind w:left="17"/>
              <w:jc w:val="center"/>
              <w:rPr>
                <w:rFonts w:asciiTheme="minorEastAsia" w:eastAsiaTheme="minorEastAsia" w:hAnsiTheme="minorEastAsia"/>
                <w:color w:val="000000"/>
                <w:sz w:val="24"/>
              </w:rPr>
            </w:pPr>
          </w:p>
        </w:tc>
        <w:tc>
          <w:tcPr>
            <w:tcW w:w="2977" w:type="dxa"/>
            <w:shd w:val="clear" w:color="auto" w:fill="auto"/>
            <w:vAlign w:val="center"/>
          </w:tcPr>
          <w:p w:rsidR="00BC144F" w:rsidRPr="006662B2" w:rsidRDefault="008C4607" w:rsidP="00347167">
            <w:pPr>
              <w:spacing w:before="29" w:line="288" w:lineRule="auto"/>
              <w:ind w:left="17"/>
              <w:jc w:val="center"/>
              <w:rPr>
                <w:rFonts w:asciiTheme="minorEastAsia" w:eastAsiaTheme="minorEastAsia" w:hAnsiTheme="minorEastAsia"/>
                <w:color w:val="000000"/>
                <w:sz w:val="24"/>
              </w:rPr>
            </w:pPr>
            <w:r>
              <w:rPr>
                <w:rFonts w:hint="eastAsia"/>
                <w:color w:val="000000"/>
                <w:sz w:val="24"/>
              </w:rPr>
              <w:t xml:space="preserve"> </w:t>
            </w:r>
            <w:r w:rsidR="00BC144F" w:rsidRPr="00347167">
              <w:rPr>
                <w:rFonts w:hint="eastAsia"/>
                <w:color w:val="000000"/>
                <w:sz w:val="24"/>
              </w:rPr>
              <w:t>资产支持证券</w:t>
            </w:r>
          </w:p>
        </w:tc>
        <w:tc>
          <w:tcPr>
            <w:tcW w:w="2977" w:type="dxa"/>
            <w:shd w:val="clear" w:color="auto" w:fill="auto"/>
            <w:vAlign w:val="center"/>
          </w:tcPr>
          <w:p w:rsidR="00BC144F" w:rsidRPr="006662B2" w:rsidRDefault="00BC144F" w:rsidP="00245004">
            <w:pPr>
              <w:spacing w:before="29" w:line="288" w:lineRule="auto"/>
              <w:ind w:left="17"/>
              <w:jc w:val="right"/>
              <w:rPr>
                <w:rFonts w:asciiTheme="minorEastAsia" w:eastAsiaTheme="minorEastAsia" w:hAnsiTheme="minorEastAsia" w:cs="宋体"/>
                <w:color w:val="000000"/>
                <w:sz w:val="24"/>
              </w:rPr>
            </w:pPr>
            <w:r w:rsidRPr="00245004">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347167" w:rsidRDefault="009C53F8" w:rsidP="00347167">
            <w:pPr>
              <w:spacing w:before="29" w:line="288" w:lineRule="auto"/>
              <w:ind w:left="17"/>
              <w:jc w:val="center"/>
              <w:rPr>
                <w:color w:val="000000"/>
                <w:sz w:val="24"/>
              </w:rPr>
            </w:pPr>
            <w:r w:rsidRPr="00347167">
              <w:rPr>
                <w:rFonts w:hint="eastAsia"/>
                <w:color w:val="000000"/>
                <w:sz w:val="24"/>
              </w:rPr>
              <w:t>2</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买入返售金融资产</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005E2D"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其中：买断式回购的买入返售金融资产</w:t>
            </w:r>
          </w:p>
        </w:tc>
        <w:tc>
          <w:tcPr>
            <w:tcW w:w="2977" w:type="dxa"/>
            <w:shd w:val="clear" w:color="auto" w:fill="auto"/>
            <w:vAlign w:val="center"/>
          </w:tcPr>
          <w:p w:rsidR="00BC144F" w:rsidRPr="006662B2" w:rsidRDefault="00BC144F" w:rsidP="000B5BBD">
            <w:pPr>
              <w:spacing w:before="29" w:line="288"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021416" w:rsidRDefault="00B9544E" w:rsidP="00021416">
            <w:pPr>
              <w:spacing w:before="29" w:line="288" w:lineRule="auto"/>
              <w:ind w:left="17"/>
              <w:jc w:val="center"/>
              <w:rPr>
                <w:color w:val="000000"/>
                <w:sz w:val="24"/>
              </w:rPr>
            </w:pPr>
            <w:r w:rsidRPr="00021416">
              <w:rPr>
                <w:rFonts w:hint="eastAsia"/>
                <w:color w:val="000000"/>
                <w:sz w:val="24"/>
              </w:rPr>
              <w:t>3</w:t>
            </w:r>
          </w:p>
        </w:tc>
        <w:tc>
          <w:tcPr>
            <w:tcW w:w="2977" w:type="dxa"/>
            <w:shd w:val="clear" w:color="auto" w:fill="auto"/>
            <w:vAlign w:val="center"/>
          </w:tcPr>
          <w:p w:rsidR="00BC144F" w:rsidRPr="00021416" w:rsidRDefault="00BC144F" w:rsidP="00254D0D">
            <w:pPr>
              <w:spacing w:before="29" w:line="288" w:lineRule="auto"/>
              <w:ind w:left="17"/>
              <w:jc w:val="left"/>
              <w:rPr>
                <w:color w:val="000000"/>
                <w:sz w:val="24"/>
              </w:rPr>
            </w:pPr>
            <w:r w:rsidRPr="00021416">
              <w:rPr>
                <w:rFonts w:hint="eastAsia"/>
                <w:color w:val="000000"/>
                <w:sz w:val="24"/>
              </w:rPr>
              <w:t>银行存款和结算备付金合计</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1,299,139,332.12</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39.40</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4</w:t>
            </w:r>
          </w:p>
        </w:tc>
        <w:tc>
          <w:tcPr>
            <w:tcW w:w="2977" w:type="dxa"/>
            <w:shd w:val="clear" w:color="auto" w:fill="auto"/>
            <w:vAlign w:val="center"/>
          </w:tcPr>
          <w:p w:rsidR="00BC144F" w:rsidRPr="00E23CF8" w:rsidRDefault="00F5602C" w:rsidP="00E23CF8">
            <w:pPr>
              <w:spacing w:line="288" w:lineRule="auto"/>
              <w:jc w:val="left"/>
              <w:rPr>
                <w:color w:val="000000"/>
                <w:sz w:val="24"/>
              </w:rPr>
            </w:pPr>
            <w:r>
              <w:rPr>
                <w:rFonts w:hint="eastAsia"/>
                <w:color w:val="000000"/>
                <w:sz w:val="24"/>
              </w:rPr>
              <w:t>其他</w:t>
            </w:r>
            <w:r w:rsidR="00BC144F" w:rsidRPr="00E23CF8">
              <w:rPr>
                <w:rFonts w:hint="eastAsia"/>
                <w:color w:val="000000"/>
                <w:sz w:val="24"/>
              </w:rPr>
              <w:t>资产</w:t>
            </w:r>
          </w:p>
        </w:tc>
        <w:tc>
          <w:tcPr>
            <w:tcW w:w="2977" w:type="dxa"/>
            <w:shd w:val="clear" w:color="auto" w:fill="auto"/>
            <w:vAlign w:val="center"/>
          </w:tcPr>
          <w:p w:rsidR="00BC144F" w:rsidRPr="006662B2" w:rsidRDefault="00BC144F" w:rsidP="006C30D6">
            <w:pPr>
              <w:spacing w:before="29" w:line="288" w:lineRule="auto"/>
              <w:jc w:val="right"/>
              <w:rPr>
                <w:rFonts w:asciiTheme="minorEastAsia" w:eastAsiaTheme="minorEastAsia" w:hAnsiTheme="minorEastAsia" w:cs="宋体"/>
                <w:color w:val="000000"/>
                <w:sz w:val="24"/>
              </w:rPr>
            </w:pPr>
            <w:r w:rsidRPr="006C30D6">
              <w:rPr>
                <w:rFonts w:hint="eastAsia"/>
                <w:color w:val="000000"/>
                <w:sz w:val="24"/>
              </w:rPr>
              <w:t>409,663,265.83</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12.42</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5</w:t>
            </w:r>
          </w:p>
        </w:tc>
        <w:tc>
          <w:tcPr>
            <w:tcW w:w="2977" w:type="dxa"/>
            <w:shd w:val="clear" w:color="auto" w:fill="auto"/>
            <w:vAlign w:val="center"/>
          </w:tcPr>
          <w:p w:rsidR="00BC144F" w:rsidRPr="00E23CF8" w:rsidRDefault="00BC144F" w:rsidP="00E23CF8">
            <w:pPr>
              <w:spacing w:line="288" w:lineRule="auto"/>
              <w:jc w:val="left"/>
              <w:rPr>
                <w:color w:val="000000"/>
                <w:sz w:val="24"/>
              </w:rPr>
            </w:pPr>
            <w:r w:rsidRPr="00E23CF8">
              <w:rPr>
                <w:rFonts w:hint="eastAsia"/>
                <w:color w:val="000000"/>
                <w:sz w:val="24"/>
              </w:rPr>
              <w:t>合计</w:t>
            </w:r>
          </w:p>
        </w:tc>
        <w:tc>
          <w:tcPr>
            <w:tcW w:w="297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3,297,399,272.12</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100.00</w:t>
            </w:r>
          </w:p>
        </w:tc>
      </w:tr>
    </w:tbl>
    <w:p w:rsidR="000B3935" w:rsidRPr="00437706" w:rsidRDefault="000B3935" w:rsidP="00437706">
      <w:pPr>
        <w:spacing w:line="360" w:lineRule="auto"/>
        <w:rPr>
          <w:rFonts w:asciiTheme="minorEastAsia" w:eastAsiaTheme="minorEastAsia" w:hAnsiTheme="minorEastAsia" w:cs="Arial"/>
          <w:b/>
          <w:color w:val="000000"/>
          <w:kern w:val="0"/>
          <w:sz w:val="24"/>
        </w:rPr>
      </w:pPr>
    </w:p>
    <w:p w:rsidR="00902E3F" w:rsidRPr="00A67179" w:rsidRDefault="00902E3F" w:rsidP="00A67179">
      <w:pPr>
        <w:spacing w:before="29" w:line="288" w:lineRule="auto"/>
        <w:rPr>
          <w:b/>
          <w:color w:val="000000"/>
          <w:kern w:val="0"/>
          <w:sz w:val="24"/>
        </w:rPr>
      </w:pPr>
      <w:r w:rsidRPr="00A67179">
        <w:rPr>
          <w:b/>
          <w:color w:val="000000"/>
          <w:kern w:val="0"/>
          <w:sz w:val="24"/>
        </w:rPr>
        <w:t xml:space="preserve">5.2 </w:t>
      </w:r>
      <w:r w:rsidRPr="00A67179">
        <w:rPr>
          <w:rFonts w:hint="eastAsia"/>
          <w:b/>
          <w:color w:val="000000"/>
          <w:kern w:val="0"/>
          <w:sz w:val="24"/>
        </w:rPr>
        <w:t>报告期债券回购融资情况</w:t>
      </w:r>
    </w:p>
    <w:tbl>
      <w:tblPr>
        <w:tblW w:w="8998" w:type="dxa"/>
        <w:tblInd w:w="108" w:type="dxa"/>
        <w:tblLayout w:type="fixed"/>
        <w:tblLook w:val="0000" w:firstRow="0" w:lastRow="0" w:firstColumn="0" w:lastColumn="0" w:noHBand="0" w:noVBand="0"/>
      </w:tblPr>
      <w:tblGrid>
        <w:gridCol w:w="855"/>
        <w:gridCol w:w="3082"/>
        <w:gridCol w:w="2952"/>
        <w:gridCol w:w="2109"/>
      </w:tblGrid>
      <w:tr w:rsidR="009802DA" w:rsidRPr="006662B2" w:rsidTr="00A8129A">
        <w:tc>
          <w:tcPr>
            <w:tcW w:w="861"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占基金资产净值</w:t>
            </w:r>
            <w:r w:rsidR="009D2F0E" w:rsidRPr="00CB2552">
              <w:rPr>
                <w:rFonts w:hAnsi="宋体" w:hint="eastAsia"/>
                <w:color w:val="000000"/>
                <w:kern w:val="0"/>
                <w:sz w:val="24"/>
              </w:rPr>
              <w:t>的</w:t>
            </w:r>
            <w:r w:rsidRPr="00CB2552">
              <w:rPr>
                <w:rFonts w:hAnsi="宋体" w:hint="eastAsia"/>
                <w:color w:val="000000"/>
                <w:kern w:val="0"/>
                <w:sz w:val="24"/>
              </w:rPr>
              <w:t>比例（％）</w:t>
            </w:r>
          </w:p>
        </w:tc>
      </w:tr>
      <w:tr w:rsidR="00B5600C" w:rsidRPr="0029234B" w:rsidTr="00A8129A">
        <w:tc>
          <w:tcPr>
            <w:tcW w:w="861" w:type="dxa"/>
            <w:vMerge w:val="restart"/>
            <w:tcBorders>
              <w:top w:val="single" w:sz="8" w:space="0" w:color="000000"/>
              <w:left w:val="single" w:sz="8" w:space="0" w:color="000000"/>
              <w:right w:val="single" w:sz="8" w:space="0" w:color="000000"/>
            </w:tcBorders>
            <w:vAlign w:val="center"/>
          </w:tcPr>
          <w:p w:rsidR="00B5600C" w:rsidRPr="0029234B" w:rsidRDefault="00B5600C" w:rsidP="0029234B">
            <w:pPr>
              <w:spacing w:before="29" w:line="288" w:lineRule="auto"/>
              <w:jc w:val="center"/>
              <w:rPr>
                <w:color w:val="000000"/>
                <w:kern w:val="0"/>
                <w:sz w:val="24"/>
              </w:rPr>
            </w:pPr>
            <w:r w:rsidRPr="0029234B">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4538AA">
            <w:pPr>
              <w:spacing w:before="29" w:line="288" w:lineRule="auto"/>
              <w:rPr>
                <w:color w:val="000000"/>
                <w:kern w:val="0"/>
                <w:sz w:val="24"/>
              </w:rPr>
            </w:pPr>
            <w:r w:rsidRPr="0029234B">
              <w:rPr>
                <w:rFonts w:hint="eastAsia"/>
                <w:color w:val="000000"/>
                <w:kern w:val="0"/>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2A62FC">
            <w:pPr>
              <w:spacing w:before="29" w:line="288" w:lineRule="auto"/>
              <w:jc w:val="right"/>
              <w:rPr>
                <w:color w:val="000000"/>
                <w:kern w:val="0"/>
                <w:sz w:val="24"/>
              </w:rPr>
            </w:pPr>
            <w:r w:rsidRPr="002A62FC">
              <w:rPr>
                <w:rFonts w:hint="eastAsia"/>
                <w:sz w:val="24"/>
              </w:rPr>
              <w:t>6.83</w:t>
            </w:r>
          </w:p>
        </w:tc>
      </w:tr>
      <w:tr w:rsidR="00B5600C" w:rsidRPr="006662B2" w:rsidTr="00A8129A">
        <w:trPr>
          <w:trHeight w:val="712"/>
        </w:trPr>
        <w:tc>
          <w:tcPr>
            <w:tcW w:w="861" w:type="dxa"/>
            <w:vMerge/>
            <w:tcBorders>
              <w:left w:val="single" w:sz="8" w:space="0" w:color="000000"/>
              <w:bottom w:val="single" w:sz="8" w:space="0" w:color="000000"/>
              <w:right w:val="single" w:sz="8" w:space="0" w:color="000000"/>
            </w:tcBorders>
            <w:vAlign w:val="center"/>
          </w:tcPr>
          <w:p w:rsidR="00B5600C" w:rsidRPr="006662B2" w:rsidRDefault="00B5600C" w:rsidP="00F03F87">
            <w:pPr>
              <w:autoSpaceDE w:val="0"/>
              <w:autoSpaceDN w:val="0"/>
              <w:adjustRightInd w:val="0"/>
              <w:spacing w:before="29" w:line="360" w:lineRule="auto"/>
              <w:ind w:left="15"/>
              <w:jc w:val="center"/>
              <w:rPr>
                <w:rFonts w:asciiTheme="minorEastAsia" w:eastAsiaTheme="minorEastAsia" w:hAnsiTheme="minorEastAsia"/>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4538AA">
            <w:pPr>
              <w:spacing w:before="29" w:line="288" w:lineRule="auto"/>
              <w:rPr>
                <w:rFonts w:asciiTheme="minorEastAsia" w:eastAsiaTheme="minorEastAsia" w:hAnsiTheme="minorEastAsia"/>
                <w:sz w:val="24"/>
              </w:rPr>
            </w:pPr>
            <w:r w:rsidRPr="0029234B">
              <w:rPr>
                <w:rFonts w:hAnsi="宋体" w:hint="eastAsia"/>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2A62FC">
            <w:pPr>
              <w:spacing w:before="29" w:line="288" w:lineRule="auto"/>
              <w:jc w:val="right"/>
              <w:rPr>
                <w:rFonts w:asciiTheme="minorEastAsia" w:eastAsiaTheme="minorEastAsia" w:hAnsiTheme="minorEastAsia"/>
                <w:sz w:val="24"/>
              </w:rPr>
            </w:pPr>
            <w:r w:rsidRPr="002A62FC">
              <w:rPr>
                <w:rFonts w:hint="eastAsia"/>
                <w:sz w:val="24"/>
              </w:rPr>
              <w:t>-</w:t>
            </w:r>
          </w:p>
        </w:tc>
      </w:tr>
      <w:tr w:rsidR="00E9312A" w:rsidRPr="006662B2" w:rsidTr="00A8129A">
        <w:tc>
          <w:tcPr>
            <w:tcW w:w="861" w:type="dxa"/>
            <w:tcBorders>
              <w:left w:val="single" w:sz="8" w:space="0" w:color="000000"/>
              <w:bottom w:val="single" w:sz="8" w:space="0" w:color="000000"/>
              <w:right w:val="single" w:sz="8" w:space="0" w:color="000000"/>
            </w:tcBorders>
            <w:vAlign w:val="center"/>
          </w:tcPr>
          <w:p w:rsidR="00E9312A" w:rsidRPr="006662B2" w:rsidRDefault="00E9312A" w:rsidP="001067D9">
            <w:pPr>
              <w:autoSpaceDE w:val="0"/>
              <w:autoSpaceDN w:val="0"/>
              <w:adjustRightInd w:val="0"/>
              <w:spacing w:before="29" w:line="360" w:lineRule="auto"/>
              <w:ind w:left="15"/>
              <w:jc w:val="center"/>
              <w:rPr>
                <w:rFonts w:asciiTheme="minorEastAsia" w:eastAsiaTheme="minorEastAsia" w:hAnsiTheme="minorEastAsia"/>
                <w:color w:val="000000"/>
                <w:sz w:val="24"/>
              </w:rPr>
            </w:pPr>
            <w:r w:rsidRPr="006662B2">
              <w:rPr>
                <w:rFonts w:asciiTheme="minorEastAsia" w:eastAsiaTheme="minorEastAsia" w:hAnsiTheme="minorEastAsia" w:cs="Arial"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F03F87">
            <w:pPr>
              <w:jc w:val="right"/>
              <w:rPr>
                <w:rFonts w:asciiTheme="minorEastAsia" w:eastAsiaTheme="minorEastAsia" w:hAnsiTheme="minorEastAsia"/>
                <w:sz w:val="24"/>
              </w:rPr>
            </w:pPr>
            <w:r w:rsidRPr="006662B2">
              <w:rPr>
                <w:rFonts w:asciiTheme="minorEastAsia" w:eastAsiaTheme="minorEastAsia" w:hAnsiTheme="minorEastAsia" w:cs="Arial" w:hint="eastAsia"/>
                <w:color w:val="000000"/>
                <w:kern w:val="0"/>
                <w:sz w:val="24"/>
              </w:rPr>
              <w:t>占基金资产净值</w:t>
            </w:r>
            <w:r w:rsidR="009D2F0E" w:rsidRPr="006662B2">
              <w:rPr>
                <w:rFonts w:asciiTheme="minorEastAsia" w:eastAsiaTheme="minorEastAsia" w:hAnsiTheme="minorEastAsia" w:cs="Arial" w:hint="eastAsia"/>
                <w:color w:val="000000"/>
                <w:kern w:val="0"/>
                <w:sz w:val="24"/>
              </w:rPr>
              <w:t>的</w:t>
            </w:r>
            <w:r w:rsidRPr="006662B2">
              <w:rPr>
                <w:rFonts w:asciiTheme="minorEastAsia" w:eastAsiaTheme="minorEastAsia" w:hAnsiTheme="minorEastAsia" w:cs="Arial" w:hint="eastAsia"/>
                <w:color w:val="000000"/>
                <w:kern w:val="0"/>
                <w:sz w:val="24"/>
              </w:rPr>
              <w:t>比例（％）</w:t>
            </w:r>
          </w:p>
        </w:tc>
      </w:tr>
      <w:tr w:rsidR="009802DA" w:rsidRPr="006662B2" w:rsidTr="00A8129A">
        <w:tc>
          <w:tcPr>
            <w:tcW w:w="861" w:type="dxa"/>
            <w:vMerge w:val="restart"/>
            <w:tcBorders>
              <w:top w:val="single" w:sz="8" w:space="0" w:color="000000"/>
              <w:left w:val="single" w:sz="8" w:space="0" w:color="000000"/>
              <w:right w:val="single" w:sz="8" w:space="0" w:color="000000"/>
            </w:tcBorders>
            <w:vAlign w:val="center"/>
          </w:tcPr>
          <w:p w:rsidR="009802DA" w:rsidRPr="00F029D6" w:rsidRDefault="009802DA" w:rsidP="0029234B">
            <w:pPr>
              <w:spacing w:before="29" w:line="288" w:lineRule="auto"/>
              <w:jc w:val="center"/>
              <w:rPr>
                <w:color w:val="000000"/>
                <w:sz w:val="24"/>
              </w:rPr>
            </w:pPr>
            <w:r w:rsidRPr="00F029D6">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before="29" w:line="288" w:lineRule="auto"/>
              <w:rPr>
                <w:color w:val="000000"/>
                <w:sz w:val="24"/>
              </w:rPr>
            </w:pPr>
            <w:r w:rsidRPr="00F029D6">
              <w:rPr>
                <w:rFonts w:hint="eastAsia"/>
                <w:color w:val="000000"/>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399,299,200.35</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13.79</w:t>
            </w:r>
          </w:p>
        </w:tc>
      </w:tr>
      <w:tr w:rsidR="009802DA" w:rsidRPr="006662B2" w:rsidTr="00A8129A">
        <w:tc>
          <w:tcPr>
            <w:tcW w:w="861" w:type="dxa"/>
            <w:vMerge/>
            <w:tcBorders>
              <w:left w:val="single" w:sz="8" w:space="0" w:color="000000"/>
              <w:bottom w:val="single" w:sz="8" w:space="0" w:color="000000"/>
              <w:right w:val="single" w:sz="8" w:space="0" w:color="000000"/>
            </w:tcBorders>
            <w:vAlign w:val="center"/>
          </w:tcPr>
          <w:p w:rsidR="009802DA" w:rsidRPr="00F029D6" w:rsidRDefault="009802DA" w:rsidP="00F029D6">
            <w:pPr>
              <w:spacing w:before="29" w:line="288" w:lineRule="auto"/>
              <w:jc w:val="center"/>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line="288" w:lineRule="auto"/>
              <w:rPr>
                <w:color w:val="000000"/>
                <w:sz w:val="24"/>
              </w:rPr>
            </w:pPr>
            <w:r w:rsidRPr="00F029D6">
              <w:rPr>
                <w:rFonts w:hint="eastAsia"/>
                <w:color w:val="000000"/>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w:t>
            </w:r>
          </w:p>
        </w:tc>
      </w:tr>
    </w:tbl>
    <w:p w:rsidR="009802DA" w:rsidRPr="00771109" w:rsidRDefault="009802DA" w:rsidP="00771109">
      <w:pPr>
        <w:autoSpaceDE w:val="0"/>
        <w:autoSpaceDN w:val="0"/>
        <w:adjustRightInd w:val="0"/>
        <w:spacing w:before="29" w:line="288" w:lineRule="auto"/>
        <w:jc w:val="left"/>
        <w:rPr>
          <w:color w:val="000000"/>
          <w:sz w:val="24"/>
        </w:rPr>
      </w:pPr>
      <w:r w:rsidRPr="00771109">
        <w:rPr>
          <w:rFonts w:hint="eastAsia"/>
          <w:color w:val="000000"/>
          <w:sz w:val="24"/>
        </w:rPr>
        <w:t>注：报告期内债券回购融资余额占基金资产净值的比例为报告期内每个银行间市场交易日融资余额占资产净值比例的简单平均值。</w:t>
      </w:r>
    </w:p>
    <w:p w:rsidR="00DB2873" w:rsidRPr="00F32DEE" w:rsidRDefault="00DB2873" w:rsidP="00F32DEE">
      <w:pPr>
        <w:autoSpaceDE w:val="0"/>
        <w:autoSpaceDN w:val="0"/>
        <w:adjustRightInd w:val="0"/>
        <w:spacing w:before="29" w:line="288" w:lineRule="auto"/>
        <w:jc w:val="left"/>
        <w:rPr>
          <w:color w:val="000000"/>
          <w:sz w:val="24"/>
        </w:rPr>
      </w:pPr>
    </w:p>
    <w:p w:rsidR="007E1201" w:rsidRPr="00F32DEE" w:rsidRDefault="007E1201" w:rsidP="00F32DEE">
      <w:pPr>
        <w:autoSpaceDE w:val="0"/>
        <w:autoSpaceDN w:val="0"/>
        <w:adjustRightInd w:val="0"/>
        <w:spacing w:before="29" w:line="288" w:lineRule="auto"/>
        <w:jc w:val="left"/>
        <w:rPr>
          <w:color w:val="000000"/>
          <w:sz w:val="24"/>
        </w:rPr>
      </w:pPr>
      <w:r w:rsidRPr="00F32DEE">
        <w:rPr>
          <w:color w:val="000000"/>
          <w:sz w:val="24"/>
        </w:rPr>
        <w:t>债券正回购的资金余额超过基金资产净值的</w:t>
      </w:r>
      <w:r w:rsidRPr="00F32DEE">
        <w:rPr>
          <w:color w:val="000000"/>
          <w:sz w:val="24"/>
        </w:rPr>
        <w:t>20</w:t>
      </w:r>
      <w:r w:rsidRPr="00F32DEE">
        <w:rPr>
          <w:color w:val="000000"/>
          <w:sz w:val="24"/>
        </w:rPr>
        <w:t>％的说明</w:t>
      </w:r>
    </w:p>
    <w:p w:rsidR="007E1201" w:rsidRPr="000E4C40" w:rsidRDefault="007E1201" w:rsidP="00F32DEE">
      <w:pPr>
        <w:autoSpaceDE w:val="0"/>
        <w:autoSpaceDN w:val="0"/>
        <w:adjustRightInd w:val="0"/>
        <w:spacing w:before="29" w:line="288" w:lineRule="auto"/>
        <w:jc w:val="left"/>
        <w:rPr>
          <w:color w:val="000000"/>
          <w:sz w:val="24"/>
        </w:rPr>
      </w:pPr>
      <w:r w:rsidRPr="00F32DEE">
        <w:rPr>
          <w:rFonts w:hint="eastAsia"/>
          <w:color w:val="000000"/>
          <w:sz w:val="24"/>
        </w:rPr>
        <w:t>本基金本报告期内债券正回购的资金余额未超过资产净值的</w:t>
      </w:r>
      <w:r w:rsidRPr="00F32DEE">
        <w:rPr>
          <w:color w:val="000000"/>
          <w:sz w:val="24"/>
        </w:rPr>
        <w:t>20%</w:t>
      </w:r>
      <w:r w:rsidRPr="00F32DEE">
        <w:rPr>
          <w:rFonts w:hint="eastAsia"/>
          <w:color w:val="000000"/>
          <w:sz w:val="24"/>
        </w:rPr>
        <w:t>。</w:t>
      </w:r>
    </w:p>
    <w:p w:rsidR="007E1201" w:rsidRPr="007E1201" w:rsidRDefault="007E1201" w:rsidP="00814461">
      <w:pPr>
        <w:tabs>
          <w:tab w:val="left" w:pos="1800"/>
        </w:tabs>
        <w:spacing w:line="360" w:lineRule="auto"/>
        <w:rPr>
          <w:rFonts w:asciiTheme="minorEastAsia" w:eastAsiaTheme="minorEastAsia" w:hAnsiTheme="minorEastAsia"/>
          <w:sz w:val="24"/>
        </w:rPr>
      </w:pPr>
    </w:p>
    <w:p w:rsidR="00902E3F" w:rsidRPr="00CB6A05" w:rsidRDefault="00902E3F" w:rsidP="00CB6A05">
      <w:pPr>
        <w:spacing w:before="29" w:line="288" w:lineRule="auto"/>
        <w:rPr>
          <w:b/>
          <w:color w:val="000000"/>
          <w:kern w:val="0"/>
          <w:sz w:val="24"/>
        </w:rPr>
      </w:pPr>
      <w:r w:rsidRPr="00CB6A05">
        <w:rPr>
          <w:b/>
          <w:color w:val="000000"/>
          <w:kern w:val="0"/>
          <w:sz w:val="24"/>
        </w:rPr>
        <w:t xml:space="preserve">5.3 </w:t>
      </w:r>
      <w:r w:rsidRPr="00CB6A05">
        <w:rPr>
          <w:rFonts w:hint="eastAsia"/>
          <w:b/>
          <w:color w:val="000000"/>
          <w:kern w:val="0"/>
          <w:sz w:val="24"/>
        </w:rPr>
        <w:t>基金投资组合平均剩余期限</w:t>
      </w:r>
    </w:p>
    <w:p w:rsidR="00902E3F" w:rsidRPr="00CB6A05" w:rsidRDefault="00902E3F" w:rsidP="00CB6A05">
      <w:pPr>
        <w:spacing w:before="29" w:line="288" w:lineRule="auto"/>
        <w:rPr>
          <w:b/>
          <w:color w:val="000000"/>
          <w:kern w:val="0"/>
          <w:sz w:val="24"/>
        </w:rPr>
      </w:pPr>
      <w:r w:rsidRPr="00CB6A05">
        <w:rPr>
          <w:b/>
          <w:color w:val="000000"/>
          <w:kern w:val="0"/>
          <w:sz w:val="24"/>
        </w:rPr>
        <w:t xml:space="preserve">5.3.1 </w:t>
      </w:r>
      <w:r w:rsidRPr="00CB6A05">
        <w:rPr>
          <w:rFonts w:hint="eastAsia"/>
          <w:b/>
          <w:color w:val="000000"/>
          <w:kern w:val="0"/>
          <w:sz w:val="24"/>
        </w:rPr>
        <w:t>投资组合平均剩余期限基本情况</w:t>
      </w:r>
    </w:p>
    <w:tbl>
      <w:tblPr>
        <w:tblW w:w="8998" w:type="dxa"/>
        <w:tblInd w:w="108" w:type="dxa"/>
        <w:tblLayout w:type="fixed"/>
        <w:tblLook w:val="0000" w:firstRow="0" w:lastRow="0" w:firstColumn="0" w:lastColumn="0" w:noHBand="0" w:noVBand="0"/>
      </w:tblPr>
      <w:tblGrid>
        <w:gridCol w:w="4640"/>
        <w:gridCol w:w="4358"/>
      </w:tblGrid>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项目</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天数</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报告期末投资组合平均剩余期限</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107</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报告期内投资组合平均剩余期限最高值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114</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报告期内投资组合平均剩余期限最低值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90</w:t>
            </w:r>
          </w:p>
        </w:tc>
      </w:tr>
    </w:tbl>
    <w:p w:rsidR="00193BCF" w:rsidRPr="006662B2" w:rsidRDefault="00193BCF" w:rsidP="00814461">
      <w:pPr>
        <w:spacing w:line="360" w:lineRule="auto"/>
        <w:rPr>
          <w:rFonts w:asciiTheme="minorEastAsia" w:eastAsiaTheme="minorEastAsia" w:hAnsiTheme="minorEastAsia"/>
          <w:b/>
          <w:sz w:val="24"/>
        </w:rPr>
      </w:pPr>
    </w:p>
    <w:p w:rsidR="007277D1" w:rsidRPr="007656D4" w:rsidRDefault="007277D1" w:rsidP="00437706">
      <w:pPr>
        <w:spacing w:line="360" w:lineRule="auto"/>
        <w:rPr>
          <w:b/>
          <w:color w:val="000000"/>
          <w:kern w:val="0"/>
          <w:sz w:val="24"/>
        </w:rPr>
      </w:pPr>
      <w:r w:rsidRPr="007656D4">
        <w:rPr>
          <w:rFonts w:hint="eastAsia"/>
          <w:b/>
          <w:color w:val="000000"/>
          <w:kern w:val="0"/>
          <w:sz w:val="24"/>
        </w:rPr>
        <w:t>报告期内投资组合平均剩余期限超过</w:t>
      </w:r>
      <w:r w:rsidRPr="007656D4">
        <w:rPr>
          <w:b/>
          <w:color w:val="000000"/>
          <w:kern w:val="0"/>
          <w:sz w:val="24"/>
        </w:rPr>
        <w:t>180</w:t>
      </w:r>
      <w:r w:rsidRPr="007656D4">
        <w:rPr>
          <w:rFonts w:hint="eastAsia"/>
          <w:b/>
          <w:color w:val="000000"/>
          <w:kern w:val="0"/>
          <w:sz w:val="24"/>
        </w:rPr>
        <w:t>天情况说明</w:t>
      </w:r>
    </w:p>
    <w:p w:rsidR="00101278" w:rsidRPr="00607DCB" w:rsidRDefault="00BE0F50" w:rsidP="00607DCB">
      <w:pPr>
        <w:autoSpaceDE w:val="0"/>
        <w:autoSpaceDN w:val="0"/>
        <w:adjustRightInd w:val="0"/>
        <w:spacing w:before="29" w:line="288" w:lineRule="auto"/>
        <w:jc w:val="left"/>
        <w:rPr>
          <w:color w:val="000000"/>
          <w:sz w:val="24"/>
        </w:rPr>
      </w:pPr>
      <w:r w:rsidRPr="00607DCB">
        <w:rPr>
          <w:rFonts w:hint="eastAsia"/>
          <w:color w:val="000000"/>
          <w:sz w:val="24"/>
        </w:rPr>
        <w:t>本基金合同约定：“本基金投资组合的平均剩余期限在每个交易日均不得超过</w:t>
      </w:r>
      <w:r w:rsidRPr="00607DCB">
        <w:rPr>
          <w:rFonts w:hint="eastAsia"/>
          <w:color w:val="000000"/>
          <w:sz w:val="24"/>
        </w:rPr>
        <w:t>120</w:t>
      </w:r>
      <w:r w:rsidRPr="00607DCB">
        <w:rPr>
          <w:rFonts w:hint="eastAsia"/>
          <w:color w:val="000000"/>
          <w:sz w:val="24"/>
        </w:rPr>
        <w:t>天”。本报告期内，本基金未发生超标情况。</w:t>
      </w:r>
    </w:p>
    <w:p w:rsidR="00193BCF" w:rsidRPr="006662B2" w:rsidRDefault="00193BCF" w:rsidP="00814461">
      <w:pPr>
        <w:adjustRightInd w:val="0"/>
        <w:spacing w:line="360" w:lineRule="auto"/>
        <w:rPr>
          <w:rFonts w:asciiTheme="minorEastAsia" w:eastAsiaTheme="minorEastAsia" w:hAnsiTheme="minorEastAsia"/>
          <w:sz w:val="24"/>
        </w:rPr>
      </w:pPr>
    </w:p>
    <w:p w:rsidR="00902E3F" w:rsidRPr="0035705A" w:rsidRDefault="00902E3F" w:rsidP="0035705A">
      <w:pPr>
        <w:spacing w:before="29" w:line="288" w:lineRule="auto"/>
        <w:rPr>
          <w:b/>
          <w:color w:val="000000"/>
          <w:kern w:val="0"/>
          <w:sz w:val="24"/>
        </w:rPr>
      </w:pPr>
      <w:r w:rsidRPr="0035705A">
        <w:rPr>
          <w:b/>
          <w:color w:val="000000"/>
          <w:kern w:val="0"/>
          <w:sz w:val="24"/>
        </w:rPr>
        <w:t xml:space="preserve">5.3.2 </w:t>
      </w:r>
      <w:r w:rsidRPr="0035705A">
        <w:rPr>
          <w:rFonts w:hint="eastAsia"/>
          <w:b/>
          <w:color w:val="000000"/>
          <w:kern w:val="0"/>
          <w:sz w:val="24"/>
        </w:rPr>
        <w:t>报告期末投资组合平均剩余期限分布比例</w:t>
      </w:r>
    </w:p>
    <w:tbl>
      <w:tblPr>
        <w:tblW w:w="8998" w:type="dxa"/>
        <w:tblInd w:w="108" w:type="dxa"/>
        <w:tblLayout w:type="fixed"/>
        <w:tblLook w:val="0000" w:firstRow="0" w:lastRow="0" w:firstColumn="0" w:lastColumn="0" w:noHBand="0" w:noVBand="0"/>
      </w:tblPr>
      <w:tblGrid>
        <w:gridCol w:w="841"/>
        <w:gridCol w:w="3364"/>
        <w:gridCol w:w="2445"/>
        <w:gridCol w:w="2348"/>
      </w:tblGrid>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序号</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平均剩余期限</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各期限资产占基金资产净值的比例（</w:t>
            </w:r>
            <w:r w:rsidRPr="00E61DC5">
              <w:rPr>
                <w:rFonts w:hAnsi="宋体"/>
                <w:color w:val="000000"/>
                <w:kern w:val="0"/>
                <w:sz w:val="24"/>
              </w:rPr>
              <w:t>%</w:t>
            </w:r>
            <w:r w:rsidRPr="00E61DC5">
              <w:rPr>
                <w:rFonts w:hAnsi="宋体" w:hint="eastAsia"/>
                <w:color w:val="000000"/>
                <w:kern w:val="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各期限负债占基金资产净值的比例（</w:t>
            </w:r>
            <w:r w:rsidR="00BD6918" w:rsidRPr="00E61DC5">
              <w:rPr>
                <w:rFonts w:hAnsi="宋体" w:hint="eastAsia"/>
                <w:color w:val="000000"/>
                <w:kern w:val="0"/>
                <w:sz w:val="24"/>
              </w:rPr>
              <w:t>％</w:t>
            </w:r>
            <w:r w:rsidRPr="00E61DC5">
              <w:rPr>
                <w:rFonts w:hAnsi="宋体" w:hint="eastAsia"/>
                <w:color w:val="000000"/>
                <w:kern w:val="0"/>
                <w:sz w:val="24"/>
              </w:rPr>
              <w:t>）</w:t>
            </w:r>
          </w:p>
        </w:tc>
      </w:tr>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1</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天以内</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9E215C" w:rsidRDefault="009E215C" w:rsidP="009E215C">
            <w:pPr>
              <w:autoSpaceDE w:val="0"/>
              <w:autoSpaceDN w:val="0"/>
              <w:adjustRightInd w:val="0"/>
              <w:spacing w:before="29" w:line="288" w:lineRule="auto"/>
              <w:ind w:left="15"/>
              <w:jc w:val="right"/>
              <w:rPr>
                <w:color w:val="000000"/>
                <w:sz w:val="24"/>
              </w:rPr>
            </w:pPr>
            <w:r w:rsidRPr="009E215C">
              <w:rPr>
                <w:color w:val="000000"/>
                <w:sz w:val="24"/>
              </w:rPr>
              <w:t>9.08</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13.79</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2</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天（含）</w:t>
            </w:r>
            <w:r w:rsidRPr="00937B34">
              <w:rPr>
                <w:color w:val="000000"/>
                <w:sz w:val="24"/>
              </w:rPr>
              <w:t>—60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9E215C" w:rsidP="00A63B36">
            <w:pPr>
              <w:autoSpaceDE w:val="0"/>
              <w:autoSpaceDN w:val="0"/>
              <w:adjustRightInd w:val="0"/>
              <w:spacing w:before="29" w:line="288" w:lineRule="auto"/>
              <w:ind w:left="15"/>
              <w:jc w:val="right"/>
              <w:rPr>
                <w:color w:val="000000"/>
                <w:sz w:val="24"/>
              </w:rPr>
            </w:pPr>
            <w:r w:rsidRPr="009E215C">
              <w:rPr>
                <w:color w:val="000000"/>
                <w:sz w:val="24"/>
              </w:rPr>
              <w:t>9.66</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3</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60</w:t>
            </w:r>
            <w:r w:rsidRPr="00937B34">
              <w:rPr>
                <w:color w:val="000000"/>
                <w:sz w:val="24"/>
              </w:rPr>
              <w:t>天（含）</w:t>
            </w:r>
            <w:r w:rsidRPr="00937B34">
              <w:rPr>
                <w:color w:val="000000"/>
                <w:sz w:val="24"/>
              </w:rPr>
              <w:t>—90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27.74</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4</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90</w:t>
            </w:r>
            <w:r w:rsidRPr="00937B34">
              <w:rPr>
                <w:color w:val="000000"/>
                <w:sz w:val="24"/>
              </w:rPr>
              <w:t>天（含）</w:t>
            </w:r>
            <w:r w:rsidRPr="00937B34">
              <w:rPr>
                <w:color w:val="000000"/>
                <w:sz w:val="24"/>
              </w:rPr>
              <w:t>—180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9E215C" w:rsidP="00A63B36">
            <w:pPr>
              <w:autoSpaceDE w:val="0"/>
              <w:autoSpaceDN w:val="0"/>
              <w:adjustRightInd w:val="0"/>
              <w:spacing w:before="29" w:line="288" w:lineRule="auto"/>
              <w:ind w:left="15"/>
              <w:jc w:val="right"/>
              <w:rPr>
                <w:color w:val="000000"/>
                <w:sz w:val="24"/>
              </w:rPr>
            </w:pPr>
            <w:r w:rsidRPr="009E215C">
              <w:rPr>
                <w:color w:val="000000"/>
                <w:sz w:val="24"/>
              </w:rPr>
              <w:t>40.87</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5</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180</w:t>
            </w:r>
            <w:r w:rsidRPr="00937B34">
              <w:rPr>
                <w:color w:val="000000"/>
                <w:sz w:val="24"/>
              </w:rPr>
              <w:t>天（含）</w:t>
            </w:r>
            <w:r w:rsidRPr="00937B34">
              <w:rPr>
                <w:color w:val="000000"/>
                <w:sz w:val="24"/>
              </w:rPr>
              <w:t>—397</w:t>
            </w:r>
            <w:r w:rsidRPr="00937B34">
              <w:rPr>
                <w:color w:val="000000"/>
                <w:sz w:val="24"/>
              </w:rPr>
              <w:t>天（含）</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9E215C" w:rsidP="00A63B36">
            <w:pPr>
              <w:autoSpaceDE w:val="0"/>
              <w:autoSpaceDN w:val="0"/>
              <w:adjustRightInd w:val="0"/>
              <w:spacing w:before="29" w:line="288" w:lineRule="auto"/>
              <w:ind w:left="15"/>
              <w:jc w:val="right"/>
              <w:rPr>
                <w:color w:val="000000"/>
                <w:sz w:val="24"/>
              </w:rPr>
            </w:pPr>
            <w:r w:rsidRPr="009E215C">
              <w:rPr>
                <w:color w:val="000000"/>
                <w:sz w:val="24"/>
              </w:rPr>
              <w:t>12.35</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w:t>
            </w:r>
          </w:p>
        </w:tc>
      </w:tr>
      <w:tr w:rsidR="009B0994" w:rsidRPr="006662B2" w:rsidTr="00A8129A">
        <w:tc>
          <w:tcPr>
            <w:tcW w:w="4144" w:type="dxa"/>
            <w:gridSpan w:val="2"/>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合计</w:t>
            </w:r>
            <w:bookmarkStart w:id="0" w:name="_GoBack"/>
            <w:bookmarkEnd w:id="0"/>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9E215C" w:rsidP="00A63B36">
            <w:pPr>
              <w:autoSpaceDE w:val="0"/>
              <w:autoSpaceDN w:val="0"/>
              <w:adjustRightInd w:val="0"/>
              <w:spacing w:before="29" w:line="288" w:lineRule="auto"/>
              <w:ind w:left="15"/>
              <w:jc w:val="right"/>
              <w:rPr>
                <w:color w:val="000000"/>
                <w:sz w:val="24"/>
              </w:rPr>
            </w:pPr>
            <w:r w:rsidRPr="009E215C">
              <w:rPr>
                <w:color w:val="000000"/>
                <w:sz w:val="24"/>
              </w:rPr>
              <w:t>99.70</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9E215C" w:rsidRDefault="006E05E1" w:rsidP="00A63B36">
            <w:pPr>
              <w:autoSpaceDE w:val="0"/>
              <w:autoSpaceDN w:val="0"/>
              <w:adjustRightInd w:val="0"/>
              <w:spacing w:before="29" w:line="288" w:lineRule="auto"/>
              <w:ind w:left="15"/>
              <w:jc w:val="right"/>
              <w:rPr>
                <w:color w:val="000000"/>
                <w:sz w:val="24"/>
              </w:rPr>
            </w:pPr>
            <w:r w:rsidRPr="009E215C">
              <w:rPr>
                <w:color w:val="000000"/>
                <w:sz w:val="24"/>
              </w:rPr>
              <w:t>13.79</w:t>
            </w:r>
          </w:p>
        </w:tc>
      </w:tr>
    </w:tbl>
    <w:p w:rsidR="005B15BD" w:rsidRPr="006662B2" w:rsidRDefault="005B15BD" w:rsidP="00100EC8">
      <w:pPr>
        <w:autoSpaceDE w:val="0"/>
        <w:autoSpaceDN w:val="0"/>
        <w:adjustRightInd w:val="0"/>
        <w:spacing w:line="360" w:lineRule="auto"/>
        <w:jc w:val="left"/>
        <w:rPr>
          <w:rFonts w:asciiTheme="minorEastAsia" w:eastAsiaTheme="minorEastAsia" w:hAnsiTheme="minorEastAsia"/>
          <w:color w:val="000000"/>
          <w:sz w:val="24"/>
        </w:rPr>
      </w:pPr>
    </w:p>
    <w:p w:rsidR="00902E3F" w:rsidRPr="0025252D" w:rsidRDefault="00902E3F" w:rsidP="0025252D">
      <w:pPr>
        <w:spacing w:before="29" w:line="288" w:lineRule="auto"/>
        <w:rPr>
          <w:b/>
          <w:color w:val="000000"/>
          <w:kern w:val="0"/>
          <w:sz w:val="24"/>
        </w:rPr>
      </w:pPr>
      <w:r w:rsidRPr="0025252D">
        <w:rPr>
          <w:b/>
          <w:color w:val="000000"/>
          <w:kern w:val="0"/>
          <w:sz w:val="24"/>
        </w:rPr>
        <w:t xml:space="preserve">5.4 </w:t>
      </w:r>
      <w:r w:rsidRPr="0025252D">
        <w:rPr>
          <w:rFonts w:hint="eastAsia"/>
          <w:b/>
          <w:color w:val="000000"/>
          <w:kern w:val="0"/>
          <w:sz w:val="24"/>
        </w:rPr>
        <w:t>报告期末按债券品种分类的债券投资组合</w:t>
      </w:r>
    </w:p>
    <w:tbl>
      <w:tblPr>
        <w:tblStyle w:val="a8"/>
        <w:tblW w:w="8998" w:type="dxa"/>
        <w:tblInd w:w="108" w:type="dxa"/>
        <w:tblLayout w:type="fixed"/>
        <w:tblLook w:val="04A0" w:firstRow="1" w:lastRow="0" w:firstColumn="1" w:lastColumn="0" w:noHBand="0" w:noVBand="1"/>
      </w:tblPr>
      <w:tblGrid>
        <w:gridCol w:w="1039"/>
        <w:gridCol w:w="2877"/>
        <w:gridCol w:w="3165"/>
        <w:gridCol w:w="1917"/>
      </w:tblGrid>
      <w:tr w:rsidR="009751C6" w:rsidRPr="006662B2" w:rsidTr="000C42BF">
        <w:tc>
          <w:tcPr>
            <w:tcW w:w="1039"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序号</w:t>
            </w:r>
          </w:p>
        </w:tc>
        <w:tc>
          <w:tcPr>
            <w:tcW w:w="2877"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债券品种</w:t>
            </w:r>
          </w:p>
        </w:tc>
        <w:tc>
          <w:tcPr>
            <w:tcW w:w="3165" w:type="dxa"/>
            <w:vAlign w:val="center"/>
          </w:tcPr>
          <w:p w:rsidR="009751C6" w:rsidRPr="00A5064D" w:rsidRDefault="00181585" w:rsidP="00A5064D">
            <w:pPr>
              <w:spacing w:before="29" w:line="288" w:lineRule="auto"/>
              <w:ind w:left="17"/>
              <w:jc w:val="center"/>
              <w:rPr>
                <w:rFonts w:hAnsi="宋体"/>
                <w:color w:val="000000"/>
                <w:sz w:val="24"/>
              </w:rPr>
            </w:pPr>
            <w:r w:rsidRPr="000E4C40">
              <w:rPr>
                <w:rFonts w:hAnsi="宋体"/>
                <w:sz w:val="24"/>
              </w:rPr>
              <w:t>摊余成本</w:t>
            </w:r>
            <w:r w:rsidR="009751C6" w:rsidRPr="00A5064D">
              <w:rPr>
                <w:rFonts w:hAnsi="宋体" w:hint="eastAsia"/>
                <w:color w:val="000000"/>
                <w:sz w:val="24"/>
              </w:rPr>
              <w:t>(</w:t>
            </w:r>
            <w:r w:rsidR="009751C6" w:rsidRPr="00A5064D">
              <w:rPr>
                <w:rFonts w:hAnsi="宋体" w:hint="eastAsia"/>
                <w:color w:val="000000"/>
                <w:sz w:val="24"/>
              </w:rPr>
              <w:t>元</w:t>
            </w:r>
            <w:r w:rsidR="009751C6" w:rsidRPr="00A5064D">
              <w:rPr>
                <w:rFonts w:hAnsi="宋体" w:hint="eastAsia"/>
                <w:color w:val="000000"/>
                <w:sz w:val="24"/>
              </w:rPr>
              <w:t>)</w:t>
            </w:r>
          </w:p>
        </w:tc>
        <w:tc>
          <w:tcPr>
            <w:tcW w:w="1917"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占基金资产净值比例</w:t>
            </w:r>
            <w:r w:rsidRPr="00A5064D">
              <w:rPr>
                <w:rFonts w:hAnsi="宋体" w:hint="eastAsia"/>
                <w:color w:val="000000"/>
                <w:sz w:val="24"/>
              </w:rPr>
              <w:t>(</w:t>
            </w:r>
            <w:r w:rsidRPr="00A5064D">
              <w:rPr>
                <w:rFonts w:hAnsi="宋体" w:hint="eastAsia"/>
                <w:color w:val="000000"/>
                <w:sz w:val="24"/>
              </w:rPr>
              <w:t>％</w:t>
            </w:r>
            <w:r w:rsidRPr="00A5064D">
              <w:rPr>
                <w:rFonts w:hAnsi="宋体" w:hint="eastAsia"/>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1</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国家债券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2</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央行票据</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3</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金融债券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160,087,505.15</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5.53</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其中：政策性金融债</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160,087,505.15</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5.53</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4</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5</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企业短期融资</w:t>
            </w:r>
            <w:r w:rsidR="00280B02" w:rsidRPr="0076066F">
              <w:rPr>
                <w:rFonts w:hint="eastAsia"/>
                <w:color w:val="000000"/>
                <w:sz w:val="24"/>
              </w:rPr>
              <w:t>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239,991,987.55</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8.29</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6</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中期票据</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0C42BF" w:rsidRPr="006662B2" w:rsidTr="001E0E8C">
        <w:tc>
          <w:tcPr>
            <w:tcW w:w="1039" w:type="dxa"/>
            <w:vAlign w:val="center"/>
          </w:tcPr>
          <w:p w:rsidR="000C42BF" w:rsidRPr="005D4975" w:rsidRDefault="000C42BF" w:rsidP="001E0E8C">
            <w:pPr>
              <w:spacing w:before="29" w:line="288" w:lineRule="auto"/>
              <w:ind w:left="17"/>
              <w:jc w:val="center"/>
              <w:rPr>
                <w:color w:val="000000"/>
                <w:sz w:val="24"/>
              </w:rPr>
            </w:pPr>
            <w:r w:rsidRPr="005D4975">
              <w:rPr>
                <w:rFonts w:hint="eastAsia"/>
                <w:color w:val="000000"/>
                <w:sz w:val="24"/>
              </w:rPr>
              <w:t>7</w:t>
            </w:r>
          </w:p>
        </w:tc>
        <w:tc>
          <w:tcPr>
            <w:tcW w:w="2877" w:type="dxa"/>
            <w:vAlign w:val="center"/>
          </w:tcPr>
          <w:p w:rsidR="000C42BF" w:rsidRPr="005D4975" w:rsidRDefault="000C42BF" w:rsidP="001E0E8C">
            <w:pPr>
              <w:spacing w:before="29" w:line="288" w:lineRule="auto"/>
              <w:ind w:left="17"/>
              <w:jc w:val="left"/>
              <w:rPr>
                <w:color w:val="000000"/>
                <w:sz w:val="24"/>
              </w:rPr>
            </w:pPr>
            <w:r w:rsidRPr="005D4975">
              <w:rPr>
                <w:rFonts w:hint="eastAsia"/>
                <w:color w:val="000000"/>
                <w:sz w:val="24"/>
              </w:rPr>
              <w:t>同业存单</w:t>
            </w:r>
          </w:p>
        </w:tc>
        <w:tc>
          <w:tcPr>
            <w:tcW w:w="3165" w:type="dxa"/>
            <w:vAlign w:val="center"/>
          </w:tcPr>
          <w:p w:rsidR="000C42BF" w:rsidRPr="005D4975" w:rsidRDefault="000C42BF" w:rsidP="001E0E8C">
            <w:pPr>
              <w:spacing w:before="29" w:line="288" w:lineRule="auto"/>
              <w:ind w:left="17"/>
              <w:jc w:val="right"/>
              <w:rPr>
                <w:color w:val="000000"/>
                <w:sz w:val="24"/>
              </w:rPr>
            </w:pPr>
            <w:r w:rsidRPr="005D4975">
              <w:rPr>
                <w:rFonts w:hint="eastAsia"/>
                <w:color w:val="000000"/>
                <w:sz w:val="24"/>
              </w:rPr>
              <w:t>1,188,517,181.47</w:t>
            </w:r>
          </w:p>
        </w:tc>
        <w:tc>
          <w:tcPr>
            <w:tcW w:w="1917" w:type="dxa"/>
            <w:vAlign w:val="center"/>
          </w:tcPr>
          <w:p w:rsidR="000C42BF" w:rsidRPr="005D4975" w:rsidRDefault="000C42BF" w:rsidP="001E0E8C">
            <w:pPr>
              <w:spacing w:before="29" w:line="288" w:lineRule="auto"/>
              <w:ind w:left="17"/>
              <w:jc w:val="right"/>
              <w:rPr>
                <w:color w:val="000000"/>
                <w:sz w:val="24"/>
              </w:rPr>
            </w:pPr>
            <w:r w:rsidRPr="005D4975">
              <w:rPr>
                <w:rFonts w:hint="eastAsia"/>
                <w:color w:val="000000"/>
                <w:sz w:val="24"/>
              </w:rPr>
              <w:t>41.04</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8</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其他</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9</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合计</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1,588,596,674.17</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54.85</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10</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剩余存续期超过</w:t>
            </w:r>
            <w:r w:rsidRPr="00210C5D">
              <w:rPr>
                <w:rFonts w:hint="eastAsia"/>
                <w:color w:val="000000"/>
                <w:sz w:val="24"/>
              </w:rPr>
              <w:t>397</w:t>
            </w:r>
            <w:r w:rsidRPr="00210C5D">
              <w:rPr>
                <w:rFonts w:hint="eastAsia"/>
                <w:color w:val="000000"/>
                <w:sz w:val="24"/>
              </w:rPr>
              <w:t>天的浮动利率债券</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bl>
    <w:p w:rsidR="009D74FC" w:rsidRPr="006662B2" w:rsidRDefault="009D74FC"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AD28A5" w:rsidRPr="006A4382" w:rsidRDefault="00902E3F" w:rsidP="006A4382">
      <w:pPr>
        <w:spacing w:before="29" w:line="288" w:lineRule="auto"/>
        <w:rPr>
          <w:b/>
          <w:color w:val="000000"/>
          <w:kern w:val="0"/>
          <w:sz w:val="24"/>
        </w:rPr>
      </w:pPr>
      <w:r w:rsidRPr="006A4382">
        <w:rPr>
          <w:b/>
          <w:color w:val="000000"/>
          <w:kern w:val="0"/>
          <w:sz w:val="24"/>
        </w:rPr>
        <w:t xml:space="preserve">5.5 </w:t>
      </w:r>
      <w:r w:rsidRPr="006A4382">
        <w:rPr>
          <w:rFonts w:hint="eastAsia"/>
          <w:b/>
          <w:color w:val="000000"/>
          <w:kern w:val="0"/>
          <w:sz w:val="24"/>
        </w:rPr>
        <w:t>报告期末按摊余成本占基金资产净值比例大小排</w:t>
      </w:r>
      <w:r w:rsidR="008713AD" w:rsidRPr="000E4C40">
        <w:rPr>
          <w:rFonts w:hAnsi="宋体"/>
          <w:b/>
          <w:color w:val="000000"/>
          <w:kern w:val="0"/>
          <w:sz w:val="24"/>
        </w:rPr>
        <w:t>序</w:t>
      </w:r>
      <w:r w:rsidRPr="006A4382">
        <w:rPr>
          <w:rFonts w:hint="eastAsia"/>
          <w:b/>
          <w:color w:val="000000"/>
          <w:kern w:val="0"/>
          <w:sz w:val="24"/>
        </w:rPr>
        <w:t>的前十名债券投资明细</w:t>
      </w:r>
    </w:p>
    <w:tbl>
      <w:tblPr>
        <w:tblStyle w:val="a8"/>
        <w:tblW w:w="8998" w:type="dxa"/>
        <w:tblInd w:w="108" w:type="dxa"/>
        <w:tblLook w:val="04A0" w:firstRow="1" w:lastRow="0" w:firstColumn="1" w:lastColumn="0" w:noHBand="0" w:noVBand="1"/>
      </w:tblPr>
      <w:tblGrid>
        <w:gridCol w:w="1153"/>
        <w:gridCol w:w="1456"/>
        <w:gridCol w:w="2051"/>
        <w:gridCol w:w="1412"/>
        <w:gridCol w:w="1596"/>
        <w:gridCol w:w="1330"/>
      </w:tblGrid>
      <w:tr w:rsidR="00AD28A5" w:rsidRPr="006662B2" w:rsidTr="00A8129A">
        <w:tc>
          <w:tcPr>
            <w:tcW w:w="1547"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序号</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债券代码</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债券名称</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债券数量</w:t>
            </w:r>
          </w:p>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color w:val="000000"/>
                <w:kern w:val="0"/>
                <w:sz w:val="24"/>
              </w:rPr>
              <w:t>(</w:t>
            </w:r>
            <w:r w:rsidRPr="00D840C9">
              <w:rPr>
                <w:rFonts w:hAnsi="宋体" w:hint="eastAsia"/>
                <w:color w:val="000000"/>
                <w:kern w:val="0"/>
                <w:sz w:val="24"/>
              </w:rPr>
              <w:t>张</w:t>
            </w:r>
            <w:r w:rsidRPr="00D840C9">
              <w:rPr>
                <w:rFonts w:hAnsi="宋体"/>
                <w:color w:val="000000"/>
                <w:kern w:val="0"/>
                <w:sz w:val="24"/>
              </w:rPr>
              <w:t>)</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摊余成本（元）</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占基金资产净值比例（％）</w:t>
            </w:r>
          </w:p>
        </w:tc>
      </w:tr>
      <w:tr w:rsidR="00BD618B">
        <w:tc>
          <w:tcPr>
            <w:tcW w:w="0" w:type="auto"/>
            <w:vAlign w:val="center"/>
          </w:tcPr>
          <w:p w:rsidR="00BD618B" w:rsidRDefault="00804C79">
            <w:pPr>
              <w:jc w:val="center"/>
            </w:pPr>
            <w:r>
              <w:rPr>
                <w:color w:val="000000"/>
                <w:sz w:val="24"/>
              </w:rPr>
              <w:t>1</w:t>
            </w:r>
          </w:p>
        </w:tc>
        <w:tc>
          <w:tcPr>
            <w:tcW w:w="0" w:type="auto"/>
            <w:vAlign w:val="center"/>
          </w:tcPr>
          <w:p w:rsidR="00BD618B" w:rsidRDefault="00804C79">
            <w:pPr>
              <w:jc w:val="center"/>
            </w:pPr>
            <w:r>
              <w:rPr>
                <w:color w:val="000000"/>
                <w:sz w:val="24"/>
              </w:rPr>
              <w:t>111593457</w:t>
            </w:r>
          </w:p>
        </w:tc>
        <w:tc>
          <w:tcPr>
            <w:tcW w:w="0" w:type="auto"/>
            <w:vAlign w:val="center"/>
          </w:tcPr>
          <w:p w:rsidR="00BD618B" w:rsidRDefault="00804C79">
            <w:pPr>
              <w:jc w:val="center"/>
            </w:pPr>
            <w:r>
              <w:rPr>
                <w:color w:val="000000"/>
                <w:sz w:val="24"/>
              </w:rPr>
              <w:t>15</w:t>
            </w:r>
            <w:r>
              <w:rPr>
                <w:color w:val="000000"/>
                <w:sz w:val="24"/>
              </w:rPr>
              <w:t>徽商银行</w:t>
            </w:r>
            <w:r>
              <w:rPr>
                <w:color w:val="000000"/>
                <w:sz w:val="24"/>
              </w:rPr>
              <w:t>CD145</w:t>
            </w:r>
          </w:p>
        </w:tc>
        <w:tc>
          <w:tcPr>
            <w:tcW w:w="0" w:type="auto"/>
            <w:vAlign w:val="center"/>
          </w:tcPr>
          <w:p w:rsidR="00BD618B" w:rsidRDefault="00804C79">
            <w:pPr>
              <w:jc w:val="right"/>
            </w:pPr>
            <w:r>
              <w:rPr>
                <w:color w:val="000000"/>
                <w:sz w:val="24"/>
              </w:rPr>
              <w:t>1,000,000</w:t>
            </w:r>
          </w:p>
        </w:tc>
        <w:tc>
          <w:tcPr>
            <w:tcW w:w="0" w:type="auto"/>
            <w:vAlign w:val="center"/>
          </w:tcPr>
          <w:p w:rsidR="00BD618B" w:rsidRDefault="00804C79">
            <w:pPr>
              <w:jc w:val="right"/>
            </w:pPr>
            <w:r>
              <w:rPr>
                <w:color w:val="000000"/>
                <w:sz w:val="24"/>
              </w:rPr>
              <w:t>98,439,882.49</w:t>
            </w:r>
          </w:p>
        </w:tc>
        <w:tc>
          <w:tcPr>
            <w:tcW w:w="0" w:type="auto"/>
            <w:vAlign w:val="center"/>
          </w:tcPr>
          <w:p w:rsidR="00BD618B" w:rsidRDefault="00804C79">
            <w:pPr>
              <w:jc w:val="right"/>
            </w:pPr>
            <w:r>
              <w:rPr>
                <w:color w:val="000000"/>
                <w:sz w:val="24"/>
              </w:rPr>
              <w:t>3.40</w:t>
            </w:r>
          </w:p>
        </w:tc>
      </w:tr>
      <w:tr w:rsidR="00BD618B">
        <w:tc>
          <w:tcPr>
            <w:tcW w:w="0" w:type="auto"/>
            <w:vAlign w:val="center"/>
          </w:tcPr>
          <w:p w:rsidR="00BD618B" w:rsidRDefault="00804C79">
            <w:pPr>
              <w:jc w:val="center"/>
            </w:pPr>
            <w:r>
              <w:rPr>
                <w:color w:val="000000"/>
                <w:sz w:val="24"/>
              </w:rPr>
              <w:t>2</w:t>
            </w:r>
          </w:p>
        </w:tc>
        <w:tc>
          <w:tcPr>
            <w:tcW w:w="0" w:type="auto"/>
            <w:vAlign w:val="center"/>
          </w:tcPr>
          <w:p w:rsidR="00BD618B" w:rsidRDefault="00804C79">
            <w:pPr>
              <w:jc w:val="center"/>
            </w:pPr>
            <w:r>
              <w:rPr>
                <w:color w:val="000000"/>
                <w:sz w:val="24"/>
              </w:rPr>
              <w:t>150215</w:t>
            </w:r>
          </w:p>
        </w:tc>
        <w:tc>
          <w:tcPr>
            <w:tcW w:w="0" w:type="auto"/>
            <w:vAlign w:val="center"/>
          </w:tcPr>
          <w:p w:rsidR="00BD618B" w:rsidRDefault="00804C79">
            <w:pPr>
              <w:jc w:val="center"/>
            </w:pPr>
            <w:r>
              <w:rPr>
                <w:color w:val="000000"/>
                <w:sz w:val="24"/>
              </w:rPr>
              <w:t>15</w:t>
            </w:r>
            <w:r>
              <w:rPr>
                <w:color w:val="000000"/>
                <w:sz w:val="24"/>
              </w:rPr>
              <w:t>国开</w:t>
            </w:r>
            <w:r>
              <w:rPr>
                <w:color w:val="000000"/>
                <w:sz w:val="24"/>
              </w:rPr>
              <w:t>15</w:t>
            </w:r>
          </w:p>
        </w:tc>
        <w:tc>
          <w:tcPr>
            <w:tcW w:w="0" w:type="auto"/>
            <w:vAlign w:val="center"/>
          </w:tcPr>
          <w:p w:rsidR="00BD618B" w:rsidRDefault="00804C79">
            <w:pPr>
              <w:jc w:val="right"/>
            </w:pPr>
            <w:r>
              <w:rPr>
                <w:color w:val="000000"/>
                <w:sz w:val="24"/>
              </w:rPr>
              <w:t>600,000</w:t>
            </w:r>
          </w:p>
        </w:tc>
        <w:tc>
          <w:tcPr>
            <w:tcW w:w="0" w:type="auto"/>
            <w:vAlign w:val="center"/>
          </w:tcPr>
          <w:p w:rsidR="00BD618B" w:rsidRDefault="00804C79">
            <w:pPr>
              <w:jc w:val="right"/>
            </w:pPr>
            <w:r>
              <w:rPr>
                <w:color w:val="000000"/>
                <w:sz w:val="24"/>
              </w:rPr>
              <w:t>60,042,928.67</w:t>
            </w:r>
          </w:p>
        </w:tc>
        <w:tc>
          <w:tcPr>
            <w:tcW w:w="0" w:type="auto"/>
            <w:vAlign w:val="center"/>
          </w:tcPr>
          <w:p w:rsidR="00BD618B" w:rsidRDefault="00804C79">
            <w:pPr>
              <w:jc w:val="right"/>
            </w:pPr>
            <w:r>
              <w:rPr>
                <w:color w:val="000000"/>
                <w:sz w:val="24"/>
              </w:rPr>
              <w:t>2.07</w:t>
            </w:r>
          </w:p>
        </w:tc>
      </w:tr>
      <w:tr w:rsidR="00BD618B">
        <w:tc>
          <w:tcPr>
            <w:tcW w:w="0" w:type="auto"/>
            <w:vAlign w:val="center"/>
          </w:tcPr>
          <w:p w:rsidR="00BD618B" w:rsidRDefault="00804C79">
            <w:pPr>
              <w:jc w:val="center"/>
            </w:pPr>
            <w:r>
              <w:rPr>
                <w:color w:val="000000"/>
                <w:sz w:val="24"/>
              </w:rPr>
              <w:t>3</w:t>
            </w:r>
          </w:p>
        </w:tc>
        <w:tc>
          <w:tcPr>
            <w:tcW w:w="0" w:type="auto"/>
            <w:vAlign w:val="center"/>
          </w:tcPr>
          <w:p w:rsidR="00BD618B" w:rsidRDefault="00804C79">
            <w:pPr>
              <w:jc w:val="center"/>
            </w:pPr>
            <w:r>
              <w:rPr>
                <w:color w:val="000000"/>
                <w:sz w:val="24"/>
              </w:rPr>
              <w:t>041559069</w:t>
            </w:r>
          </w:p>
        </w:tc>
        <w:tc>
          <w:tcPr>
            <w:tcW w:w="0" w:type="auto"/>
            <w:vAlign w:val="center"/>
          </w:tcPr>
          <w:p w:rsidR="00BD618B" w:rsidRDefault="00804C79">
            <w:pPr>
              <w:jc w:val="center"/>
            </w:pPr>
            <w:r>
              <w:rPr>
                <w:color w:val="000000"/>
                <w:sz w:val="24"/>
              </w:rPr>
              <w:t>15</w:t>
            </w:r>
            <w:r>
              <w:rPr>
                <w:color w:val="000000"/>
                <w:sz w:val="24"/>
              </w:rPr>
              <w:t>中材泥</w:t>
            </w:r>
            <w:r>
              <w:rPr>
                <w:color w:val="000000"/>
                <w:sz w:val="24"/>
              </w:rPr>
              <w:t>CP001</w:t>
            </w:r>
          </w:p>
        </w:tc>
        <w:tc>
          <w:tcPr>
            <w:tcW w:w="0" w:type="auto"/>
            <w:vAlign w:val="center"/>
          </w:tcPr>
          <w:p w:rsidR="00BD618B" w:rsidRDefault="00804C79">
            <w:pPr>
              <w:jc w:val="right"/>
            </w:pPr>
            <w:r>
              <w:rPr>
                <w:color w:val="000000"/>
                <w:sz w:val="24"/>
              </w:rPr>
              <w:t>500,000</w:t>
            </w:r>
          </w:p>
        </w:tc>
        <w:tc>
          <w:tcPr>
            <w:tcW w:w="0" w:type="auto"/>
            <w:vAlign w:val="center"/>
          </w:tcPr>
          <w:p w:rsidR="00BD618B" w:rsidRDefault="00804C79">
            <w:pPr>
              <w:jc w:val="right"/>
            </w:pPr>
            <w:r>
              <w:rPr>
                <w:color w:val="000000"/>
                <w:sz w:val="24"/>
              </w:rPr>
              <w:t>50,029,145.25</w:t>
            </w:r>
          </w:p>
        </w:tc>
        <w:tc>
          <w:tcPr>
            <w:tcW w:w="0" w:type="auto"/>
            <w:vAlign w:val="center"/>
          </w:tcPr>
          <w:p w:rsidR="00BD618B" w:rsidRDefault="00804C79">
            <w:pPr>
              <w:jc w:val="right"/>
            </w:pPr>
            <w:r>
              <w:rPr>
                <w:color w:val="000000"/>
                <w:sz w:val="24"/>
              </w:rPr>
              <w:t>1.73</w:t>
            </w:r>
          </w:p>
        </w:tc>
      </w:tr>
      <w:tr w:rsidR="00BD618B">
        <w:tc>
          <w:tcPr>
            <w:tcW w:w="0" w:type="auto"/>
            <w:vAlign w:val="center"/>
          </w:tcPr>
          <w:p w:rsidR="00BD618B" w:rsidRDefault="00804C79">
            <w:pPr>
              <w:jc w:val="center"/>
            </w:pPr>
            <w:r>
              <w:rPr>
                <w:color w:val="000000"/>
                <w:sz w:val="24"/>
              </w:rPr>
              <w:t>4</w:t>
            </w:r>
          </w:p>
        </w:tc>
        <w:tc>
          <w:tcPr>
            <w:tcW w:w="0" w:type="auto"/>
            <w:vAlign w:val="center"/>
          </w:tcPr>
          <w:p w:rsidR="00BD618B" w:rsidRDefault="00804C79">
            <w:pPr>
              <w:jc w:val="center"/>
            </w:pPr>
            <w:r>
              <w:rPr>
                <w:color w:val="000000"/>
                <w:sz w:val="24"/>
              </w:rPr>
              <w:t>150413</w:t>
            </w:r>
          </w:p>
        </w:tc>
        <w:tc>
          <w:tcPr>
            <w:tcW w:w="0" w:type="auto"/>
            <w:vAlign w:val="center"/>
          </w:tcPr>
          <w:p w:rsidR="00BD618B" w:rsidRDefault="00804C79">
            <w:pPr>
              <w:jc w:val="center"/>
            </w:pPr>
            <w:r>
              <w:rPr>
                <w:color w:val="000000"/>
                <w:sz w:val="24"/>
              </w:rPr>
              <w:t>15</w:t>
            </w:r>
            <w:r>
              <w:rPr>
                <w:color w:val="000000"/>
                <w:sz w:val="24"/>
              </w:rPr>
              <w:t>农发</w:t>
            </w:r>
            <w:r>
              <w:rPr>
                <w:color w:val="000000"/>
                <w:sz w:val="24"/>
              </w:rPr>
              <w:t>13</w:t>
            </w:r>
          </w:p>
        </w:tc>
        <w:tc>
          <w:tcPr>
            <w:tcW w:w="0" w:type="auto"/>
            <w:vAlign w:val="center"/>
          </w:tcPr>
          <w:p w:rsidR="00BD618B" w:rsidRDefault="00804C79">
            <w:pPr>
              <w:jc w:val="right"/>
            </w:pPr>
            <w:r>
              <w:rPr>
                <w:color w:val="000000"/>
                <w:sz w:val="24"/>
              </w:rPr>
              <w:t>500,000</w:t>
            </w:r>
          </w:p>
        </w:tc>
        <w:tc>
          <w:tcPr>
            <w:tcW w:w="0" w:type="auto"/>
            <w:vAlign w:val="center"/>
          </w:tcPr>
          <w:p w:rsidR="00BD618B" w:rsidRDefault="00804C79">
            <w:pPr>
              <w:jc w:val="right"/>
            </w:pPr>
            <w:r>
              <w:rPr>
                <w:color w:val="000000"/>
                <w:sz w:val="24"/>
              </w:rPr>
              <w:t>49,994,570.88</w:t>
            </w:r>
          </w:p>
        </w:tc>
        <w:tc>
          <w:tcPr>
            <w:tcW w:w="0" w:type="auto"/>
            <w:vAlign w:val="center"/>
          </w:tcPr>
          <w:p w:rsidR="00BD618B" w:rsidRDefault="00804C79">
            <w:pPr>
              <w:jc w:val="right"/>
            </w:pPr>
            <w:r>
              <w:rPr>
                <w:color w:val="000000"/>
                <w:sz w:val="24"/>
              </w:rPr>
              <w:t>1.73</w:t>
            </w:r>
          </w:p>
        </w:tc>
      </w:tr>
      <w:tr w:rsidR="00BD618B">
        <w:tc>
          <w:tcPr>
            <w:tcW w:w="0" w:type="auto"/>
            <w:vAlign w:val="center"/>
          </w:tcPr>
          <w:p w:rsidR="00BD618B" w:rsidRDefault="00804C79">
            <w:pPr>
              <w:jc w:val="center"/>
            </w:pPr>
            <w:r>
              <w:rPr>
                <w:color w:val="000000"/>
                <w:sz w:val="24"/>
              </w:rPr>
              <w:t>5</w:t>
            </w:r>
          </w:p>
        </w:tc>
        <w:tc>
          <w:tcPr>
            <w:tcW w:w="0" w:type="auto"/>
            <w:vAlign w:val="center"/>
          </w:tcPr>
          <w:p w:rsidR="00BD618B" w:rsidRDefault="00804C79">
            <w:pPr>
              <w:jc w:val="center"/>
            </w:pPr>
            <w:r>
              <w:rPr>
                <w:color w:val="000000"/>
                <w:sz w:val="24"/>
              </w:rPr>
              <w:t>041568009</w:t>
            </w:r>
          </w:p>
        </w:tc>
        <w:tc>
          <w:tcPr>
            <w:tcW w:w="0" w:type="auto"/>
            <w:vAlign w:val="center"/>
          </w:tcPr>
          <w:p w:rsidR="00BD618B" w:rsidRDefault="00804C79">
            <w:pPr>
              <w:jc w:val="center"/>
            </w:pPr>
            <w:r>
              <w:rPr>
                <w:color w:val="000000"/>
                <w:sz w:val="24"/>
              </w:rPr>
              <w:t>15</w:t>
            </w:r>
            <w:r>
              <w:rPr>
                <w:color w:val="000000"/>
                <w:sz w:val="24"/>
              </w:rPr>
              <w:t>双桥经开</w:t>
            </w:r>
            <w:r>
              <w:rPr>
                <w:color w:val="000000"/>
                <w:sz w:val="24"/>
              </w:rPr>
              <w:t>CP001</w:t>
            </w:r>
          </w:p>
        </w:tc>
        <w:tc>
          <w:tcPr>
            <w:tcW w:w="0" w:type="auto"/>
            <w:vAlign w:val="center"/>
          </w:tcPr>
          <w:p w:rsidR="00BD618B" w:rsidRDefault="00804C79">
            <w:pPr>
              <w:jc w:val="right"/>
            </w:pPr>
            <w:r>
              <w:rPr>
                <w:color w:val="000000"/>
                <w:sz w:val="24"/>
              </w:rPr>
              <w:t>500,000</w:t>
            </w:r>
          </w:p>
        </w:tc>
        <w:tc>
          <w:tcPr>
            <w:tcW w:w="0" w:type="auto"/>
            <w:vAlign w:val="center"/>
          </w:tcPr>
          <w:p w:rsidR="00BD618B" w:rsidRDefault="00804C79">
            <w:pPr>
              <w:jc w:val="right"/>
            </w:pPr>
            <w:r>
              <w:rPr>
                <w:color w:val="000000"/>
                <w:sz w:val="24"/>
              </w:rPr>
              <w:t>49,982,017.74</w:t>
            </w:r>
          </w:p>
        </w:tc>
        <w:tc>
          <w:tcPr>
            <w:tcW w:w="0" w:type="auto"/>
            <w:vAlign w:val="center"/>
          </w:tcPr>
          <w:p w:rsidR="00BD618B" w:rsidRDefault="00804C79">
            <w:pPr>
              <w:jc w:val="right"/>
            </w:pPr>
            <w:r>
              <w:rPr>
                <w:color w:val="000000"/>
                <w:sz w:val="24"/>
              </w:rPr>
              <w:t>1.73</w:t>
            </w:r>
          </w:p>
        </w:tc>
      </w:tr>
      <w:tr w:rsidR="00BD618B">
        <w:tc>
          <w:tcPr>
            <w:tcW w:w="0" w:type="auto"/>
            <w:vAlign w:val="center"/>
          </w:tcPr>
          <w:p w:rsidR="00BD618B" w:rsidRDefault="00804C79">
            <w:pPr>
              <w:jc w:val="center"/>
            </w:pPr>
            <w:r>
              <w:rPr>
                <w:color w:val="000000"/>
                <w:sz w:val="24"/>
              </w:rPr>
              <w:t>6</w:t>
            </w:r>
          </w:p>
        </w:tc>
        <w:tc>
          <w:tcPr>
            <w:tcW w:w="0" w:type="auto"/>
            <w:vAlign w:val="center"/>
          </w:tcPr>
          <w:p w:rsidR="00BD618B" w:rsidRDefault="00804C79">
            <w:pPr>
              <w:jc w:val="center"/>
            </w:pPr>
            <w:r>
              <w:rPr>
                <w:color w:val="000000"/>
                <w:sz w:val="24"/>
              </w:rPr>
              <w:t>041673001</w:t>
            </w:r>
          </w:p>
        </w:tc>
        <w:tc>
          <w:tcPr>
            <w:tcW w:w="0" w:type="auto"/>
            <w:vAlign w:val="center"/>
          </w:tcPr>
          <w:p w:rsidR="00BD618B" w:rsidRDefault="00804C79">
            <w:pPr>
              <w:jc w:val="center"/>
            </w:pPr>
            <w:r>
              <w:rPr>
                <w:color w:val="000000"/>
                <w:sz w:val="24"/>
              </w:rPr>
              <w:t>16</w:t>
            </w:r>
            <w:r>
              <w:rPr>
                <w:color w:val="000000"/>
                <w:sz w:val="24"/>
              </w:rPr>
              <w:t>生态城投</w:t>
            </w:r>
            <w:r>
              <w:rPr>
                <w:color w:val="000000"/>
                <w:sz w:val="24"/>
              </w:rPr>
              <w:t>CP001</w:t>
            </w:r>
          </w:p>
        </w:tc>
        <w:tc>
          <w:tcPr>
            <w:tcW w:w="0" w:type="auto"/>
            <w:vAlign w:val="center"/>
          </w:tcPr>
          <w:p w:rsidR="00BD618B" w:rsidRDefault="00804C79">
            <w:pPr>
              <w:jc w:val="right"/>
            </w:pPr>
            <w:r>
              <w:rPr>
                <w:color w:val="000000"/>
                <w:sz w:val="24"/>
              </w:rPr>
              <w:t>500,000</w:t>
            </w:r>
          </w:p>
        </w:tc>
        <w:tc>
          <w:tcPr>
            <w:tcW w:w="0" w:type="auto"/>
            <w:vAlign w:val="center"/>
          </w:tcPr>
          <w:p w:rsidR="00BD618B" w:rsidRDefault="00804C79">
            <w:pPr>
              <w:jc w:val="right"/>
            </w:pPr>
            <w:r>
              <w:rPr>
                <w:color w:val="000000"/>
                <w:sz w:val="24"/>
              </w:rPr>
              <w:t>49,981,619.92</w:t>
            </w:r>
          </w:p>
        </w:tc>
        <w:tc>
          <w:tcPr>
            <w:tcW w:w="0" w:type="auto"/>
            <w:vAlign w:val="center"/>
          </w:tcPr>
          <w:p w:rsidR="00BD618B" w:rsidRDefault="00804C79">
            <w:pPr>
              <w:jc w:val="right"/>
            </w:pPr>
            <w:r>
              <w:rPr>
                <w:color w:val="000000"/>
                <w:sz w:val="24"/>
              </w:rPr>
              <w:t>1.73</w:t>
            </w:r>
          </w:p>
        </w:tc>
      </w:tr>
      <w:tr w:rsidR="00BD618B">
        <w:tc>
          <w:tcPr>
            <w:tcW w:w="0" w:type="auto"/>
            <w:vAlign w:val="center"/>
          </w:tcPr>
          <w:p w:rsidR="00BD618B" w:rsidRDefault="00804C79">
            <w:pPr>
              <w:jc w:val="center"/>
            </w:pPr>
            <w:r>
              <w:rPr>
                <w:color w:val="000000"/>
                <w:sz w:val="24"/>
              </w:rPr>
              <w:t>7</w:t>
            </w:r>
          </w:p>
        </w:tc>
        <w:tc>
          <w:tcPr>
            <w:tcW w:w="0" w:type="auto"/>
            <w:vAlign w:val="center"/>
          </w:tcPr>
          <w:p w:rsidR="00BD618B" w:rsidRDefault="00804C79">
            <w:pPr>
              <w:jc w:val="center"/>
            </w:pPr>
            <w:r>
              <w:rPr>
                <w:color w:val="000000"/>
                <w:sz w:val="24"/>
              </w:rPr>
              <w:t>111592182</w:t>
            </w:r>
          </w:p>
        </w:tc>
        <w:tc>
          <w:tcPr>
            <w:tcW w:w="0" w:type="auto"/>
            <w:vAlign w:val="center"/>
          </w:tcPr>
          <w:p w:rsidR="00BD618B" w:rsidRDefault="00804C79">
            <w:pPr>
              <w:jc w:val="center"/>
            </w:pPr>
            <w:r>
              <w:rPr>
                <w:color w:val="000000"/>
                <w:sz w:val="24"/>
              </w:rPr>
              <w:t>15</w:t>
            </w:r>
            <w:r>
              <w:rPr>
                <w:color w:val="000000"/>
                <w:sz w:val="24"/>
              </w:rPr>
              <w:t>吉林银行</w:t>
            </w:r>
            <w:r>
              <w:rPr>
                <w:color w:val="000000"/>
                <w:sz w:val="24"/>
              </w:rPr>
              <w:t>CD021</w:t>
            </w:r>
          </w:p>
        </w:tc>
        <w:tc>
          <w:tcPr>
            <w:tcW w:w="0" w:type="auto"/>
            <w:vAlign w:val="center"/>
          </w:tcPr>
          <w:p w:rsidR="00BD618B" w:rsidRDefault="00804C79">
            <w:pPr>
              <w:jc w:val="right"/>
            </w:pPr>
            <w:r>
              <w:rPr>
                <w:color w:val="000000"/>
                <w:sz w:val="24"/>
              </w:rPr>
              <w:t>500,000</w:t>
            </w:r>
          </w:p>
        </w:tc>
        <w:tc>
          <w:tcPr>
            <w:tcW w:w="0" w:type="auto"/>
            <w:vAlign w:val="center"/>
          </w:tcPr>
          <w:p w:rsidR="00BD618B" w:rsidRDefault="00804C79">
            <w:pPr>
              <w:jc w:val="right"/>
            </w:pPr>
            <w:r>
              <w:rPr>
                <w:color w:val="000000"/>
                <w:sz w:val="24"/>
              </w:rPr>
              <w:t>49,876,910.18</w:t>
            </w:r>
          </w:p>
        </w:tc>
        <w:tc>
          <w:tcPr>
            <w:tcW w:w="0" w:type="auto"/>
            <w:vAlign w:val="center"/>
          </w:tcPr>
          <w:p w:rsidR="00BD618B" w:rsidRDefault="00804C79">
            <w:pPr>
              <w:jc w:val="right"/>
            </w:pPr>
            <w:r>
              <w:rPr>
                <w:color w:val="000000"/>
                <w:sz w:val="24"/>
              </w:rPr>
              <w:t>1.72</w:t>
            </w:r>
          </w:p>
        </w:tc>
      </w:tr>
      <w:tr w:rsidR="00BD618B">
        <w:tc>
          <w:tcPr>
            <w:tcW w:w="0" w:type="auto"/>
            <w:vAlign w:val="center"/>
          </w:tcPr>
          <w:p w:rsidR="00BD618B" w:rsidRDefault="00804C79">
            <w:pPr>
              <w:jc w:val="center"/>
            </w:pPr>
            <w:r>
              <w:rPr>
                <w:color w:val="000000"/>
                <w:sz w:val="24"/>
              </w:rPr>
              <w:t>8</w:t>
            </w:r>
          </w:p>
        </w:tc>
        <w:tc>
          <w:tcPr>
            <w:tcW w:w="0" w:type="auto"/>
            <w:vAlign w:val="center"/>
          </w:tcPr>
          <w:p w:rsidR="00BD618B" w:rsidRDefault="00804C79">
            <w:pPr>
              <w:jc w:val="center"/>
            </w:pPr>
            <w:r>
              <w:rPr>
                <w:color w:val="000000"/>
                <w:sz w:val="24"/>
              </w:rPr>
              <w:t>111690861</w:t>
            </w:r>
          </w:p>
        </w:tc>
        <w:tc>
          <w:tcPr>
            <w:tcW w:w="0" w:type="auto"/>
            <w:vAlign w:val="center"/>
          </w:tcPr>
          <w:p w:rsidR="00BD618B" w:rsidRDefault="00804C79">
            <w:pPr>
              <w:jc w:val="center"/>
            </w:pPr>
            <w:r>
              <w:rPr>
                <w:color w:val="000000"/>
                <w:sz w:val="24"/>
              </w:rPr>
              <w:t>16</w:t>
            </w:r>
            <w:r>
              <w:rPr>
                <w:color w:val="000000"/>
                <w:sz w:val="24"/>
              </w:rPr>
              <w:t>鄞州银行</w:t>
            </w:r>
            <w:r>
              <w:rPr>
                <w:color w:val="000000"/>
                <w:sz w:val="24"/>
              </w:rPr>
              <w:t>CD003</w:t>
            </w:r>
          </w:p>
        </w:tc>
        <w:tc>
          <w:tcPr>
            <w:tcW w:w="0" w:type="auto"/>
            <w:vAlign w:val="center"/>
          </w:tcPr>
          <w:p w:rsidR="00BD618B" w:rsidRDefault="00804C79">
            <w:pPr>
              <w:jc w:val="right"/>
            </w:pPr>
            <w:r>
              <w:rPr>
                <w:color w:val="000000"/>
                <w:sz w:val="24"/>
              </w:rPr>
              <w:t>500,000</w:t>
            </w:r>
          </w:p>
        </w:tc>
        <w:tc>
          <w:tcPr>
            <w:tcW w:w="0" w:type="auto"/>
            <w:vAlign w:val="center"/>
          </w:tcPr>
          <w:p w:rsidR="00BD618B" w:rsidRDefault="00804C79">
            <w:pPr>
              <w:jc w:val="right"/>
            </w:pPr>
            <w:r>
              <w:rPr>
                <w:color w:val="000000"/>
                <w:sz w:val="24"/>
              </w:rPr>
              <w:t>49,787,626.10</w:t>
            </w:r>
          </w:p>
        </w:tc>
        <w:tc>
          <w:tcPr>
            <w:tcW w:w="0" w:type="auto"/>
            <w:vAlign w:val="center"/>
          </w:tcPr>
          <w:p w:rsidR="00BD618B" w:rsidRDefault="00804C79">
            <w:pPr>
              <w:jc w:val="right"/>
            </w:pPr>
            <w:r>
              <w:rPr>
                <w:color w:val="000000"/>
                <w:sz w:val="24"/>
              </w:rPr>
              <w:t>1.72</w:t>
            </w:r>
          </w:p>
        </w:tc>
      </w:tr>
      <w:tr w:rsidR="00BD618B">
        <w:tc>
          <w:tcPr>
            <w:tcW w:w="0" w:type="auto"/>
            <w:vAlign w:val="center"/>
          </w:tcPr>
          <w:p w:rsidR="00BD618B" w:rsidRDefault="00804C79">
            <w:pPr>
              <w:jc w:val="center"/>
            </w:pPr>
            <w:r>
              <w:rPr>
                <w:color w:val="000000"/>
                <w:sz w:val="24"/>
              </w:rPr>
              <w:t>9</w:t>
            </w:r>
          </w:p>
        </w:tc>
        <w:tc>
          <w:tcPr>
            <w:tcW w:w="0" w:type="auto"/>
            <w:vAlign w:val="center"/>
          </w:tcPr>
          <w:p w:rsidR="00BD618B" w:rsidRDefault="00804C79">
            <w:pPr>
              <w:jc w:val="center"/>
            </w:pPr>
            <w:r>
              <w:rPr>
                <w:color w:val="000000"/>
                <w:sz w:val="24"/>
              </w:rPr>
              <w:t>111691269</w:t>
            </w:r>
          </w:p>
        </w:tc>
        <w:tc>
          <w:tcPr>
            <w:tcW w:w="0" w:type="auto"/>
            <w:vAlign w:val="center"/>
          </w:tcPr>
          <w:p w:rsidR="00BD618B" w:rsidRDefault="00804C79">
            <w:pPr>
              <w:jc w:val="center"/>
            </w:pPr>
            <w:r>
              <w:rPr>
                <w:color w:val="000000"/>
                <w:sz w:val="24"/>
              </w:rPr>
              <w:t>16</w:t>
            </w:r>
            <w:r>
              <w:rPr>
                <w:color w:val="000000"/>
                <w:sz w:val="24"/>
              </w:rPr>
              <w:t>浙江泰隆商行</w:t>
            </w:r>
            <w:r>
              <w:rPr>
                <w:color w:val="000000"/>
                <w:sz w:val="24"/>
              </w:rPr>
              <w:t>CD012</w:t>
            </w:r>
          </w:p>
        </w:tc>
        <w:tc>
          <w:tcPr>
            <w:tcW w:w="0" w:type="auto"/>
            <w:vAlign w:val="center"/>
          </w:tcPr>
          <w:p w:rsidR="00BD618B" w:rsidRDefault="00804C79">
            <w:pPr>
              <w:jc w:val="right"/>
            </w:pPr>
            <w:r>
              <w:rPr>
                <w:color w:val="000000"/>
                <w:sz w:val="24"/>
              </w:rPr>
              <w:t>500,000</w:t>
            </w:r>
          </w:p>
        </w:tc>
        <w:tc>
          <w:tcPr>
            <w:tcW w:w="0" w:type="auto"/>
            <w:vAlign w:val="center"/>
          </w:tcPr>
          <w:p w:rsidR="00BD618B" w:rsidRDefault="00804C79">
            <w:pPr>
              <w:jc w:val="right"/>
            </w:pPr>
            <w:r>
              <w:rPr>
                <w:color w:val="000000"/>
                <w:sz w:val="24"/>
              </w:rPr>
              <w:t>49,735,489.19</w:t>
            </w:r>
          </w:p>
        </w:tc>
        <w:tc>
          <w:tcPr>
            <w:tcW w:w="0" w:type="auto"/>
            <w:vAlign w:val="center"/>
          </w:tcPr>
          <w:p w:rsidR="00BD618B" w:rsidRDefault="00804C79">
            <w:pPr>
              <w:jc w:val="right"/>
            </w:pPr>
            <w:r>
              <w:rPr>
                <w:color w:val="000000"/>
                <w:sz w:val="24"/>
              </w:rPr>
              <w:t>1.72</w:t>
            </w:r>
          </w:p>
        </w:tc>
      </w:tr>
      <w:tr w:rsidR="00BD618B">
        <w:tc>
          <w:tcPr>
            <w:tcW w:w="0" w:type="auto"/>
            <w:vAlign w:val="center"/>
          </w:tcPr>
          <w:p w:rsidR="00BD618B" w:rsidRDefault="00804C79">
            <w:pPr>
              <w:jc w:val="center"/>
            </w:pPr>
            <w:r>
              <w:rPr>
                <w:color w:val="000000"/>
                <w:sz w:val="24"/>
              </w:rPr>
              <w:t>10</w:t>
            </w:r>
          </w:p>
        </w:tc>
        <w:tc>
          <w:tcPr>
            <w:tcW w:w="0" w:type="auto"/>
            <w:vAlign w:val="center"/>
          </w:tcPr>
          <w:p w:rsidR="00BD618B" w:rsidRDefault="00804C79">
            <w:pPr>
              <w:jc w:val="center"/>
            </w:pPr>
            <w:r>
              <w:rPr>
                <w:color w:val="000000"/>
                <w:sz w:val="24"/>
              </w:rPr>
              <w:t>111691339</w:t>
            </w:r>
          </w:p>
        </w:tc>
        <w:tc>
          <w:tcPr>
            <w:tcW w:w="0" w:type="auto"/>
            <w:vAlign w:val="center"/>
          </w:tcPr>
          <w:p w:rsidR="00BD618B" w:rsidRDefault="00804C79">
            <w:pPr>
              <w:jc w:val="center"/>
            </w:pPr>
            <w:r>
              <w:rPr>
                <w:color w:val="000000"/>
                <w:sz w:val="24"/>
              </w:rPr>
              <w:t>16</w:t>
            </w:r>
            <w:r>
              <w:rPr>
                <w:color w:val="000000"/>
                <w:sz w:val="24"/>
              </w:rPr>
              <w:t>青岛农商行</w:t>
            </w:r>
            <w:r>
              <w:rPr>
                <w:color w:val="000000"/>
                <w:sz w:val="24"/>
              </w:rPr>
              <w:t>CD012</w:t>
            </w:r>
          </w:p>
        </w:tc>
        <w:tc>
          <w:tcPr>
            <w:tcW w:w="0" w:type="auto"/>
            <w:vAlign w:val="center"/>
          </w:tcPr>
          <w:p w:rsidR="00BD618B" w:rsidRDefault="00804C79">
            <w:pPr>
              <w:jc w:val="right"/>
            </w:pPr>
            <w:r>
              <w:rPr>
                <w:color w:val="000000"/>
                <w:sz w:val="24"/>
              </w:rPr>
              <w:t>500,000</w:t>
            </w:r>
          </w:p>
        </w:tc>
        <w:tc>
          <w:tcPr>
            <w:tcW w:w="0" w:type="auto"/>
            <w:vAlign w:val="center"/>
          </w:tcPr>
          <w:p w:rsidR="00BD618B" w:rsidRDefault="00804C79">
            <w:pPr>
              <w:jc w:val="right"/>
            </w:pPr>
            <w:r>
              <w:rPr>
                <w:color w:val="000000"/>
                <w:sz w:val="24"/>
              </w:rPr>
              <w:t>49,718,786.07</w:t>
            </w:r>
          </w:p>
        </w:tc>
        <w:tc>
          <w:tcPr>
            <w:tcW w:w="0" w:type="auto"/>
            <w:vAlign w:val="center"/>
          </w:tcPr>
          <w:p w:rsidR="00BD618B" w:rsidRDefault="00804C79">
            <w:pPr>
              <w:jc w:val="right"/>
            </w:pPr>
            <w:r>
              <w:rPr>
                <w:color w:val="000000"/>
                <w:sz w:val="24"/>
              </w:rPr>
              <w:t>1.72</w:t>
            </w:r>
          </w:p>
        </w:tc>
      </w:tr>
    </w:tbl>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FF17D9" w:rsidRDefault="00D51E96" w:rsidP="00FF17D9">
      <w:pPr>
        <w:spacing w:before="29" w:line="288" w:lineRule="auto"/>
        <w:rPr>
          <w:b/>
          <w:color w:val="000000"/>
          <w:kern w:val="0"/>
          <w:sz w:val="24"/>
        </w:rPr>
      </w:pPr>
      <w:r w:rsidRPr="00FF17D9">
        <w:rPr>
          <w:b/>
          <w:color w:val="000000"/>
          <w:kern w:val="0"/>
          <w:sz w:val="24"/>
        </w:rPr>
        <w:t>5.6</w:t>
      </w:r>
      <w:r w:rsidR="00902E3F" w:rsidRPr="00FF17D9">
        <w:rPr>
          <w:rFonts w:hint="eastAsia"/>
          <w:b/>
          <w:color w:val="000000"/>
          <w:kern w:val="0"/>
          <w:sz w:val="24"/>
        </w:rPr>
        <w:t>“影子定价”与“摊余成本法”确定的基金资产净值的偏离</w:t>
      </w:r>
    </w:p>
    <w:tbl>
      <w:tblPr>
        <w:tblW w:w="8998" w:type="dxa"/>
        <w:tblInd w:w="108" w:type="dxa"/>
        <w:tblLayout w:type="fixed"/>
        <w:tblLook w:val="0000" w:firstRow="0" w:lastRow="0" w:firstColumn="0" w:lastColumn="0" w:noHBand="0" w:noVBand="0"/>
      </w:tblPr>
      <w:tblGrid>
        <w:gridCol w:w="5643"/>
        <w:gridCol w:w="3355"/>
      </w:tblGrid>
      <w:tr w:rsidR="00902E3F"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项目</w:t>
            </w:r>
          </w:p>
        </w:tc>
        <w:tc>
          <w:tcPr>
            <w:tcW w:w="3307"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偏离情况</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报告期内偏离度的绝对值在</w:t>
            </w:r>
            <w:r w:rsidRPr="00EC0CB3">
              <w:rPr>
                <w:rFonts w:hAnsi="宋体"/>
                <w:color w:val="000000"/>
                <w:kern w:val="0"/>
                <w:sz w:val="24"/>
              </w:rPr>
              <w:t>0.25(</w:t>
            </w:r>
            <w:r w:rsidRPr="00EC0CB3">
              <w:rPr>
                <w:rFonts w:hAnsi="宋体" w:hint="eastAsia"/>
                <w:color w:val="000000"/>
                <w:kern w:val="0"/>
                <w:sz w:val="24"/>
              </w:rPr>
              <w:t>含</w:t>
            </w:r>
            <w:r w:rsidRPr="00EC0CB3">
              <w:rPr>
                <w:rFonts w:hAnsi="宋体"/>
                <w:color w:val="000000"/>
                <w:kern w:val="0"/>
                <w:sz w:val="24"/>
              </w:rPr>
              <w:t>)-0.5%</w:t>
            </w:r>
            <w:r w:rsidRPr="00EC0CB3">
              <w:rPr>
                <w:rFonts w:hAnsi="宋体" w:hint="eastAsia"/>
                <w:color w:val="000000"/>
                <w:kern w:val="0"/>
                <w:sz w:val="24"/>
              </w:rPr>
              <w:t>间的次数</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w:t>
            </w:r>
            <w:r w:rsidR="006D56D3" w:rsidRPr="009B0DD7">
              <w:rPr>
                <w:rFonts w:hint="eastAsia"/>
                <w:color w:val="000000"/>
                <w:sz w:val="24"/>
              </w:rPr>
              <w:t>次</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报告期内偏离度的最高值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0.0940%</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报告期内偏离度的最低值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0.0326%</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报告期内每个</w:t>
            </w:r>
            <w:r w:rsidR="0045641F" w:rsidRPr="000E4C40">
              <w:rPr>
                <w:rFonts w:hAnsi="宋体"/>
                <w:color w:val="000000"/>
                <w:kern w:val="0"/>
                <w:sz w:val="24"/>
              </w:rPr>
              <w:t>交易日</w:t>
            </w:r>
            <w:r w:rsidRPr="00EC0CB3">
              <w:rPr>
                <w:rFonts w:hAnsi="宋体" w:hint="eastAsia"/>
                <w:color w:val="000000"/>
                <w:kern w:val="0"/>
                <w:sz w:val="24"/>
              </w:rPr>
              <w:t>偏离度的绝对值的简单平均值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0.0576%</w:t>
            </w:r>
          </w:p>
        </w:tc>
      </w:tr>
    </w:tbl>
    <w:p w:rsidR="00AC4576" w:rsidRPr="00AC4576" w:rsidRDefault="00AC4576" w:rsidP="00AC4576">
      <w:pPr>
        <w:autoSpaceDE w:val="0"/>
        <w:autoSpaceDN w:val="0"/>
        <w:adjustRightInd w:val="0"/>
        <w:spacing w:before="29" w:line="288" w:lineRule="auto"/>
        <w:jc w:val="left"/>
        <w:rPr>
          <w:color w:val="000000"/>
          <w:sz w:val="24"/>
        </w:rPr>
      </w:pPr>
    </w:p>
    <w:p w:rsidR="004677E5" w:rsidRPr="009449E3" w:rsidRDefault="00902E3F" w:rsidP="009449E3">
      <w:pPr>
        <w:spacing w:before="29" w:line="288" w:lineRule="auto"/>
        <w:rPr>
          <w:b/>
          <w:color w:val="000000"/>
          <w:kern w:val="0"/>
          <w:sz w:val="24"/>
        </w:rPr>
      </w:pPr>
      <w:r w:rsidRPr="009449E3">
        <w:rPr>
          <w:b/>
          <w:color w:val="000000"/>
          <w:kern w:val="0"/>
          <w:sz w:val="24"/>
        </w:rPr>
        <w:t>5.7</w:t>
      </w:r>
      <w:r w:rsidRPr="009449E3">
        <w:rPr>
          <w:rFonts w:hint="eastAsia"/>
          <w:b/>
          <w:color w:val="000000"/>
          <w:kern w:val="0"/>
          <w:sz w:val="24"/>
        </w:rPr>
        <w:t>报告期末按公允价值占基金资产净值比例大小排</w:t>
      </w:r>
      <w:r w:rsidR="001E15D3">
        <w:rPr>
          <w:rFonts w:hint="eastAsia"/>
          <w:b/>
          <w:color w:val="000000"/>
          <w:kern w:val="0"/>
          <w:sz w:val="24"/>
        </w:rPr>
        <w:t>序</w:t>
      </w:r>
      <w:r w:rsidRPr="009449E3">
        <w:rPr>
          <w:rFonts w:hint="eastAsia"/>
          <w:b/>
          <w:color w:val="000000"/>
          <w:kern w:val="0"/>
          <w:sz w:val="24"/>
        </w:rPr>
        <w:t>的前十名资产支持证券投资明细</w:t>
      </w:r>
    </w:p>
    <w:p w:rsidR="00EB3346" w:rsidRPr="007E4113" w:rsidRDefault="00EB3346" w:rsidP="007E4113">
      <w:pPr>
        <w:autoSpaceDE w:val="0"/>
        <w:autoSpaceDN w:val="0"/>
        <w:adjustRightInd w:val="0"/>
        <w:spacing w:before="29" w:line="288" w:lineRule="auto"/>
        <w:jc w:val="left"/>
        <w:rPr>
          <w:color w:val="000000"/>
          <w:sz w:val="24"/>
        </w:rPr>
      </w:pPr>
      <w:r w:rsidRPr="007E4113">
        <w:rPr>
          <w:color w:val="000000"/>
          <w:sz w:val="24"/>
        </w:rPr>
        <w:t>本基金本报告期末未持有资产支持证券。</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F4D02" w:rsidRDefault="0028250D" w:rsidP="000F4D02">
      <w:pPr>
        <w:spacing w:before="29" w:line="288" w:lineRule="auto"/>
        <w:rPr>
          <w:b/>
          <w:color w:val="000000"/>
          <w:kern w:val="0"/>
          <w:sz w:val="24"/>
        </w:rPr>
      </w:pPr>
      <w:r w:rsidRPr="000F4D02">
        <w:rPr>
          <w:rFonts w:hint="eastAsia"/>
          <w:b/>
          <w:color w:val="000000"/>
          <w:kern w:val="0"/>
          <w:sz w:val="24"/>
        </w:rPr>
        <w:t>5</w:t>
      </w:r>
      <w:r w:rsidR="00902E3F" w:rsidRPr="000F4D02">
        <w:rPr>
          <w:b/>
          <w:color w:val="000000"/>
          <w:kern w:val="0"/>
          <w:sz w:val="24"/>
        </w:rPr>
        <w:t>.</w:t>
      </w:r>
      <w:r w:rsidRPr="000F4D02">
        <w:rPr>
          <w:rFonts w:hint="eastAsia"/>
          <w:b/>
          <w:color w:val="000000"/>
          <w:kern w:val="0"/>
          <w:sz w:val="24"/>
        </w:rPr>
        <w:t>8</w:t>
      </w:r>
      <w:r w:rsidR="00902E3F" w:rsidRPr="000F4D02">
        <w:rPr>
          <w:b/>
          <w:color w:val="000000"/>
          <w:kern w:val="0"/>
          <w:sz w:val="24"/>
        </w:rPr>
        <w:t xml:space="preserve"> </w:t>
      </w:r>
      <w:r w:rsidR="00902E3F" w:rsidRPr="000F4D02">
        <w:rPr>
          <w:rFonts w:hint="eastAsia"/>
          <w:b/>
          <w:color w:val="000000"/>
          <w:kern w:val="0"/>
          <w:sz w:val="24"/>
        </w:rPr>
        <w:t>投资组合报告附注</w:t>
      </w:r>
    </w:p>
    <w:p w:rsidR="009D74FC" w:rsidRPr="000F4D02" w:rsidRDefault="0028250D" w:rsidP="000F4D02">
      <w:pPr>
        <w:spacing w:before="29" w:line="288" w:lineRule="auto"/>
        <w:rPr>
          <w:sz w:val="24"/>
        </w:rPr>
      </w:pPr>
      <w:r w:rsidRPr="000F4D02">
        <w:rPr>
          <w:rFonts w:hint="eastAsia"/>
          <w:sz w:val="24"/>
        </w:rPr>
        <w:t>5</w:t>
      </w:r>
      <w:r w:rsidR="00902E3F" w:rsidRPr="000F4D02">
        <w:rPr>
          <w:sz w:val="24"/>
        </w:rPr>
        <w:t>.</w:t>
      </w:r>
      <w:r w:rsidRPr="000F4D02">
        <w:rPr>
          <w:rFonts w:hint="eastAsia"/>
          <w:sz w:val="24"/>
        </w:rPr>
        <w:t>8</w:t>
      </w:r>
      <w:r w:rsidR="00902E3F" w:rsidRPr="000F4D02">
        <w:rPr>
          <w:sz w:val="24"/>
        </w:rPr>
        <w:t>.</w:t>
      </w:r>
      <w:r w:rsidRPr="000F4D02">
        <w:rPr>
          <w:rFonts w:hint="eastAsia"/>
          <w:sz w:val="24"/>
        </w:rPr>
        <w:t>1</w:t>
      </w:r>
      <w:r w:rsidR="009D74FC" w:rsidRPr="000F4D02">
        <w:rPr>
          <w:rFonts w:hint="eastAsia"/>
          <w:sz w:val="24"/>
        </w:rPr>
        <w:t>基金计价方法说明</w:t>
      </w:r>
    </w:p>
    <w:p w:rsidR="00687B3E" w:rsidRPr="006662B2" w:rsidRDefault="00EA0BA4" w:rsidP="00131317">
      <w:pPr>
        <w:spacing w:before="29" w:line="288" w:lineRule="auto"/>
        <w:rPr>
          <w:rFonts w:asciiTheme="minorEastAsia" w:eastAsiaTheme="minorEastAsia" w:hAnsiTheme="minorEastAsia" w:cs="STSong-Light"/>
          <w:sz w:val="24"/>
        </w:rPr>
      </w:pPr>
      <w:r w:rsidRPr="004749BC">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687B3E" w:rsidRPr="006C6323" w:rsidRDefault="0028250D" w:rsidP="006C6323">
      <w:pPr>
        <w:spacing w:before="29" w:line="288" w:lineRule="auto"/>
        <w:rPr>
          <w:sz w:val="24"/>
        </w:rPr>
      </w:pPr>
      <w:r w:rsidRPr="006C6323">
        <w:rPr>
          <w:rFonts w:hint="eastAsia"/>
          <w:sz w:val="24"/>
        </w:rPr>
        <w:t>5</w:t>
      </w:r>
      <w:r w:rsidRPr="006C6323">
        <w:rPr>
          <w:sz w:val="24"/>
        </w:rPr>
        <w:t>.</w:t>
      </w:r>
      <w:r w:rsidRPr="006C6323">
        <w:rPr>
          <w:rFonts w:hint="eastAsia"/>
          <w:sz w:val="24"/>
        </w:rPr>
        <w:t>8</w:t>
      </w:r>
      <w:r w:rsidRPr="006C6323">
        <w:rPr>
          <w:sz w:val="24"/>
        </w:rPr>
        <w:t>.</w:t>
      </w:r>
      <w:r w:rsidRPr="006C6323">
        <w:rPr>
          <w:rFonts w:hint="eastAsia"/>
          <w:sz w:val="24"/>
        </w:rPr>
        <w:t>2</w:t>
      </w:r>
      <w:r w:rsidR="00687B3E" w:rsidRPr="006C6323">
        <w:rPr>
          <w:sz w:val="24"/>
        </w:rPr>
        <w:t>本基金报告期每日持有剩余期限小于</w:t>
      </w:r>
      <w:r w:rsidR="00687B3E" w:rsidRPr="006C6323">
        <w:rPr>
          <w:sz w:val="24"/>
        </w:rPr>
        <w:t>397</w:t>
      </w:r>
      <w:r w:rsidR="00687B3E" w:rsidRPr="006C6323">
        <w:rPr>
          <w:sz w:val="24"/>
        </w:rPr>
        <w:t>天但剩余存续期超过</w:t>
      </w:r>
      <w:r w:rsidR="00687B3E" w:rsidRPr="006C6323">
        <w:rPr>
          <w:sz w:val="24"/>
        </w:rPr>
        <w:t>397</w:t>
      </w:r>
      <w:r w:rsidR="00687B3E" w:rsidRPr="006C6323">
        <w:rPr>
          <w:sz w:val="24"/>
        </w:rPr>
        <w:t>天的浮动利率债券的摊余成本均未超过当日基金资产净值的</w:t>
      </w:r>
      <w:r w:rsidR="00687B3E" w:rsidRPr="006C6323">
        <w:rPr>
          <w:sz w:val="24"/>
        </w:rPr>
        <w:t>20%</w:t>
      </w:r>
      <w:r w:rsidR="00687B3E" w:rsidRPr="006C6323">
        <w:rPr>
          <w:sz w:val="24"/>
        </w:rPr>
        <w:t>。</w:t>
      </w:r>
    </w:p>
    <w:p w:rsidR="000A2104" w:rsidRPr="008F7E56" w:rsidRDefault="000A2104" w:rsidP="008F7E56">
      <w:pPr>
        <w:adjustRightInd w:val="0"/>
        <w:spacing w:before="29" w:line="288" w:lineRule="auto"/>
        <w:ind w:left="17"/>
        <w:rPr>
          <w:bCs/>
          <w:sz w:val="24"/>
        </w:rPr>
      </w:pPr>
      <w:r w:rsidRPr="008F7E56">
        <w:rPr>
          <w:bCs/>
          <w:sz w:val="24"/>
        </w:rPr>
        <w:t>5.8.3</w:t>
      </w:r>
      <w:r w:rsidRPr="008F7E56">
        <w:rPr>
          <w:bCs/>
          <w:sz w:val="24"/>
        </w:rPr>
        <w:t>报告期内本基金投资的前十名证券的发行主体未被监管部门立案调查，在本报告编制日前一年内本基金投资的前十名证券的发行主体未受到公开谴责和处罚。</w:t>
      </w:r>
    </w:p>
    <w:p w:rsidR="009D74FC" w:rsidRPr="008526B4" w:rsidRDefault="0028250D" w:rsidP="008526B4">
      <w:pPr>
        <w:spacing w:before="29" w:line="288" w:lineRule="auto"/>
        <w:rPr>
          <w:b/>
          <w:color w:val="000000"/>
          <w:kern w:val="0"/>
          <w:sz w:val="24"/>
        </w:rPr>
      </w:pPr>
      <w:r w:rsidRPr="008526B4">
        <w:rPr>
          <w:rFonts w:hint="eastAsia"/>
          <w:b/>
          <w:color w:val="000000"/>
          <w:kern w:val="0"/>
          <w:sz w:val="24"/>
        </w:rPr>
        <w:t>5</w:t>
      </w:r>
      <w:r w:rsidRPr="008526B4">
        <w:rPr>
          <w:b/>
          <w:color w:val="000000"/>
          <w:kern w:val="0"/>
          <w:sz w:val="24"/>
        </w:rPr>
        <w:t>.</w:t>
      </w:r>
      <w:r w:rsidRPr="008526B4">
        <w:rPr>
          <w:rFonts w:hint="eastAsia"/>
          <w:b/>
          <w:color w:val="000000"/>
          <w:kern w:val="0"/>
          <w:sz w:val="24"/>
        </w:rPr>
        <w:t>8</w:t>
      </w:r>
      <w:r w:rsidRPr="008526B4">
        <w:rPr>
          <w:b/>
          <w:color w:val="000000"/>
          <w:kern w:val="0"/>
          <w:sz w:val="24"/>
        </w:rPr>
        <w:t>.</w:t>
      </w:r>
      <w:r w:rsidRPr="008526B4">
        <w:rPr>
          <w:rFonts w:hint="eastAsia"/>
          <w:b/>
          <w:color w:val="000000"/>
          <w:kern w:val="0"/>
          <w:sz w:val="24"/>
        </w:rPr>
        <w:t>4</w:t>
      </w:r>
      <w:r w:rsidR="00E22F73" w:rsidRPr="008526B4">
        <w:rPr>
          <w:rFonts w:hint="eastAsia"/>
          <w:b/>
          <w:color w:val="000000"/>
          <w:kern w:val="0"/>
          <w:sz w:val="24"/>
        </w:rPr>
        <w:t>其他各项资产构成</w:t>
      </w:r>
    </w:p>
    <w:tbl>
      <w:tblPr>
        <w:tblStyle w:val="a8"/>
        <w:tblW w:w="8998" w:type="dxa"/>
        <w:tblInd w:w="108" w:type="dxa"/>
        <w:tblLayout w:type="fixed"/>
        <w:tblLook w:val="04A0" w:firstRow="1" w:lastRow="0" w:firstColumn="1" w:lastColumn="0" w:noHBand="0" w:noVBand="1"/>
      </w:tblPr>
      <w:tblGrid>
        <w:gridCol w:w="918"/>
        <w:gridCol w:w="3425"/>
        <w:gridCol w:w="4655"/>
      </w:tblGrid>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序号</w:t>
            </w:r>
          </w:p>
        </w:tc>
        <w:tc>
          <w:tcPr>
            <w:tcW w:w="3535"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名称</w:t>
            </w:r>
          </w:p>
        </w:tc>
        <w:tc>
          <w:tcPr>
            <w:tcW w:w="4808"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金额</w:t>
            </w:r>
            <w:r w:rsidRPr="006A40AB">
              <w:rPr>
                <w:rFonts w:hAnsi="宋体" w:hint="eastAsia"/>
                <w:color w:val="000000"/>
                <w:kern w:val="0"/>
                <w:sz w:val="24"/>
              </w:rPr>
              <w:t>(</w:t>
            </w:r>
            <w:r w:rsidRPr="006A40AB">
              <w:rPr>
                <w:rFonts w:hAnsi="宋体" w:hint="eastAsia"/>
                <w:color w:val="000000"/>
                <w:kern w:val="0"/>
                <w:sz w:val="24"/>
              </w:rPr>
              <w:t>元</w:t>
            </w:r>
            <w:r w:rsidRPr="006A40AB">
              <w:rPr>
                <w:rFonts w:hAnsi="宋体" w:hint="eastAsia"/>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1</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存出保证金</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2</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应收证券清算款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3</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应收利息</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11,324,248.56</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4</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应收申购款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398,339,017.27</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5</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其他应收款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E04AF5" w:rsidRPr="006662B2" w:rsidTr="00A8129A">
        <w:tc>
          <w:tcPr>
            <w:tcW w:w="942" w:type="dxa"/>
            <w:vAlign w:val="center"/>
          </w:tcPr>
          <w:p w:rsidR="00E04AF5" w:rsidRPr="006A40AB" w:rsidRDefault="00E04AF5" w:rsidP="006A40AB">
            <w:pPr>
              <w:autoSpaceDE w:val="0"/>
              <w:autoSpaceDN w:val="0"/>
              <w:adjustRightInd w:val="0"/>
              <w:spacing w:before="29" w:line="288" w:lineRule="auto"/>
              <w:ind w:left="15"/>
              <w:jc w:val="center"/>
              <w:rPr>
                <w:color w:val="000000"/>
                <w:sz w:val="24"/>
              </w:rPr>
            </w:pPr>
            <w:r w:rsidRPr="006A40AB">
              <w:rPr>
                <w:rFonts w:hint="eastAsia"/>
                <w:color w:val="000000"/>
                <w:sz w:val="24"/>
              </w:rPr>
              <w:t>6</w:t>
            </w:r>
          </w:p>
        </w:tc>
        <w:tc>
          <w:tcPr>
            <w:tcW w:w="3535" w:type="dxa"/>
            <w:vAlign w:val="center"/>
          </w:tcPr>
          <w:p w:rsidR="00E04AF5" w:rsidRPr="006A40AB" w:rsidRDefault="00E04AF5" w:rsidP="006A40AB">
            <w:pPr>
              <w:autoSpaceDE w:val="0"/>
              <w:autoSpaceDN w:val="0"/>
              <w:adjustRightInd w:val="0"/>
              <w:spacing w:before="29" w:line="288" w:lineRule="auto"/>
              <w:ind w:left="15"/>
              <w:jc w:val="left"/>
              <w:rPr>
                <w:color w:val="000000"/>
                <w:sz w:val="24"/>
              </w:rPr>
            </w:pPr>
            <w:r w:rsidRPr="006A40AB">
              <w:rPr>
                <w:rFonts w:hint="eastAsia"/>
                <w:color w:val="000000"/>
                <w:sz w:val="24"/>
              </w:rPr>
              <w:t>待摊费用</w:t>
            </w:r>
          </w:p>
        </w:tc>
        <w:tc>
          <w:tcPr>
            <w:tcW w:w="4808" w:type="dxa"/>
            <w:vAlign w:val="center"/>
          </w:tcPr>
          <w:p w:rsidR="00E04AF5" w:rsidRPr="007D20F5" w:rsidRDefault="00E04AF5" w:rsidP="007D20F5">
            <w:pPr>
              <w:autoSpaceDE w:val="0"/>
              <w:autoSpaceDN w:val="0"/>
              <w:adjustRightInd w:val="0"/>
              <w:spacing w:before="29" w:line="288" w:lineRule="auto"/>
              <w:ind w:left="15"/>
              <w:jc w:val="right"/>
              <w:rPr>
                <w:color w:val="000000"/>
                <w:kern w:val="0"/>
                <w:sz w:val="24"/>
              </w:rPr>
            </w:pPr>
            <w:r w:rsidRPr="007D20F5">
              <w:rPr>
                <w:rFonts w:hint="eastAsia"/>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7</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其他</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8</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合计</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409,663,265.83</w:t>
            </w:r>
          </w:p>
        </w:tc>
      </w:tr>
    </w:tbl>
    <w:p w:rsidR="00E6219D" w:rsidRPr="005A26FF" w:rsidRDefault="00E6219D" w:rsidP="005A26FF">
      <w:pPr>
        <w:spacing w:before="29" w:line="288" w:lineRule="auto"/>
        <w:rPr>
          <w:color w:val="000000"/>
          <w:kern w:val="0"/>
          <w:sz w:val="24"/>
        </w:rPr>
      </w:pPr>
    </w:p>
    <w:p w:rsidR="009D74FC" w:rsidRPr="005A26FF" w:rsidRDefault="0028250D" w:rsidP="005A26FF">
      <w:pPr>
        <w:spacing w:before="29" w:line="288" w:lineRule="auto"/>
        <w:rPr>
          <w:color w:val="000000"/>
          <w:kern w:val="0"/>
          <w:sz w:val="24"/>
        </w:rPr>
      </w:pPr>
      <w:r w:rsidRPr="005A26FF">
        <w:rPr>
          <w:rFonts w:hint="eastAsia"/>
          <w:color w:val="000000"/>
          <w:kern w:val="0"/>
          <w:sz w:val="24"/>
        </w:rPr>
        <w:t>5</w:t>
      </w:r>
      <w:r w:rsidRPr="005A26FF">
        <w:rPr>
          <w:color w:val="000000"/>
          <w:kern w:val="0"/>
          <w:sz w:val="24"/>
        </w:rPr>
        <w:t>.</w:t>
      </w:r>
      <w:r w:rsidRPr="005A26FF">
        <w:rPr>
          <w:rFonts w:hint="eastAsia"/>
          <w:color w:val="000000"/>
          <w:kern w:val="0"/>
          <w:sz w:val="24"/>
        </w:rPr>
        <w:t>8</w:t>
      </w:r>
      <w:r w:rsidRPr="005A26FF">
        <w:rPr>
          <w:color w:val="000000"/>
          <w:kern w:val="0"/>
          <w:sz w:val="24"/>
        </w:rPr>
        <w:t>.</w:t>
      </w:r>
      <w:r w:rsidRPr="005A26FF">
        <w:rPr>
          <w:rFonts w:hint="eastAsia"/>
          <w:color w:val="000000"/>
          <w:kern w:val="0"/>
          <w:sz w:val="24"/>
        </w:rPr>
        <w:t>5</w:t>
      </w:r>
      <w:r w:rsidR="00B76977" w:rsidRPr="005A26FF">
        <w:rPr>
          <w:rFonts w:hint="eastAsia"/>
          <w:color w:val="000000"/>
          <w:kern w:val="0"/>
          <w:sz w:val="24"/>
        </w:rPr>
        <w:t>投资组合报告附注的其他文字描述部分</w:t>
      </w:r>
    </w:p>
    <w:p w:rsidR="00274097" w:rsidRDefault="00274097" w:rsidP="005A26FF">
      <w:pPr>
        <w:spacing w:before="29" w:line="288" w:lineRule="auto"/>
        <w:rPr>
          <w:color w:val="000000"/>
          <w:sz w:val="24"/>
        </w:rPr>
      </w:pPr>
      <w:r w:rsidRPr="005A26FF">
        <w:rPr>
          <w:color w:val="000000"/>
          <w:sz w:val="24"/>
        </w:rPr>
        <w:t>由于四舍五入的原因，分项之和与合计项之间可能存在尾差。</w:t>
      </w:r>
    </w:p>
    <w:p w:rsidR="006F44DE" w:rsidRPr="005A26FF" w:rsidRDefault="006F44DE" w:rsidP="005A26FF">
      <w:pPr>
        <w:spacing w:before="29" w:line="288" w:lineRule="auto"/>
        <w:rPr>
          <w:color w:val="000000"/>
          <w:sz w:val="24"/>
        </w:rPr>
      </w:pPr>
    </w:p>
    <w:p w:rsidR="00902E3F" w:rsidRPr="009551BF" w:rsidRDefault="00902E3F" w:rsidP="00BA26A0">
      <w:pPr>
        <w:pStyle w:val="1"/>
        <w:spacing w:beforeLines="100" w:before="240" w:afterLines="100" w:after="240" w:line="288" w:lineRule="auto"/>
        <w:jc w:val="center"/>
        <w:rPr>
          <w:color w:val="000000"/>
          <w:kern w:val="0"/>
          <w:sz w:val="24"/>
          <w:szCs w:val="24"/>
        </w:rPr>
      </w:pPr>
      <w:r w:rsidRPr="009551BF">
        <w:rPr>
          <w:rFonts w:hint="eastAsia"/>
          <w:color w:val="000000"/>
          <w:kern w:val="0"/>
          <w:sz w:val="24"/>
          <w:szCs w:val="24"/>
        </w:rPr>
        <w:t>§</w:t>
      </w:r>
      <w:r w:rsidR="0028250D" w:rsidRPr="009551BF">
        <w:rPr>
          <w:rFonts w:hint="eastAsia"/>
          <w:color w:val="000000"/>
          <w:kern w:val="0"/>
          <w:sz w:val="24"/>
          <w:szCs w:val="24"/>
        </w:rPr>
        <w:t>6</w:t>
      </w:r>
      <w:r w:rsidRPr="009551BF">
        <w:rPr>
          <w:color w:val="000000"/>
          <w:kern w:val="0"/>
          <w:sz w:val="24"/>
          <w:szCs w:val="24"/>
        </w:rPr>
        <w:t xml:space="preserve">  </w:t>
      </w:r>
      <w:r w:rsidRPr="009551BF">
        <w:rPr>
          <w:rFonts w:hint="eastAsia"/>
          <w:color w:val="000000"/>
          <w:kern w:val="0"/>
          <w:sz w:val="24"/>
          <w:szCs w:val="24"/>
        </w:rPr>
        <w:t>开放式基金份额变动</w:t>
      </w:r>
    </w:p>
    <w:p w:rsidR="00902E3F" w:rsidRPr="006C593A" w:rsidRDefault="00902E3F" w:rsidP="006C593A">
      <w:pPr>
        <w:autoSpaceDE w:val="0"/>
        <w:autoSpaceDN w:val="0"/>
        <w:adjustRightInd w:val="0"/>
        <w:spacing w:before="29" w:line="288" w:lineRule="auto"/>
        <w:ind w:left="15"/>
        <w:jc w:val="right"/>
        <w:rPr>
          <w:rFonts w:hAnsi="宋体"/>
          <w:color w:val="000000"/>
          <w:kern w:val="0"/>
          <w:sz w:val="24"/>
        </w:rPr>
      </w:pPr>
      <w:r w:rsidRPr="006C593A">
        <w:rPr>
          <w:rFonts w:hAnsi="宋体" w:hint="eastAsia"/>
          <w:color w:val="000000"/>
          <w:kern w:val="0"/>
          <w:sz w:val="24"/>
        </w:rPr>
        <w:t>单位：份</w:t>
      </w:r>
    </w:p>
    <w:tbl>
      <w:tblPr>
        <w:tblW w:w="8998" w:type="dxa"/>
        <w:tblInd w:w="108" w:type="dxa"/>
        <w:tblLayout w:type="fixed"/>
        <w:tblLook w:val="0000" w:firstRow="0" w:lastRow="0" w:firstColumn="0" w:lastColumn="0" w:noHBand="0" w:noVBand="0"/>
      </w:tblPr>
      <w:tblGrid>
        <w:gridCol w:w="4499"/>
        <w:gridCol w:w="4499"/>
      </w:tblGrid>
      <w:tr w:rsidR="00642494"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066E52" w:rsidRDefault="00642494"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报告期期初基金份额总额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482548" w:rsidRDefault="00642494"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2,275,151,589.11</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基金总申购份额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14,363,652,092.09</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基金总赎回份额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13,742,554,508.98</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报告期期末基金份额总额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2,896,249,172.22</w:t>
            </w:r>
          </w:p>
        </w:tc>
      </w:tr>
    </w:tbl>
    <w:p w:rsidR="00BD618B" w:rsidRDefault="00804C7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63302E" w:rsidRDefault="00683E0D" w:rsidP="0021147F">
      <w:pPr>
        <w:autoSpaceDE w:val="0"/>
        <w:autoSpaceDN w:val="0"/>
        <w:adjustRightInd w:val="0"/>
        <w:spacing w:before="29" w:line="288" w:lineRule="auto"/>
        <w:jc w:val="left"/>
        <w:rPr>
          <w:color w:val="000000"/>
          <w:sz w:val="24"/>
        </w:rPr>
      </w:pPr>
      <w:r w:rsidRPr="0021147F">
        <w:rPr>
          <w:color w:val="000000"/>
          <w:sz w:val="24"/>
        </w:rPr>
        <w:t xml:space="preserve">    2</w:t>
      </w:r>
      <w:r w:rsidRPr="0021147F">
        <w:rPr>
          <w:color w:val="000000"/>
          <w:sz w:val="24"/>
        </w:rPr>
        <w:t>、如果本报告期间发生转换出、份额级别调整业务，则总赎回份额中包含该业务。</w:t>
      </w:r>
    </w:p>
    <w:p w:rsidR="0021147F" w:rsidRPr="0021147F" w:rsidRDefault="0021147F" w:rsidP="0021147F">
      <w:pPr>
        <w:autoSpaceDE w:val="0"/>
        <w:autoSpaceDN w:val="0"/>
        <w:adjustRightInd w:val="0"/>
        <w:spacing w:before="29" w:line="288" w:lineRule="auto"/>
        <w:jc w:val="left"/>
        <w:rPr>
          <w:color w:val="000000"/>
          <w:sz w:val="24"/>
        </w:rPr>
      </w:pPr>
    </w:p>
    <w:p w:rsidR="00474A43" w:rsidRPr="003E1FB8" w:rsidRDefault="00474A43" w:rsidP="00BA26A0">
      <w:pPr>
        <w:pStyle w:val="1"/>
        <w:spacing w:beforeLines="100" w:before="240" w:afterLines="100" w:after="240" w:line="288" w:lineRule="auto"/>
        <w:jc w:val="center"/>
        <w:rPr>
          <w:color w:val="000000"/>
          <w:kern w:val="0"/>
          <w:sz w:val="24"/>
          <w:szCs w:val="24"/>
        </w:rPr>
      </w:pPr>
      <w:r w:rsidRPr="003E1FB8">
        <w:rPr>
          <w:rFonts w:hint="eastAsia"/>
          <w:color w:val="000000"/>
          <w:kern w:val="0"/>
          <w:sz w:val="24"/>
          <w:szCs w:val="24"/>
        </w:rPr>
        <w:t>§</w:t>
      </w:r>
      <w:r w:rsidRPr="003E1FB8">
        <w:rPr>
          <w:rFonts w:hint="eastAsia"/>
          <w:color w:val="000000"/>
          <w:kern w:val="0"/>
          <w:sz w:val="24"/>
          <w:szCs w:val="24"/>
        </w:rPr>
        <w:t xml:space="preserve">7  </w:t>
      </w:r>
      <w:r w:rsidRPr="003E1FB8">
        <w:rPr>
          <w:rFonts w:hint="eastAsia"/>
          <w:color w:val="000000"/>
          <w:kern w:val="0"/>
          <w:sz w:val="24"/>
          <w:szCs w:val="24"/>
        </w:rPr>
        <w:t>基金管理人运用固有资金投资本基金交易明细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1506"/>
        <w:gridCol w:w="1417"/>
        <w:gridCol w:w="1873"/>
        <w:gridCol w:w="1794"/>
        <w:gridCol w:w="1362"/>
      </w:tblGrid>
      <w:tr w:rsidR="00474A43" w:rsidRPr="004A3251" w:rsidTr="00BA26A0">
        <w:trPr>
          <w:trHeight w:val="340"/>
        </w:trPr>
        <w:tc>
          <w:tcPr>
            <w:tcW w:w="1046" w:type="dxa"/>
            <w:vAlign w:val="center"/>
          </w:tcPr>
          <w:p w:rsidR="00474A43" w:rsidRPr="004A1A8E" w:rsidRDefault="00474A43" w:rsidP="00EB5F2B">
            <w:pPr>
              <w:pStyle w:val="ad"/>
              <w:adjustRightInd w:val="0"/>
              <w:snapToGrid w:val="0"/>
              <w:spacing w:before="29" w:line="288" w:lineRule="auto"/>
              <w:jc w:val="center"/>
              <w:rPr>
                <w:rFonts w:hAnsi="宋体"/>
                <w:color w:val="000000"/>
                <w:kern w:val="0"/>
              </w:rPr>
            </w:pPr>
            <w:r w:rsidRPr="004A1A8E">
              <w:rPr>
                <w:rFonts w:hAnsi="宋体"/>
                <w:color w:val="000000"/>
                <w:kern w:val="0"/>
              </w:rPr>
              <w:t>序号</w:t>
            </w:r>
          </w:p>
        </w:tc>
        <w:tc>
          <w:tcPr>
            <w:tcW w:w="1506"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交易方式</w:t>
            </w:r>
          </w:p>
        </w:tc>
        <w:tc>
          <w:tcPr>
            <w:tcW w:w="1417"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交易日期</w:t>
            </w:r>
          </w:p>
        </w:tc>
        <w:tc>
          <w:tcPr>
            <w:tcW w:w="1873"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交易份额</w:t>
            </w:r>
            <w:r w:rsidRPr="004A1A8E">
              <w:rPr>
                <w:rFonts w:hAnsi="宋体" w:hint="eastAsia"/>
                <w:color w:val="000000"/>
                <w:kern w:val="0"/>
                <w:sz w:val="24"/>
                <w:szCs w:val="20"/>
              </w:rPr>
              <w:t>（份）</w:t>
            </w:r>
          </w:p>
        </w:tc>
        <w:tc>
          <w:tcPr>
            <w:tcW w:w="1794"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交易金额</w:t>
            </w:r>
            <w:r w:rsidRPr="004A1A8E">
              <w:rPr>
                <w:rFonts w:hAnsi="宋体" w:hint="eastAsia"/>
                <w:color w:val="000000"/>
                <w:kern w:val="0"/>
                <w:sz w:val="24"/>
                <w:szCs w:val="20"/>
              </w:rPr>
              <w:t>（元）</w:t>
            </w:r>
          </w:p>
        </w:tc>
        <w:tc>
          <w:tcPr>
            <w:tcW w:w="1362"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适用费率</w:t>
            </w:r>
          </w:p>
        </w:tc>
      </w:tr>
      <w:tr w:rsidR="001E0E8C" w:rsidTr="00BA26A0">
        <w:tc>
          <w:tcPr>
            <w:tcW w:w="1046" w:type="dxa"/>
            <w:vAlign w:val="center"/>
          </w:tcPr>
          <w:p w:rsidR="001E0E8C" w:rsidRDefault="001E0E8C">
            <w:pPr>
              <w:jc w:val="center"/>
              <w:rPr>
                <w:color w:val="000000"/>
                <w:sz w:val="24"/>
              </w:rPr>
            </w:pPr>
            <w:r>
              <w:rPr>
                <w:rFonts w:hint="eastAsia"/>
                <w:color w:val="000000"/>
                <w:sz w:val="24"/>
              </w:rPr>
              <w:t>1</w:t>
            </w:r>
          </w:p>
        </w:tc>
        <w:tc>
          <w:tcPr>
            <w:tcW w:w="1506" w:type="dxa"/>
            <w:vAlign w:val="center"/>
          </w:tcPr>
          <w:p w:rsidR="001E0E8C" w:rsidRDefault="001E0E8C">
            <w:pPr>
              <w:jc w:val="center"/>
              <w:rPr>
                <w:color w:val="000000"/>
                <w:sz w:val="24"/>
              </w:rPr>
            </w:pPr>
            <w:r>
              <w:rPr>
                <w:rFonts w:hint="eastAsia"/>
                <w:color w:val="000000"/>
                <w:sz w:val="24"/>
              </w:rPr>
              <w:t>赎回</w:t>
            </w:r>
          </w:p>
        </w:tc>
        <w:tc>
          <w:tcPr>
            <w:tcW w:w="1417" w:type="dxa"/>
            <w:vAlign w:val="center"/>
          </w:tcPr>
          <w:p w:rsidR="001E0E8C" w:rsidRDefault="001E0E8C" w:rsidP="00BA26A0">
            <w:pPr>
              <w:jc w:val="center"/>
              <w:rPr>
                <w:color w:val="000000"/>
                <w:sz w:val="24"/>
              </w:rPr>
            </w:pPr>
            <w:r>
              <w:rPr>
                <w:rFonts w:hint="eastAsia"/>
                <w:color w:val="000000"/>
                <w:sz w:val="24"/>
              </w:rPr>
              <w:t>2016-1-2</w:t>
            </w:r>
            <w:r w:rsidR="00BA26A0">
              <w:rPr>
                <w:rFonts w:hint="eastAsia"/>
                <w:color w:val="000000"/>
                <w:sz w:val="24"/>
              </w:rPr>
              <w:t>8</w:t>
            </w:r>
          </w:p>
        </w:tc>
        <w:tc>
          <w:tcPr>
            <w:tcW w:w="1873" w:type="dxa"/>
            <w:vAlign w:val="center"/>
          </w:tcPr>
          <w:p w:rsidR="001E0E8C" w:rsidRDefault="00BA26A0">
            <w:pPr>
              <w:jc w:val="right"/>
              <w:rPr>
                <w:color w:val="000000"/>
                <w:sz w:val="24"/>
              </w:rPr>
            </w:pPr>
            <w:r>
              <w:rPr>
                <w:rFonts w:hint="eastAsia"/>
                <w:color w:val="000000"/>
                <w:sz w:val="24"/>
              </w:rPr>
              <w:t>-</w:t>
            </w:r>
            <w:r w:rsidR="001E0E8C" w:rsidRPr="001E0E8C">
              <w:rPr>
                <w:color w:val="000000"/>
                <w:sz w:val="24"/>
              </w:rPr>
              <w:t>40</w:t>
            </w:r>
            <w:r w:rsidR="001E0E8C">
              <w:rPr>
                <w:rFonts w:hint="eastAsia"/>
                <w:color w:val="000000"/>
                <w:sz w:val="24"/>
              </w:rPr>
              <w:t>,</w:t>
            </w:r>
            <w:r w:rsidR="001E0E8C" w:rsidRPr="001E0E8C">
              <w:rPr>
                <w:color w:val="000000"/>
                <w:sz w:val="24"/>
              </w:rPr>
              <w:t>002</w:t>
            </w:r>
            <w:r w:rsidR="001E0E8C">
              <w:rPr>
                <w:rFonts w:hint="eastAsia"/>
                <w:color w:val="000000"/>
                <w:sz w:val="24"/>
              </w:rPr>
              <w:t>,</w:t>
            </w:r>
            <w:r w:rsidR="001E0E8C" w:rsidRPr="001E0E8C">
              <w:rPr>
                <w:color w:val="000000"/>
                <w:sz w:val="24"/>
              </w:rPr>
              <w:t>550.56</w:t>
            </w:r>
          </w:p>
        </w:tc>
        <w:tc>
          <w:tcPr>
            <w:tcW w:w="1794" w:type="dxa"/>
            <w:vAlign w:val="center"/>
          </w:tcPr>
          <w:p w:rsidR="001E0E8C" w:rsidRDefault="00BA26A0">
            <w:pPr>
              <w:jc w:val="right"/>
              <w:rPr>
                <w:color w:val="000000"/>
                <w:sz w:val="24"/>
              </w:rPr>
            </w:pPr>
            <w:r>
              <w:rPr>
                <w:rFonts w:hint="eastAsia"/>
                <w:color w:val="000000"/>
                <w:sz w:val="24"/>
              </w:rPr>
              <w:t>-</w:t>
            </w:r>
            <w:r w:rsidR="001E0E8C" w:rsidRPr="001E0E8C">
              <w:rPr>
                <w:color w:val="000000"/>
                <w:sz w:val="24"/>
              </w:rPr>
              <w:t>40</w:t>
            </w:r>
            <w:r w:rsidR="001E0E8C">
              <w:rPr>
                <w:rFonts w:hint="eastAsia"/>
                <w:color w:val="000000"/>
                <w:sz w:val="24"/>
              </w:rPr>
              <w:t>,</w:t>
            </w:r>
            <w:r w:rsidR="001E0E8C" w:rsidRPr="001E0E8C">
              <w:rPr>
                <w:color w:val="000000"/>
                <w:sz w:val="24"/>
              </w:rPr>
              <w:t>002</w:t>
            </w:r>
            <w:r w:rsidR="001E0E8C">
              <w:rPr>
                <w:rFonts w:hint="eastAsia"/>
                <w:color w:val="000000"/>
                <w:sz w:val="24"/>
              </w:rPr>
              <w:t>,</w:t>
            </w:r>
            <w:r w:rsidR="001E0E8C" w:rsidRPr="001E0E8C">
              <w:rPr>
                <w:color w:val="000000"/>
                <w:sz w:val="24"/>
              </w:rPr>
              <w:t>550.56</w:t>
            </w:r>
          </w:p>
        </w:tc>
        <w:tc>
          <w:tcPr>
            <w:tcW w:w="1362" w:type="dxa"/>
            <w:vAlign w:val="center"/>
          </w:tcPr>
          <w:p w:rsidR="001E0E8C" w:rsidRDefault="001E0E8C">
            <w:pPr>
              <w:jc w:val="center"/>
              <w:rPr>
                <w:color w:val="000000"/>
                <w:sz w:val="24"/>
              </w:rPr>
            </w:pPr>
          </w:p>
        </w:tc>
      </w:tr>
      <w:tr w:rsidR="00BD618B" w:rsidTr="00BA26A0">
        <w:tc>
          <w:tcPr>
            <w:tcW w:w="1046" w:type="dxa"/>
            <w:vAlign w:val="center"/>
          </w:tcPr>
          <w:p w:rsidR="00BD618B" w:rsidRDefault="001E0E8C">
            <w:pPr>
              <w:jc w:val="center"/>
            </w:pPr>
            <w:r>
              <w:rPr>
                <w:rFonts w:hint="eastAsia"/>
              </w:rPr>
              <w:t>2</w:t>
            </w:r>
          </w:p>
        </w:tc>
        <w:tc>
          <w:tcPr>
            <w:tcW w:w="1506" w:type="dxa"/>
            <w:vAlign w:val="center"/>
          </w:tcPr>
          <w:p w:rsidR="00BD618B" w:rsidRDefault="00804C79">
            <w:pPr>
              <w:jc w:val="center"/>
            </w:pPr>
            <w:r>
              <w:rPr>
                <w:rFonts w:hint="eastAsia"/>
                <w:color w:val="000000"/>
                <w:sz w:val="24"/>
              </w:rPr>
              <w:t>红利再投</w:t>
            </w:r>
          </w:p>
        </w:tc>
        <w:tc>
          <w:tcPr>
            <w:tcW w:w="1417" w:type="dxa"/>
            <w:vAlign w:val="center"/>
          </w:tcPr>
          <w:p w:rsidR="00BD618B" w:rsidRDefault="00804C79">
            <w:pPr>
              <w:jc w:val="center"/>
            </w:pPr>
            <w:r>
              <w:rPr>
                <w:rFonts w:hint="eastAsia"/>
                <w:color w:val="000000"/>
                <w:sz w:val="24"/>
              </w:rPr>
              <w:t>2016-03-31</w:t>
            </w:r>
          </w:p>
        </w:tc>
        <w:tc>
          <w:tcPr>
            <w:tcW w:w="1873" w:type="dxa"/>
            <w:vAlign w:val="center"/>
          </w:tcPr>
          <w:p w:rsidR="00BD618B" w:rsidRDefault="00804C79">
            <w:pPr>
              <w:jc w:val="right"/>
            </w:pPr>
            <w:r>
              <w:rPr>
                <w:rFonts w:hint="eastAsia"/>
                <w:color w:val="000000"/>
                <w:sz w:val="24"/>
              </w:rPr>
              <w:t>2,220,432.73</w:t>
            </w:r>
          </w:p>
        </w:tc>
        <w:tc>
          <w:tcPr>
            <w:tcW w:w="1794" w:type="dxa"/>
            <w:vAlign w:val="center"/>
          </w:tcPr>
          <w:p w:rsidR="00BD618B" w:rsidRDefault="00804C79">
            <w:pPr>
              <w:jc w:val="right"/>
            </w:pPr>
            <w:r>
              <w:rPr>
                <w:rFonts w:hint="eastAsia"/>
                <w:color w:val="000000"/>
                <w:sz w:val="24"/>
              </w:rPr>
              <w:t>2,220,432.73</w:t>
            </w:r>
          </w:p>
        </w:tc>
        <w:tc>
          <w:tcPr>
            <w:tcW w:w="1362" w:type="dxa"/>
            <w:vAlign w:val="center"/>
          </w:tcPr>
          <w:p w:rsidR="00BD618B" w:rsidRDefault="00804C79">
            <w:pPr>
              <w:jc w:val="center"/>
            </w:pPr>
            <w:r>
              <w:rPr>
                <w:rFonts w:hint="eastAsia"/>
                <w:color w:val="000000"/>
                <w:sz w:val="24"/>
              </w:rPr>
              <w:t>-</w:t>
            </w:r>
          </w:p>
        </w:tc>
      </w:tr>
      <w:tr w:rsidR="00474A43" w:rsidRPr="004A3251" w:rsidTr="00BA26A0">
        <w:trPr>
          <w:trHeight w:val="340"/>
        </w:trPr>
        <w:tc>
          <w:tcPr>
            <w:tcW w:w="1046" w:type="dxa"/>
            <w:vAlign w:val="center"/>
          </w:tcPr>
          <w:p w:rsidR="00474A43" w:rsidRPr="009B4AAD" w:rsidRDefault="00474A43" w:rsidP="009B4AAD">
            <w:pPr>
              <w:pStyle w:val="ad"/>
              <w:adjustRightInd w:val="0"/>
              <w:snapToGrid w:val="0"/>
              <w:spacing w:before="29" w:line="288" w:lineRule="auto"/>
              <w:jc w:val="center"/>
              <w:rPr>
                <w:rFonts w:hAnsi="宋体"/>
                <w:color w:val="000000"/>
                <w:kern w:val="0"/>
              </w:rPr>
            </w:pPr>
            <w:r w:rsidRPr="009B4AAD">
              <w:rPr>
                <w:rFonts w:hAnsi="宋体"/>
                <w:color w:val="000000"/>
                <w:kern w:val="0"/>
              </w:rPr>
              <w:t>合计</w:t>
            </w:r>
          </w:p>
        </w:tc>
        <w:tc>
          <w:tcPr>
            <w:tcW w:w="1506" w:type="dxa"/>
          </w:tcPr>
          <w:p w:rsidR="00474A43" w:rsidRPr="009B4AAD" w:rsidRDefault="00474A43" w:rsidP="009B4AAD">
            <w:pPr>
              <w:adjustRightInd w:val="0"/>
              <w:snapToGrid w:val="0"/>
              <w:spacing w:before="29" w:line="288" w:lineRule="auto"/>
              <w:jc w:val="right"/>
              <w:rPr>
                <w:rFonts w:hAnsi="宋体"/>
                <w:color w:val="000000"/>
                <w:kern w:val="0"/>
                <w:sz w:val="24"/>
                <w:szCs w:val="20"/>
              </w:rPr>
            </w:pPr>
          </w:p>
        </w:tc>
        <w:tc>
          <w:tcPr>
            <w:tcW w:w="1417" w:type="dxa"/>
          </w:tcPr>
          <w:p w:rsidR="00474A43" w:rsidRPr="009B4AAD" w:rsidRDefault="00474A43" w:rsidP="009B4AAD">
            <w:pPr>
              <w:adjustRightInd w:val="0"/>
              <w:snapToGrid w:val="0"/>
              <w:spacing w:before="29" w:line="288" w:lineRule="auto"/>
              <w:jc w:val="right"/>
              <w:rPr>
                <w:rFonts w:hAnsi="宋体"/>
                <w:color w:val="000000"/>
                <w:kern w:val="0"/>
                <w:sz w:val="24"/>
                <w:szCs w:val="20"/>
              </w:rPr>
            </w:pPr>
          </w:p>
        </w:tc>
        <w:tc>
          <w:tcPr>
            <w:tcW w:w="1873" w:type="dxa"/>
          </w:tcPr>
          <w:p w:rsidR="00474A43" w:rsidRPr="009B4AAD" w:rsidRDefault="00BA26A0" w:rsidP="00AD0175">
            <w:pPr>
              <w:adjustRightInd w:val="0"/>
              <w:snapToGrid w:val="0"/>
              <w:spacing w:before="29" w:line="288" w:lineRule="auto"/>
              <w:jc w:val="right"/>
              <w:rPr>
                <w:rFonts w:hAnsi="宋体"/>
                <w:color w:val="000000"/>
                <w:kern w:val="0"/>
                <w:sz w:val="24"/>
                <w:szCs w:val="20"/>
              </w:rPr>
            </w:pPr>
            <w:r>
              <w:rPr>
                <w:rFonts w:hAnsi="宋体" w:hint="eastAsia"/>
                <w:color w:val="000000"/>
                <w:kern w:val="0"/>
                <w:sz w:val="24"/>
                <w:szCs w:val="20"/>
              </w:rPr>
              <w:t>-37,782,117.83</w:t>
            </w:r>
          </w:p>
        </w:tc>
        <w:tc>
          <w:tcPr>
            <w:tcW w:w="1794" w:type="dxa"/>
          </w:tcPr>
          <w:p w:rsidR="00474A43" w:rsidRPr="009B4AAD" w:rsidRDefault="00BA26A0" w:rsidP="009B4AAD">
            <w:pPr>
              <w:adjustRightInd w:val="0"/>
              <w:snapToGrid w:val="0"/>
              <w:spacing w:before="29" w:line="288" w:lineRule="auto"/>
              <w:jc w:val="right"/>
              <w:rPr>
                <w:rFonts w:hAnsi="宋体"/>
                <w:color w:val="000000"/>
                <w:kern w:val="0"/>
                <w:sz w:val="24"/>
                <w:szCs w:val="20"/>
              </w:rPr>
            </w:pPr>
            <w:r>
              <w:rPr>
                <w:rFonts w:hAnsi="宋体" w:hint="eastAsia"/>
                <w:color w:val="000000"/>
                <w:kern w:val="0"/>
                <w:sz w:val="24"/>
                <w:szCs w:val="20"/>
              </w:rPr>
              <w:t>-37,782,117.83</w:t>
            </w:r>
          </w:p>
        </w:tc>
        <w:tc>
          <w:tcPr>
            <w:tcW w:w="1362" w:type="dxa"/>
            <w:vAlign w:val="center"/>
          </w:tcPr>
          <w:p w:rsidR="00474A43" w:rsidRPr="009B4AAD" w:rsidRDefault="00474A43" w:rsidP="009B4AAD">
            <w:pPr>
              <w:adjustRightInd w:val="0"/>
              <w:snapToGrid w:val="0"/>
              <w:spacing w:before="29" w:line="288" w:lineRule="auto"/>
              <w:jc w:val="right"/>
              <w:rPr>
                <w:rFonts w:hAnsi="宋体"/>
                <w:color w:val="000000"/>
                <w:kern w:val="0"/>
                <w:sz w:val="24"/>
                <w:szCs w:val="20"/>
              </w:rPr>
            </w:pPr>
          </w:p>
        </w:tc>
      </w:tr>
    </w:tbl>
    <w:p w:rsidR="00BD618B" w:rsidRDefault="00804C7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、本基金管理人本报告期末持有本基金份额</w:t>
      </w:r>
      <w:r>
        <w:rPr>
          <w:color w:val="000000"/>
          <w:sz w:val="24"/>
        </w:rPr>
        <w:t>358,945,735.09</w:t>
      </w:r>
      <w:r>
        <w:rPr>
          <w:color w:val="000000"/>
          <w:sz w:val="24"/>
        </w:rPr>
        <w:t>份，占本基金期末总份额的</w:t>
      </w:r>
      <w:r>
        <w:rPr>
          <w:color w:val="000000"/>
          <w:sz w:val="24"/>
        </w:rPr>
        <w:t>12.39%</w:t>
      </w:r>
      <w:r>
        <w:rPr>
          <w:color w:val="000000"/>
          <w:sz w:val="24"/>
        </w:rPr>
        <w:t>。</w:t>
      </w:r>
    </w:p>
    <w:p w:rsidR="00474A43" w:rsidRDefault="00474A43" w:rsidP="007B389A">
      <w:pPr>
        <w:autoSpaceDE w:val="0"/>
        <w:autoSpaceDN w:val="0"/>
        <w:adjustRightInd w:val="0"/>
        <w:spacing w:before="29" w:line="288" w:lineRule="auto"/>
        <w:ind w:firstLineChars="200" w:firstLine="480"/>
        <w:jc w:val="left"/>
        <w:rPr>
          <w:color w:val="000000"/>
          <w:sz w:val="24"/>
        </w:rPr>
      </w:pPr>
      <w:r w:rsidRPr="009B4AAD">
        <w:rPr>
          <w:color w:val="000000"/>
          <w:sz w:val="24"/>
        </w:rPr>
        <w:t>2</w:t>
      </w:r>
      <w:r w:rsidRPr="009B4AAD">
        <w:rPr>
          <w:color w:val="000000"/>
          <w:sz w:val="24"/>
        </w:rPr>
        <w:t>、本基金收益分配按日结转份额。</w:t>
      </w:r>
    </w:p>
    <w:p w:rsidR="009B4AAD" w:rsidRPr="0078105B" w:rsidRDefault="009B4AAD" w:rsidP="009B4AAD">
      <w:pPr>
        <w:autoSpaceDE w:val="0"/>
        <w:autoSpaceDN w:val="0"/>
        <w:adjustRightInd w:val="0"/>
        <w:spacing w:before="29" w:line="288" w:lineRule="auto"/>
        <w:jc w:val="left"/>
        <w:rPr>
          <w:rFonts w:asciiTheme="minorEastAsia" w:eastAsiaTheme="minorEastAsia" w:hAnsiTheme="minorEastAsia"/>
          <w:color w:val="000000"/>
          <w:sz w:val="24"/>
        </w:rPr>
      </w:pPr>
    </w:p>
    <w:p w:rsidR="009D74FC" w:rsidRPr="00356E45" w:rsidRDefault="009D74FC" w:rsidP="00BA26A0">
      <w:pPr>
        <w:pStyle w:val="1"/>
        <w:spacing w:beforeLines="100" w:before="240" w:afterLines="100" w:after="240" w:line="288" w:lineRule="auto"/>
        <w:jc w:val="center"/>
        <w:rPr>
          <w:color w:val="000000"/>
          <w:kern w:val="0"/>
          <w:sz w:val="24"/>
          <w:szCs w:val="24"/>
        </w:rPr>
      </w:pPr>
      <w:r w:rsidRPr="00356E45">
        <w:rPr>
          <w:rFonts w:hint="eastAsia"/>
          <w:color w:val="000000"/>
          <w:kern w:val="0"/>
          <w:sz w:val="24"/>
          <w:szCs w:val="24"/>
        </w:rPr>
        <w:t>§</w:t>
      </w:r>
      <w:r w:rsidR="00930E3A" w:rsidRPr="00356E45">
        <w:rPr>
          <w:rFonts w:hint="eastAsia"/>
          <w:color w:val="000000"/>
          <w:kern w:val="0"/>
          <w:sz w:val="24"/>
          <w:szCs w:val="24"/>
        </w:rPr>
        <w:t>8</w:t>
      </w:r>
      <w:r w:rsidRPr="00356E45">
        <w:rPr>
          <w:rFonts w:hint="eastAsia"/>
          <w:color w:val="000000"/>
          <w:kern w:val="0"/>
          <w:sz w:val="24"/>
          <w:szCs w:val="24"/>
        </w:rPr>
        <w:t xml:space="preserve">  </w:t>
      </w:r>
      <w:r w:rsidRPr="00356E45">
        <w:rPr>
          <w:color w:val="000000"/>
          <w:kern w:val="0"/>
          <w:sz w:val="24"/>
          <w:szCs w:val="24"/>
        </w:rPr>
        <w:t>备查文件目录</w:t>
      </w:r>
    </w:p>
    <w:p w:rsidR="00980386" w:rsidRPr="00356E45" w:rsidRDefault="00930E3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006F30FA" w:rsidRPr="00356E45">
        <w:rPr>
          <w:b/>
          <w:color w:val="000000"/>
          <w:kern w:val="0"/>
          <w:sz w:val="24"/>
        </w:rPr>
        <w:t>.</w:t>
      </w:r>
      <w:r w:rsidR="006F30FA" w:rsidRPr="00356E45">
        <w:rPr>
          <w:rFonts w:hint="eastAsia"/>
          <w:b/>
          <w:color w:val="000000"/>
          <w:kern w:val="0"/>
          <w:sz w:val="24"/>
        </w:rPr>
        <w:t>1</w:t>
      </w:r>
      <w:r w:rsidR="00980386" w:rsidRPr="00356E45">
        <w:rPr>
          <w:b/>
          <w:color w:val="000000"/>
          <w:kern w:val="0"/>
          <w:sz w:val="24"/>
        </w:rPr>
        <w:t xml:space="preserve"> </w:t>
      </w:r>
      <w:r w:rsidR="00980386" w:rsidRPr="00356E45">
        <w:rPr>
          <w:rFonts w:hint="eastAsia"/>
          <w:b/>
          <w:color w:val="000000"/>
          <w:kern w:val="0"/>
          <w:sz w:val="24"/>
        </w:rPr>
        <w:t>备查文件目录</w:t>
      </w:r>
    </w:p>
    <w:p w:rsidR="00BD618B" w:rsidRDefault="00804C79">
      <w:pPr>
        <w:spacing w:before="29" w:line="288" w:lineRule="auto"/>
        <w:ind w:firstLineChars="200" w:firstLine="480"/>
        <w:rPr>
          <w:color w:val="000000"/>
          <w:sz w:val="24"/>
        </w:rPr>
      </w:pPr>
      <w:r>
        <w:rPr>
          <w:rFonts w:hint="eastAsia"/>
          <w:color w:val="000000"/>
          <w:sz w:val="24"/>
        </w:rPr>
        <w:t>1</w:t>
      </w:r>
      <w:r>
        <w:rPr>
          <w:rFonts w:hint="eastAsia"/>
          <w:color w:val="000000"/>
          <w:sz w:val="24"/>
        </w:rPr>
        <w:t>、中国证监会准予交银施罗德现金宝货币市场基金募集注册的文件；</w:t>
      </w:r>
      <w:r>
        <w:rPr>
          <w:rFonts w:hint="eastAsia"/>
          <w:color w:val="000000"/>
          <w:sz w:val="24"/>
        </w:rPr>
        <w:t xml:space="preserve"> </w:t>
      </w:r>
    </w:p>
    <w:p w:rsidR="00BD618B" w:rsidRDefault="00804C79">
      <w:pPr>
        <w:spacing w:before="29" w:line="288" w:lineRule="auto"/>
        <w:ind w:firstLineChars="200" w:firstLine="480"/>
        <w:rPr>
          <w:color w:val="000000"/>
          <w:sz w:val="24"/>
        </w:rPr>
      </w:pPr>
      <w:r>
        <w:rPr>
          <w:rFonts w:hint="eastAsia"/>
          <w:color w:val="000000"/>
          <w:sz w:val="24"/>
        </w:rPr>
        <w:t>2</w:t>
      </w:r>
      <w:r>
        <w:rPr>
          <w:rFonts w:hint="eastAsia"/>
          <w:color w:val="000000"/>
          <w:sz w:val="24"/>
        </w:rPr>
        <w:t>、《交银施罗德现金宝货币市场基金基金合同》；</w:t>
      </w:r>
      <w:r>
        <w:rPr>
          <w:rFonts w:hint="eastAsia"/>
          <w:color w:val="000000"/>
          <w:sz w:val="24"/>
        </w:rPr>
        <w:t xml:space="preserve"> </w:t>
      </w:r>
    </w:p>
    <w:p w:rsidR="00BD618B" w:rsidRDefault="00804C79">
      <w:pPr>
        <w:spacing w:before="29" w:line="288" w:lineRule="auto"/>
        <w:ind w:firstLineChars="200" w:firstLine="480"/>
        <w:rPr>
          <w:color w:val="000000"/>
          <w:sz w:val="24"/>
        </w:rPr>
      </w:pPr>
      <w:r>
        <w:rPr>
          <w:rFonts w:hint="eastAsia"/>
          <w:color w:val="000000"/>
          <w:sz w:val="24"/>
        </w:rPr>
        <w:t>3</w:t>
      </w:r>
      <w:r>
        <w:rPr>
          <w:rFonts w:hint="eastAsia"/>
          <w:color w:val="000000"/>
          <w:sz w:val="24"/>
        </w:rPr>
        <w:t>、《交银施罗德现金宝货币市场基金招募说明书》；</w:t>
      </w:r>
      <w:r>
        <w:rPr>
          <w:rFonts w:hint="eastAsia"/>
          <w:color w:val="000000"/>
          <w:sz w:val="24"/>
        </w:rPr>
        <w:t xml:space="preserve"> </w:t>
      </w:r>
    </w:p>
    <w:p w:rsidR="00BD618B" w:rsidRDefault="00804C79">
      <w:pPr>
        <w:spacing w:before="29" w:line="288" w:lineRule="auto"/>
        <w:ind w:firstLineChars="200" w:firstLine="480"/>
        <w:rPr>
          <w:color w:val="000000"/>
          <w:sz w:val="24"/>
        </w:rPr>
      </w:pPr>
      <w:r>
        <w:rPr>
          <w:rFonts w:hint="eastAsia"/>
          <w:color w:val="000000"/>
          <w:sz w:val="24"/>
        </w:rPr>
        <w:t>4</w:t>
      </w:r>
      <w:r>
        <w:rPr>
          <w:rFonts w:hint="eastAsia"/>
          <w:color w:val="000000"/>
          <w:sz w:val="24"/>
        </w:rPr>
        <w:t>、《交银施罗德现金宝货币市场基金托管协议》；</w:t>
      </w:r>
    </w:p>
    <w:p w:rsidR="00BD618B" w:rsidRDefault="00804C79">
      <w:pPr>
        <w:spacing w:before="29" w:line="288" w:lineRule="auto"/>
        <w:ind w:firstLineChars="200" w:firstLine="480"/>
        <w:rPr>
          <w:color w:val="000000"/>
          <w:sz w:val="24"/>
        </w:rPr>
      </w:pPr>
      <w:r>
        <w:rPr>
          <w:rFonts w:hint="eastAsia"/>
          <w:color w:val="000000"/>
          <w:sz w:val="24"/>
        </w:rPr>
        <w:t>5</w:t>
      </w:r>
      <w:r>
        <w:rPr>
          <w:rFonts w:hint="eastAsia"/>
          <w:color w:val="000000"/>
          <w:sz w:val="24"/>
        </w:rPr>
        <w:t>、关于申请募集交银施罗德现金宝货币市场基金的法律意见书；</w:t>
      </w:r>
    </w:p>
    <w:p w:rsidR="00BD618B" w:rsidRDefault="00804C79">
      <w:pPr>
        <w:spacing w:before="29" w:line="288" w:lineRule="auto"/>
        <w:ind w:firstLineChars="200" w:firstLine="480"/>
        <w:rPr>
          <w:color w:val="000000"/>
          <w:sz w:val="24"/>
        </w:rPr>
      </w:pPr>
      <w:r>
        <w:rPr>
          <w:rFonts w:hint="eastAsia"/>
          <w:color w:val="000000"/>
          <w:sz w:val="24"/>
        </w:rPr>
        <w:t>6</w:t>
      </w:r>
      <w:r>
        <w:rPr>
          <w:rFonts w:hint="eastAsia"/>
          <w:color w:val="000000"/>
          <w:sz w:val="24"/>
        </w:rPr>
        <w:t>、基金管理人业务资格批件、营业执照；</w:t>
      </w:r>
      <w:r>
        <w:rPr>
          <w:rFonts w:hint="eastAsia"/>
          <w:color w:val="000000"/>
          <w:sz w:val="24"/>
        </w:rPr>
        <w:t xml:space="preserve"> </w:t>
      </w:r>
    </w:p>
    <w:p w:rsidR="00BD618B" w:rsidRDefault="00804C79">
      <w:pPr>
        <w:spacing w:before="29" w:line="288" w:lineRule="auto"/>
        <w:ind w:firstLineChars="200" w:firstLine="480"/>
        <w:rPr>
          <w:color w:val="000000"/>
          <w:sz w:val="24"/>
        </w:rPr>
      </w:pPr>
      <w:r>
        <w:rPr>
          <w:rFonts w:hint="eastAsia"/>
          <w:color w:val="000000"/>
          <w:sz w:val="24"/>
        </w:rPr>
        <w:t>7</w:t>
      </w:r>
      <w:r>
        <w:rPr>
          <w:rFonts w:hint="eastAsia"/>
          <w:color w:val="000000"/>
          <w:sz w:val="24"/>
        </w:rPr>
        <w:t>、基金托管人业务资格批件、营业执照；</w:t>
      </w:r>
      <w:r>
        <w:rPr>
          <w:rFonts w:hint="eastAsia"/>
          <w:color w:val="000000"/>
          <w:sz w:val="24"/>
        </w:rPr>
        <w:t xml:space="preserve"> </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8</w:t>
      </w:r>
      <w:r w:rsidRPr="00356E45">
        <w:rPr>
          <w:rFonts w:hint="eastAsia"/>
          <w:color w:val="000000"/>
          <w:sz w:val="24"/>
        </w:rPr>
        <w:t>、报告期内交银施罗德现金宝货币市场基金在指定报刊上各项公告的原稿。</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Pr="00356E45">
        <w:rPr>
          <w:b/>
          <w:color w:val="000000"/>
          <w:kern w:val="0"/>
          <w:sz w:val="24"/>
        </w:rPr>
        <w:t>.</w:t>
      </w:r>
      <w:r w:rsidRPr="00356E45">
        <w:rPr>
          <w:rFonts w:hint="eastAsia"/>
          <w:b/>
          <w:color w:val="000000"/>
          <w:kern w:val="0"/>
          <w:sz w:val="24"/>
        </w:rPr>
        <w:t>2</w:t>
      </w:r>
      <w:r w:rsidR="00980386" w:rsidRPr="00356E45">
        <w:rPr>
          <w:b/>
          <w:color w:val="000000"/>
          <w:kern w:val="0"/>
          <w:sz w:val="24"/>
        </w:rPr>
        <w:t xml:space="preserve"> </w:t>
      </w:r>
      <w:r w:rsidR="00980386" w:rsidRPr="00356E45">
        <w:rPr>
          <w:rFonts w:hint="eastAsia"/>
          <w:b/>
          <w:color w:val="000000"/>
          <w:kern w:val="0"/>
          <w:sz w:val="24"/>
        </w:rPr>
        <w:t>存放地点</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备查文件存放于基金管理人的办公场所。</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Pr="00356E45">
        <w:rPr>
          <w:b/>
          <w:color w:val="000000"/>
          <w:kern w:val="0"/>
          <w:sz w:val="24"/>
        </w:rPr>
        <w:t>.</w:t>
      </w:r>
      <w:r w:rsidRPr="00356E45">
        <w:rPr>
          <w:rFonts w:hint="eastAsia"/>
          <w:b/>
          <w:color w:val="000000"/>
          <w:kern w:val="0"/>
          <w:sz w:val="24"/>
        </w:rPr>
        <w:t>3</w:t>
      </w:r>
      <w:r w:rsidR="00980386" w:rsidRPr="00356E45">
        <w:rPr>
          <w:b/>
          <w:color w:val="000000"/>
          <w:kern w:val="0"/>
          <w:sz w:val="24"/>
        </w:rPr>
        <w:t xml:space="preserve"> </w:t>
      </w:r>
      <w:r w:rsidR="00980386" w:rsidRPr="00356E45">
        <w:rPr>
          <w:rFonts w:hint="eastAsia"/>
          <w:b/>
          <w:color w:val="000000"/>
          <w:kern w:val="0"/>
          <w:sz w:val="24"/>
        </w:rPr>
        <w:t>查阅方式</w:t>
      </w:r>
    </w:p>
    <w:p w:rsidR="00BD618B" w:rsidRDefault="00804C79">
      <w:pPr>
        <w:tabs>
          <w:tab w:val="left" w:pos="5715"/>
        </w:tabs>
        <w:spacing w:before="29" w:line="288" w:lineRule="auto"/>
        <w:ind w:firstLineChars="200" w:firstLine="480"/>
        <w:rPr>
          <w:rFonts w:asciiTheme="minorEastAsia" w:eastAsiaTheme="minorEastAsia" w:hAnsiTheme="minorEastAsia"/>
          <w:color w:val="000000"/>
          <w:sz w:val="24"/>
        </w:rPr>
      </w:pPr>
      <w:r>
        <w:rPr>
          <w:rFonts w:hint="eastAsia"/>
          <w:color w:val="000000"/>
          <w:sz w:val="24"/>
        </w:rPr>
        <w:t>投资者可在办公时间内至基金管理人的办公场所免费查阅备查文件，或者登录基金管理人的网站</w:t>
      </w:r>
      <w:r>
        <w:rPr>
          <w:rFonts w:hint="eastAsia"/>
          <w:color w:val="000000"/>
          <w:sz w:val="24"/>
        </w:rPr>
        <w:t>(www.fund001.com</w:t>
      </w:r>
      <w:r>
        <w:rPr>
          <w:rFonts w:hint="eastAsia"/>
          <w:color w:val="000000"/>
          <w:sz w:val="24"/>
        </w:rPr>
        <w:t>，</w:t>
      </w:r>
      <w:r>
        <w:rPr>
          <w:rFonts w:hint="eastAsia"/>
          <w:color w:val="000000"/>
          <w:sz w:val="24"/>
        </w:rPr>
        <w:t>www.bocomschroder.com)</w:t>
      </w:r>
      <w:r>
        <w:rPr>
          <w:rFonts w:hint="eastAsia"/>
          <w:color w:val="000000"/>
          <w:sz w:val="24"/>
        </w:rPr>
        <w:t>查阅。在支付工本费后，投资者可在合理时间内取得上述文件的复制件或复印件。</w:t>
      </w:r>
      <w:r>
        <w:rPr>
          <w:rFonts w:hint="eastAsia"/>
          <w:color w:val="000000"/>
          <w:sz w:val="24"/>
        </w:rPr>
        <w:t xml:space="preserve"> </w:t>
      </w:r>
    </w:p>
    <w:p w:rsidR="004E3ADB" w:rsidRPr="006662B2" w:rsidRDefault="00980386" w:rsidP="00ED4FB7">
      <w:pPr>
        <w:tabs>
          <w:tab w:val="left" w:pos="5715"/>
        </w:tabs>
        <w:spacing w:before="29" w:line="288" w:lineRule="auto"/>
        <w:ind w:firstLineChars="200" w:firstLine="480"/>
        <w:rPr>
          <w:rFonts w:asciiTheme="minorEastAsia" w:eastAsiaTheme="minorEastAsia" w:hAnsiTheme="minorEastAsia"/>
          <w:color w:val="000000"/>
          <w:sz w:val="24"/>
        </w:rPr>
      </w:pPr>
      <w:r w:rsidRPr="00356E45">
        <w:rPr>
          <w:rFonts w:hint="eastAsia"/>
          <w:color w:val="000000"/>
          <w:sz w:val="24"/>
        </w:rPr>
        <w:t>投资者对本报告书如有疑问，可咨询本基金管理人交银施罗德基金管理有限公司。本公司客户服务中心电话：</w:t>
      </w:r>
      <w:r w:rsidRPr="00356E45">
        <w:rPr>
          <w:rFonts w:hint="eastAsia"/>
          <w:color w:val="000000"/>
          <w:sz w:val="24"/>
        </w:rPr>
        <w:t>400-700-5000</w:t>
      </w:r>
      <w:r w:rsidRPr="00356E45">
        <w:rPr>
          <w:rFonts w:hint="eastAsia"/>
          <w:color w:val="000000"/>
          <w:sz w:val="24"/>
        </w:rPr>
        <w:t>（免长途话费），</w:t>
      </w:r>
      <w:r w:rsidRPr="00356E45">
        <w:rPr>
          <w:rFonts w:hint="eastAsia"/>
          <w:color w:val="000000"/>
          <w:sz w:val="24"/>
        </w:rPr>
        <w:t>021-61055000</w:t>
      </w:r>
      <w:r w:rsidRPr="00356E45">
        <w:rPr>
          <w:rFonts w:hint="eastAsia"/>
          <w:color w:val="000000"/>
          <w:sz w:val="24"/>
        </w:rPr>
        <w:t>，电子邮件：</w:t>
      </w:r>
      <w:r w:rsidRPr="00356E45">
        <w:rPr>
          <w:rFonts w:hint="eastAsia"/>
          <w:color w:val="000000"/>
          <w:sz w:val="24"/>
        </w:rPr>
        <w:t>services@jysld.com</w:t>
      </w:r>
      <w:r w:rsidRPr="00356E45">
        <w:rPr>
          <w:rFonts w:hint="eastAsia"/>
          <w:color w:val="000000"/>
          <w:sz w:val="24"/>
        </w:rPr>
        <w:t>。</w:t>
      </w:r>
      <w:r w:rsidR="00ED4FB7">
        <w:rPr>
          <w:color w:val="000000"/>
          <w:sz w:val="24"/>
        </w:rPr>
        <w:tab/>
      </w:r>
    </w:p>
    <w:sectPr w:rsidR="004E3ADB" w:rsidRPr="006662B2" w:rsidSect="00A13382">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C4" w:rsidRDefault="00B61DC4">
      <w:r>
        <w:separator/>
      </w:r>
    </w:p>
  </w:endnote>
  <w:endnote w:type="continuationSeparator" w:id="0">
    <w:p w:rsidR="00B61DC4" w:rsidRDefault="00B6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A0" w:rsidRPr="001D0DB0" w:rsidRDefault="00BA26A0" w:rsidP="001D0DB0">
    <w:pPr>
      <w:pStyle w:val="a5"/>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E215C">
      <w:rPr>
        <w:noProof/>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E215C">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C4" w:rsidRDefault="00B61DC4">
      <w:r>
        <w:separator/>
      </w:r>
    </w:p>
  </w:footnote>
  <w:footnote w:type="continuationSeparator" w:id="0">
    <w:p w:rsidR="00B61DC4" w:rsidRDefault="00B61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A0" w:rsidRDefault="00BA26A0" w:rsidP="00FE5BB6">
    <w:pPr>
      <w:pStyle w:val="a4"/>
      <w:pBdr>
        <w:bottom w:val="single" w:sz="6" w:space="0" w:color="auto"/>
      </w:pBdr>
      <w:jc w:val="right"/>
    </w:pPr>
    <w:r w:rsidRPr="00795056">
      <w:rPr>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E4B"/>
    <w:rsid w:val="000014F3"/>
    <w:rsid w:val="000028CE"/>
    <w:rsid w:val="00004773"/>
    <w:rsid w:val="00004DE7"/>
    <w:rsid w:val="00005E2D"/>
    <w:rsid w:val="00014416"/>
    <w:rsid w:val="0001552D"/>
    <w:rsid w:val="00017C6F"/>
    <w:rsid w:val="00017E35"/>
    <w:rsid w:val="00021416"/>
    <w:rsid w:val="0004063B"/>
    <w:rsid w:val="00041165"/>
    <w:rsid w:val="000454BE"/>
    <w:rsid w:val="0004762D"/>
    <w:rsid w:val="00047661"/>
    <w:rsid w:val="00052CA4"/>
    <w:rsid w:val="0005518A"/>
    <w:rsid w:val="0005571F"/>
    <w:rsid w:val="00055790"/>
    <w:rsid w:val="00057D26"/>
    <w:rsid w:val="000636E5"/>
    <w:rsid w:val="0006697D"/>
    <w:rsid w:val="00066E52"/>
    <w:rsid w:val="00070092"/>
    <w:rsid w:val="000705C1"/>
    <w:rsid w:val="0007109E"/>
    <w:rsid w:val="00075CA2"/>
    <w:rsid w:val="000818ED"/>
    <w:rsid w:val="00082C37"/>
    <w:rsid w:val="000844BD"/>
    <w:rsid w:val="000851A7"/>
    <w:rsid w:val="00085416"/>
    <w:rsid w:val="000A2104"/>
    <w:rsid w:val="000A22A2"/>
    <w:rsid w:val="000A37D1"/>
    <w:rsid w:val="000B0144"/>
    <w:rsid w:val="000B1FC4"/>
    <w:rsid w:val="000B3935"/>
    <w:rsid w:val="000B4104"/>
    <w:rsid w:val="000B5BBD"/>
    <w:rsid w:val="000B61BE"/>
    <w:rsid w:val="000C1881"/>
    <w:rsid w:val="000C42BF"/>
    <w:rsid w:val="000D0F44"/>
    <w:rsid w:val="000D5E16"/>
    <w:rsid w:val="000D774B"/>
    <w:rsid w:val="000E13E9"/>
    <w:rsid w:val="000E2F13"/>
    <w:rsid w:val="000E6630"/>
    <w:rsid w:val="000F4826"/>
    <w:rsid w:val="000F4D02"/>
    <w:rsid w:val="00100A35"/>
    <w:rsid w:val="00100EC8"/>
    <w:rsid w:val="00101278"/>
    <w:rsid w:val="00103B93"/>
    <w:rsid w:val="001067D9"/>
    <w:rsid w:val="00113547"/>
    <w:rsid w:val="00114310"/>
    <w:rsid w:val="001170EA"/>
    <w:rsid w:val="00117451"/>
    <w:rsid w:val="00126B62"/>
    <w:rsid w:val="001302DB"/>
    <w:rsid w:val="00131317"/>
    <w:rsid w:val="0013369C"/>
    <w:rsid w:val="0014010A"/>
    <w:rsid w:val="001429FF"/>
    <w:rsid w:val="00142C60"/>
    <w:rsid w:val="001540CE"/>
    <w:rsid w:val="00157686"/>
    <w:rsid w:val="00161860"/>
    <w:rsid w:val="00177706"/>
    <w:rsid w:val="001806FA"/>
    <w:rsid w:val="00181585"/>
    <w:rsid w:val="0018401C"/>
    <w:rsid w:val="00186667"/>
    <w:rsid w:val="00190674"/>
    <w:rsid w:val="0019125A"/>
    <w:rsid w:val="00191B28"/>
    <w:rsid w:val="00192AF8"/>
    <w:rsid w:val="00193BCF"/>
    <w:rsid w:val="001956EA"/>
    <w:rsid w:val="00195C6F"/>
    <w:rsid w:val="001A0592"/>
    <w:rsid w:val="001A19C5"/>
    <w:rsid w:val="001C5D80"/>
    <w:rsid w:val="001D0D4C"/>
    <w:rsid w:val="001D0DB0"/>
    <w:rsid w:val="001D3FAC"/>
    <w:rsid w:val="001D54B1"/>
    <w:rsid w:val="001D6ECD"/>
    <w:rsid w:val="001E0091"/>
    <w:rsid w:val="001E0E8C"/>
    <w:rsid w:val="001E15D3"/>
    <w:rsid w:val="001F0286"/>
    <w:rsid w:val="001F302C"/>
    <w:rsid w:val="001F6D09"/>
    <w:rsid w:val="001F6FF8"/>
    <w:rsid w:val="001F78C1"/>
    <w:rsid w:val="0020640F"/>
    <w:rsid w:val="00210C5D"/>
    <w:rsid w:val="0021147F"/>
    <w:rsid w:val="002204D2"/>
    <w:rsid w:val="00221191"/>
    <w:rsid w:val="0022445E"/>
    <w:rsid w:val="002315C8"/>
    <w:rsid w:val="00232095"/>
    <w:rsid w:val="002357A0"/>
    <w:rsid w:val="00236975"/>
    <w:rsid w:val="00245004"/>
    <w:rsid w:val="00251E3E"/>
    <w:rsid w:val="0025252D"/>
    <w:rsid w:val="002525C7"/>
    <w:rsid w:val="00254040"/>
    <w:rsid w:val="00254D0D"/>
    <w:rsid w:val="002623A6"/>
    <w:rsid w:val="00267283"/>
    <w:rsid w:val="00274097"/>
    <w:rsid w:val="002743E3"/>
    <w:rsid w:val="00274FAC"/>
    <w:rsid w:val="00280B02"/>
    <w:rsid w:val="0028250D"/>
    <w:rsid w:val="0029158C"/>
    <w:rsid w:val="0029234B"/>
    <w:rsid w:val="002A62FC"/>
    <w:rsid w:val="002A7841"/>
    <w:rsid w:val="002B45A4"/>
    <w:rsid w:val="002B48E3"/>
    <w:rsid w:val="002C2123"/>
    <w:rsid w:val="002C22D6"/>
    <w:rsid w:val="002C6604"/>
    <w:rsid w:val="002C7D48"/>
    <w:rsid w:val="002D691E"/>
    <w:rsid w:val="002E0F4A"/>
    <w:rsid w:val="002E0F7F"/>
    <w:rsid w:val="002E12CD"/>
    <w:rsid w:val="002E333F"/>
    <w:rsid w:val="002E4DBF"/>
    <w:rsid w:val="002E65E3"/>
    <w:rsid w:val="002F40B8"/>
    <w:rsid w:val="002F6539"/>
    <w:rsid w:val="003076EF"/>
    <w:rsid w:val="00311ADA"/>
    <w:rsid w:val="00314C64"/>
    <w:rsid w:val="003220F0"/>
    <w:rsid w:val="00322F2E"/>
    <w:rsid w:val="003306EE"/>
    <w:rsid w:val="00331DA0"/>
    <w:rsid w:val="00332EA4"/>
    <w:rsid w:val="00340C3A"/>
    <w:rsid w:val="00343AF0"/>
    <w:rsid w:val="00346B82"/>
    <w:rsid w:val="00347167"/>
    <w:rsid w:val="00351044"/>
    <w:rsid w:val="0035215C"/>
    <w:rsid w:val="0035649D"/>
    <w:rsid w:val="00356E45"/>
    <w:rsid w:val="0035705A"/>
    <w:rsid w:val="003622A7"/>
    <w:rsid w:val="00371E26"/>
    <w:rsid w:val="003743E1"/>
    <w:rsid w:val="0038095B"/>
    <w:rsid w:val="00384942"/>
    <w:rsid w:val="003856CF"/>
    <w:rsid w:val="00386903"/>
    <w:rsid w:val="00387992"/>
    <w:rsid w:val="00391065"/>
    <w:rsid w:val="003923B3"/>
    <w:rsid w:val="00395151"/>
    <w:rsid w:val="00397A1A"/>
    <w:rsid w:val="003A1397"/>
    <w:rsid w:val="003A169E"/>
    <w:rsid w:val="003A49D5"/>
    <w:rsid w:val="003B36DD"/>
    <w:rsid w:val="003B4633"/>
    <w:rsid w:val="003B6DC6"/>
    <w:rsid w:val="003B709E"/>
    <w:rsid w:val="003C0E8C"/>
    <w:rsid w:val="003C1137"/>
    <w:rsid w:val="003D0B35"/>
    <w:rsid w:val="003D0E87"/>
    <w:rsid w:val="003E14FE"/>
    <w:rsid w:val="003E1FB8"/>
    <w:rsid w:val="003F0835"/>
    <w:rsid w:val="003F1312"/>
    <w:rsid w:val="003F468F"/>
    <w:rsid w:val="003F65C4"/>
    <w:rsid w:val="003F6B4D"/>
    <w:rsid w:val="004010F4"/>
    <w:rsid w:val="00401D61"/>
    <w:rsid w:val="00402654"/>
    <w:rsid w:val="00403ED2"/>
    <w:rsid w:val="00406A01"/>
    <w:rsid w:val="00422BC7"/>
    <w:rsid w:val="0042456A"/>
    <w:rsid w:val="004250C5"/>
    <w:rsid w:val="00425438"/>
    <w:rsid w:val="00426FAD"/>
    <w:rsid w:val="00427505"/>
    <w:rsid w:val="00431618"/>
    <w:rsid w:val="004359DF"/>
    <w:rsid w:val="004369B0"/>
    <w:rsid w:val="00437706"/>
    <w:rsid w:val="00440C71"/>
    <w:rsid w:val="0044257C"/>
    <w:rsid w:val="0045068A"/>
    <w:rsid w:val="004538AA"/>
    <w:rsid w:val="0045641F"/>
    <w:rsid w:val="00460000"/>
    <w:rsid w:val="00462488"/>
    <w:rsid w:val="00463CA8"/>
    <w:rsid w:val="004677E5"/>
    <w:rsid w:val="0047191A"/>
    <w:rsid w:val="004730A9"/>
    <w:rsid w:val="004730B4"/>
    <w:rsid w:val="00474896"/>
    <w:rsid w:val="004749BC"/>
    <w:rsid w:val="00474A43"/>
    <w:rsid w:val="004771B9"/>
    <w:rsid w:val="0048086E"/>
    <w:rsid w:val="004817F4"/>
    <w:rsid w:val="00482548"/>
    <w:rsid w:val="00492647"/>
    <w:rsid w:val="004926EE"/>
    <w:rsid w:val="00493304"/>
    <w:rsid w:val="00494F41"/>
    <w:rsid w:val="004A18CB"/>
    <w:rsid w:val="004A1A8E"/>
    <w:rsid w:val="004A2432"/>
    <w:rsid w:val="004A46A0"/>
    <w:rsid w:val="004A5FCE"/>
    <w:rsid w:val="004A672F"/>
    <w:rsid w:val="004B1C09"/>
    <w:rsid w:val="004B26A7"/>
    <w:rsid w:val="004B5DCF"/>
    <w:rsid w:val="004B7B7F"/>
    <w:rsid w:val="004C3FA9"/>
    <w:rsid w:val="004D22E1"/>
    <w:rsid w:val="004D5065"/>
    <w:rsid w:val="004E041A"/>
    <w:rsid w:val="004E2D41"/>
    <w:rsid w:val="004E3ADB"/>
    <w:rsid w:val="004E7F2B"/>
    <w:rsid w:val="004F3020"/>
    <w:rsid w:val="004F72E6"/>
    <w:rsid w:val="00512FE1"/>
    <w:rsid w:val="005141F5"/>
    <w:rsid w:val="0051578D"/>
    <w:rsid w:val="00520731"/>
    <w:rsid w:val="00527876"/>
    <w:rsid w:val="00534548"/>
    <w:rsid w:val="005431D8"/>
    <w:rsid w:val="0054785C"/>
    <w:rsid w:val="005519B1"/>
    <w:rsid w:val="00555883"/>
    <w:rsid w:val="00560D73"/>
    <w:rsid w:val="00561E69"/>
    <w:rsid w:val="005632B4"/>
    <w:rsid w:val="005633AD"/>
    <w:rsid w:val="005648A3"/>
    <w:rsid w:val="00567BAC"/>
    <w:rsid w:val="00575970"/>
    <w:rsid w:val="005773D6"/>
    <w:rsid w:val="00582960"/>
    <w:rsid w:val="00591814"/>
    <w:rsid w:val="00591E69"/>
    <w:rsid w:val="00592D0A"/>
    <w:rsid w:val="00594DCA"/>
    <w:rsid w:val="00595C4A"/>
    <w:rsid w:val="00596386"/>
    <w:rsid w:val="005A26FF"/>
    <w:rsid w:val="005A4EEA"/>
    <w:rsid w:val="005A5389"/>
    <w:rsid w:val="005A7626"/>
    <w:rsid w:val="005B15BD"/>
    <w:rsid w:val="005B527B"/>
    <w:rsid w:val="005B697D"/>
    <w:rsid w:val="005C3412"/>
    <w:rsid w:val="005C6D15"/>
    <w:rsid w:val="005E05CC"/>
    <w:rsid w:val="005E2087"/>
    <w:rsid w:val="005E2EDD"/>
    <w:rsid w:val="005E6FA5"/>
    <w:rsid w:val="005F1846"/>
    <w:rsid w:val="005F270C"/>
    <w:rsid w:val="005F409A"/>
    <w:rsid w:val="005F46DA"/>
    <w:rsid w:val="00607DCB"/>
    <w:rsid w:val="00610D87"/>
    <w:rsid w:val="00611AEC"/>
    <w:rsid w:val="00613327"/>
    <w:rsid w:val="00614780"/>
    <w:rsid w:val="00615148"/>
    <w:rsid w:val="00615ED9"/>
    <w:rsid w:val="006169F7"/>
    <w:rsid w:val="00617ADB"/>
    <w:rsid w:val="0062091D"/>
    <w:rsid w:val="0062127F"/>
    <w:rsid w:val="006268E8"/>
    <w:rsid w:val="00626BEF"/>
    <w:rsid w:val="00631312"/>
    <w:rsid w:val="00631C0B"/>
    <w:rsid w:val="0063302E"/>
    <w:rsid w:val="00636553"/>
    <w:rsid w:val="00637395"/>
    <w:rsid w:val="00637E6E"/>
    <w:rsid w:val="00642494"/>
    <w:rsid w:val="0065055A"/>
    <w:rsid w:val="0065220D"/>
    <w:rsid w:val="0065614E"/>
    <w:rsid w:val="00661E17"/>
    <w:rsid w:val="00664834"/>
    <w:rsid w:val="006662B2"/>
    <w:rsid w:val="0067057E"/>
    <w:rsid w:val="0067106E"/>
    <w:rsid w:val="00673BA5"/>
    <w:rsid w:val="00673ED8"/>
    <w:rsid w:val="00681200"/>
    <w:rsid w:val="00683E0D"/>
    <w:rsid w:val="00687B3E"/>
    <w:rsid w:val="006911A1"/>
    <w:rsid w:val="00691A38"/>
    <w:rsid w:val="00695A7B"/>
    <w:rsid w:val="0069632C"/>
    <w:rsid w:val="006A07F9"/>
    <w:rsid w:val="006A1E40"/>
    <w:rsid w:val="006A2A4A"/>
    <w:rsid w:val="006A2D00"/>
    <w:rsid w:val="006A2EE4"/>
    <w:rsid w:val="006A40AB"/>
    <w:rsid w:val="006A4382"/>
    <w:rsid w:val="006B25FD"/>
    <w:rsid w:val="006B2BB6"/>
    <w:rsid w:val="006B4C67"/>
    <w:rsid w:val="006B6EF4"/>
    <w:rsid w:val="006C30D6"/>
    <w:rsid w:val="006C593A"/>
    <w:rsid w:val="006C6323"/>
    <w:rsid w:val="006D2FC6"/>
    <w:rsid w:val="006D4C22"/>
    <w:rsid w:val="006D56D3"/>
    <w:rsid w:val="006E05E1"/>
    <w:rsid w:val="006E360D"/>
    <w:rsid w:val="006F30FA"/>
    <w:rsid w:val="006F44DE"/>
    <w:rsid w:val="006F622C"/>
    <w:rsid w:val="00710487"/>
    <w:rsid w:val="00714B3D"/>
    <w:rsid w:val="007160BD"/>
    <w:rsid w:val="007277D1"/>
    <w:rsid w:val="00727EA0"/>
    <w:rsid w:val="0073105A"/>
    <w:rsid w:val="00737A36"/>
    <w:rsid w:val="00741288"/>
    <w:rsid w:val="007478BF"/>
    <w:rsid w:val="00751966"/>
    <w:rsid w:val="00752660"/>
    <w:rsid w:val="00756489"/>
    <w:rsid w:val="0076066F"/>
    <w:rsid w:val="00761E9C"/>
    <w:rsid w:val="00762E87"/>
    <w:rsid w:val="00765001"/>
    <w:rsid w:val="007656D4"/>
    <w:rsid w:val="00771109"/>
    <w:rsid w:val="007723FD"/>
    <w:rsid w:val="00772687"/>
    <w:rsid w:val="00775892"/>
    <w:rsid w:val="00780252"/>
    <w:rsid w:val="007809AA"/>
    <w:rsid w:val="0079212D"/>
    <w:rsid w:val="00795056"/>
    <w:rsid w:val="007952CD"/>
    <w:rsid w:val="007A518C"/>
    <w:rsid w:val="007A7FBE"/>
    <w:rsid w:val="007B1C3E"/>
    <w:rsid w:val="007B389A"/>
    <w:rsid w:val="007B632F"/>
    <w:rsid w:val="007C11C3"/>
    <w:rsid w:val="007C42E5"/>
    <w:rsid w:val="007C6A87"/>
    <w:rsid w:val="007D20F5"/>
    <w:rsid w:val="007D27C2"/>
    <w:rsid w:val="007D38EA"/>
    <w:rsid w:val="007E0C74"/>
    <w:rsid w:val="007E1201"/>
    <w:rsid w:val="007E1F7F"/>
    <w:rsid w:val="007E4113"/>
    <w:rsid w:val="007F500A"/>
    <w:rsid w:val="007F525E"/>
    <w:rsid w:val="007F7B68"/>
    <w:rsid w:val="00804C79"/>
    <w:rsid w:val="00806609"/>
    <w:rsid w:val="00806882"/>
    <w:rsid w:val="00806E79"/>
    <w:rsid w:val="00811188"/>
    <w:rsid w:val="008115B6"/>
    <w:rsid w:val="00814461"/>
    <w:rsid w:val="0082024F"/>
    <w:rsid w:val="00825EA5"/>
    <w:rsid w:val="00833555"/>
    <w:rsid w:val="008347B3"/>
    <w:rsid w:val="0084013B"/>
    <w:rsid w:val="008424EC"/>
    <w:rsid w:val="00843E53"/>
    <w:rsid w:val="008462A0"/>
    <w:rsid w:val="00850906"/>
    <w:rsid w:val="00851F57"/>
    <w:rsid w:val="008526B4"/>
    <w:rsid w:val="008604A9"/>
    <w:rsid w:val="0086245E"/>
    <w:rsid w:val="008713AD"/>
    <w:rsid w:val="008727C5"/>
    <w:rsid w:val="00880EE6"/>
    <w:rsid w:val="00882EE2"/>
    <w:rsid w:val="00885212"/>
    <w:rsid w:val="00890FC3"/>
    <w:rsid w:val="008A0619"/>
    <w:rsid w:val="008A2D02"/>
    <w:rsid w:val="008B3CD0"/>
    <w:rsid w:val="008B7FBD"/>
    <w:rsid w:val="008C4607"/>
    <w:rsid w:val="008C7286"/>
    <w:rsid w:val="008C7777"/>
    <w:rsid w:val="008D023F"/>
    <w:rsid w:val="008D0F13"/>
    <w:rsid w:val="008D2EEC"/>
    <w:rsid w:val="008D4143"/>
    <w:rsid w:val="008E4638"/>
    <w:rsid w:val="008F0481"/>
    <w:rsid w:val="008F1ECB"/>
    <w:rsid w:val="008F44F3"/>
    <w:rsid w:val="008F7E56"/>
    <w:rsid w:val="00900445"/>
    <w:rsid w:val="009004F7"/>
    <w:rsid w:val="00902E3F"/>
    <w:rsid w:val="00903BD4"/>
    <w:rsid w:val="00903E98"/>
    <w:rsid w:val="00904247"/>
    <w:rsid w:val="00914C4D"/>
    <w:rsid w:val="009153D7"/>
    <w:rsid w:val="00915775"/>
    <w:rsid w:val="00924422"/>
    <w:rsid w:val="00925C97"/>
    <w:rsid w:val="0092641C"/>
    <w:rsid w:val="00926A13"/>
    <w:rsid w:val="00930BA7"/>
    <w:rsid w:val="00930E3A"/>
    <w:rsid w:val="00936A19"/>
    <w:rsid w:val="00937B34"/>
    <w:rsid w:val="0094213C"/>
    <w:rsid w:val="00943183"/>
    <w:rsid w:val="00943AFD"/>
    <w:rsid w:val="009449E3"/>
    <w:rsid w:val="009452B9"/>
    <w:rsid w:val="0095221F"/>
    <w:rsid w:val="009551BF"/>
    <w:rsid w:val="0095721A"/>
    <w:rsid w:val="009674D7"/>
    <w:rsid w:val="009715B5"/>
    <w:rsid w:val="00971A57"/>
    <w:rsid w:val="00971D35"/>
    <w:rsid w:val="009751C6"/>
    <w:rsid w:val="009802DA"/>
    <w:rsid w:val="00980386"/>
    <w:rsid w:val="0098181F"/>
    <w:rsid w:val="00983FC2"/>
    <w:rsid w:val="009850F4"/>
    <w:rsid w:val="00987069"/>
    <w:rsid w:val="009912EF"/>
    <w:rsid w:val="009A1A3A"/>
    <w:rsid w:val="009A52A5"/>
    <w:rsid w:val="009B0994"/>
    <w:rsid w:val="009B0DD7"/>
    <w:rsid w:val="009B2693"/>
    <w:rsid w:val="009B2BC4"/>
    <w:rsid w:val="009B4AAD"/>
    <w:rsid w:val="009B4CA6"/>
    <w:rsid w:val="009C01AB"/>
    <w:rsid w:val="009C1A42"/>
    <w:rsid w:val="009C1DE9"/>
    <w:rsid w:val="009C5083"/>
    <w:rsid w:val="009C53F8"/>
    <w:rsid w:val="009C63AB"/>
    <w:rsid w:val="009D063F"/>
    <w:rsid w:val="009D0796"/>
    <w:rsid w:val="009D2F0E"/>
    <w:rsid w:val="009D60EB"/>
    <w:rsid w:val="009D74FC"/>
    <w:rsid w:val="009E07F4"/>
    <w:rsid w:val="009E215C"/>
    <w:rsid w:val="009E2BAA"/>
    <w:rsid w:val="009E4169"/>
    <w:rsid w:val="009E4601"/>
    <w:rsid w:val="009F28CA"/>
    <w:rsid w:val="009F39B0"/>
    <w:rsid w:val="009F3C40"/>
    <w:rsid w:val="009F4C55"/>
    <w:rsid w:val="009F66E8"/>
    <w:rsid w:val="00A13382"/>
    <w:rsid w:val="00A147F8"/>
    <w:rsid w:val="00A1530B"/>
    <w:rsid w:val="00A16747"/>
    <w:rsid w:val="00A17A92"/>
    <w:rsid w:val="00A207E5"/>
    <w:rsid w:val="00A4057D"/>
    <w:rsid w:val="00A467D4"/>
    <w:rsid w:val="00A5064D"/>
    <w:rsid w:val="00A51719"/>
    <w:rsid w:val="00A530BA"/>
    <w:rsid w:val="00A56135"/>
    <w:rsid w:val="00A62762"/>
    <w:rsid w:val="00A63B36"/>
    <w:rsid w:val="00A64B4F"/>
    <w:rsid w:val="00A67179"/>
    <w:rsid w:val="00A67244"/>
    <w:rsid w:val="00A710D9"/>
    <w:rsid w:val="00A73419"/>
    <w:rsid w:val="00A7349A"/>
    <w:rsid w:val="00A734B9"/>
    <w:rsid w:val="00A77FBA"/>
    <w:rsid w:val="00A80F9F"/>
    <w:rsid w:val="00A81075"/>
    <w:rsid w:val="00A8129A"/>
    <w:rsid w:val="00A862D0"/>
    <w:rsid w:val="00A95FA9"/>
    <w:rsid w:val="00AA7575"/>
    <w:rsid w:val="00AB3B0D"/>
    <w:rsid w:val="00AB7E6A"/>
    <w:rsid w:val="00AC0359"/>
    <w:rsid w:val="00AC1C28"/>
    <w:rsid w:val="00AC2B47"/>
    <w:rsid w:val="00AC4576"/>
    <w:rsid w:val="00AC7FEB"/>
    <w:rsid w:val="00AD0175"/>
    <w:rsid w:val="00AD12A2"/>
    <w:rsid w:val="00AD28A5"/>
    <w:rsid w:val="00AD2E4E"/>
    <w:rsid w:val="00AD2F99"/>
    <w:rsid w:val="00AD3AAD"/>
    <w:rsid w:val="00AD752F"/>
    <w:rsid w:val="00AE0143"/>
    <w:rsid w:val="00AE17F1"/>
    <w:rsid w:val="00AE2FB9"/>
    <w:rsid w:val="00AE4F96"/>
    <w:rsid w:val="00AE6D9A"/>
    <w:rsid w:val="00AE76C5"/>
    <w:rsid w:val="00AF185F"/>
    <w:rsid w:val="00AF2397"/>
    <w:rsid w:val="00B0226E"/>
    <w:rsid w:val="00B05537"/>
    <w:rsid w:val="00B0789C"/>
    <w:rsid w:val="00B12E72"/>
    <w:rsid w:val="00B306EF"/>
    <w:rsid w:val="00B33FA5"/>
    <w:rsid w:val="00B415B8"/>
    <w:rsid w:val="00B44F2F"/>
    <w:rsid w:val="00B46885"/>
    <w:rsid w:val="00B47322"/>
    <w:rsid w:val="00B53A17"/>
    <w:rsid w:val="00B55F93"/>
    <w:rsid w:val="00B5600C"/>
    <w:rsid w:val="00B612AB"/>
    <w:rsid w:val="00B61DC4"/>
    <w:rsid w:val="00B65891"/>
    <w:rsid w:val="00B76977"/>
    <w:rsid w:val="00B83944"/>
    <w:rsid w:val="00B906B6"/>
    <w:rsid w:val="00B9544E"/>
    <w:rsid w:val="00B95A4B"/>
    <w:rsid w:val="00BA26A0"/>
    <w:rsid w:val="00BA2F6A"/>
    <w:rsid w:val="00BA3FBE"/>
    <w:rsid w:val="00BA5353"/>
    <w:rsid w:val="00BA5E15"/>
    <w:rsid w:val="00BA7C71"/>
    <w:rsid w:val="00BB1640"/>
    <w:rsid w:val="00BB2469"/>
    <w:rsid w:val="00BB4C11"/>
    <w:rsid w:val="00BB7518"/>
    <w:rsid w:val="00BB7638"/>
    <w:rsid w:val="00BC144F"/>
    <w:rsid w:val="00BC2146"/>
    <w:rsid w:val="00BC2D23"/>
    <w:rsid w:val="00BC4CF1"/>
    <w:rsid w:val="00BC4DD4"/>
    <w:rsid w:val="00BC63DF"/>
    <w:rsid w:val="00BD1FF6"/>
    <w:rsid w:val="00BD57A8"/>
    <w:rsid w:val="00BD618B"/>
    <w:rsid w:val="00BD6918"/>
    <w:rsid w:val="00BE0F50"/>
    <w:rsid w:val="00BE1E45"/>
    <w:rsid w:val="00BF1894"/>
    <w:rsid w:val="00BF59DE"/>
    <w:rsid w:val="00C04DE1"/>
    <w:rsid w:val="00C10D80"/>
    <w:rsid w:val="00C1461A"/>
    <w:rsid w:val="00C14EDC"/>
    <w:rsid w:val="00C25C54"/>
    <w:rsid w:val="00C27CF9"/>
    <w:rsid w:val="00C27F61"/>
    <w:rsid w:val="00C30110"/>
    <w:rsid w:val="00C31708"/>
    <w:rsid w:val="00C3183C"/>
    <w:rsid w:val="00C32E36"/>
    <w:rsid w:val="00C40458"/>
    <w:rsid w:val="00C4119D"/>
    <w:rsid w:val="00C43397"/>
    <w:rsid w:val="00C4492C"/>
    <w:rsid w:val="00C45B13"/>
    <w:rsid w:val="00C50BA8"/>
    <w:rsid w:val="00C52039"/>
    <w:rsid w:val="00C6089D"/>
    <w:rsid w:val="00C637D1"/>
    <w:rsid w:val="00C7033B"/>
    <w:rsid w:val="00C71204"/>
    <w:rsid w:val="00C72367"/>
    <w:rsid w:val="00C77252"/>
    <w:rsid w:val="00C82A05"/>
    <w:rsid w:val="00C83157"/>
    <w:rsid w:val="00C83F70"/>
    <w:rsid w:val="00C841C9"/>
    <w:rsid w:val="00C84CCE"/>
    <w:rsid w:val="00C855A3"/>
    <w:rsid w:val="00C86529"/>
    <w:rsid w:val="00C92014"/>
    <w:rsid w:val="00C938AF"/>
    <w:rsid w:val="00CA0F59"/>
    <w:rsid w:val="00CA3808"/>
    <w:rsid w:val="00CA640D"/>
    <w:rsid w:val="00CB08EA"/>
    <w:rsid w:val="00CB1AEB"/>
    <w:rsid w:val="00CB2552"/>
    <w:rsid w:val="00CB6A05"/>
    <w:rsid w:val="00CC098E"/>
    <w:rsid w:val="00CC0A34"/>
    <w:rsid w:val="00CC7A4E"/>
    <w:rsid w:val="00CD08B5"/>
    <w:rsid w:val="00CD2D0C"/>
    <w:rsid w:val="00CD3718"/>
    <w:rsid w:val="00CD4C0D"/>
    <w:rsid w:val="00CE0E18"/>
    <w:rsid w:val="00CE193A"/>
    <w:rsid w:val="00CE1F91"/>
    <w:rsid w:val="00CE636F"/>
    <w:rsid w:val="00D15D82"/>
    <w:rsid w:val="00D23538"/>
    <w:rsid w:val="00D25291"/>
    <w:rsid w:val="00D25602"/>
    <w:rsid w:val="00D25A77"/>
    <w:rsid w:val="00D2743E"/>
    <w:rsid w:val="00D33791"/>
    <w:rsid w:val="00D33BA8"/>
    <w:rsid w:val="00D353E9"/>
    <w:rsid w:val="00D35F99"/>
    <w:rsid w:val="00D43232"/>
    <w:rsid w:val="00D44E95"/>
    <w:rsid w:val="00D47A56"/>
    <w:rsid w:val="00D51E96"/>
    <w:rsid w:val="00D521DA"/>
    <w:rsid w:val="00D638E8"/>
    <w:rsid w:val="00D63B9E"/>
    <w:rsid w:val="00D64248"/>
    <w:rsid w:val="00D65D90"/>
    <w:rsid w:val="00D769BA"/>
    <w:rsid w:val="00D7751B"/>
    <w:rsid w:val="00D8034F"/>
    <w:rsid w:val="00D840C9"/>
    <w:rsid w:val="00D93109"/>
    <w:rsid w:val="00D9412B"/>
    <w:rsid w:val="00DA2F1E"/>
    <w:rsid w:val="00DA3451"/>
    <w:rsid w:val="00DA511D"/>
    <w:rsid w:val="00DA5975"/>
    <w:rsid w:val="00DA67B3"/>
    <w:rsid w:val="00DA6A4F"/>
    <w:rsid w:val="00DB2873"/>
    <w:rsid w:val="00DC101E"/>
    <w:rsid w:val="00DC22F9"/>
    <w:rsid w:val="00DC4482"/>
    <w:rsid w:val="00DD5028"/>
    <w:rsid w:val="00DD590E"/>
    <w:rsid w:val="00DD6704"/>
    <w:rsid w:val="00DE0D94"/>
    <w:rsid w:val="00DF39E3"/>
    <w:rsid w:val="00DF3E1E"/>
    <w:rsid w:val="00DF45D5"/>
    <w:rsid w:val="00DF53EE"/>
    <w:rsid w:val="00E0237F"/>
    <w:rsid w:val="00E04AF5"/>
    <w:rsid w:val="00E069B5"/>
    <w:rsid w:val="00E13B22"/>
    <w:rsid w:val="00E145BC"/>
    <w:rsid w:val="00E149A5"/>
    <w:rsid w:val="00E14F95"/>
    <w:rsid w:val="00E151DF"/>
    <w:rsid w:val="00E21589"/>
    <w:rsid w:val="00E22F73"/>
    <w:rsid w:val="00E23CF8"/>
    <w:rsid w:val="00E24D9E"/>
    <w:rsid w:val="00E264BD"/>
    <w:rsid w:val="00E26581"/>
    <w:rsid w:val="00E2722E"/>
    <w:rsid w:val="00E30517"/>
    <w:rsid w:val="00E431CE"/>
    <w:rsid w:val="00E4440D"/>
    <w:rsid w:val="00E445F8"/>
    <w:rsid w:val="00E507FD"/>
    <w:rsid w:val="00E611A2"/>
    <w:rsid w:val="00E61DC5"/>
    <w:rsid w:val="00E6219D"/>
    <w:rsid w:val="00E64BF4"/>
    <w:rsid w:val="00E70188"/>
    <w:rsid w:val="00E73AE5"/>
    <w:rsid w:val="00E76913"/>
    <w:rsid w:val="00E83136"/>
    <w:rsid w:val="00E84450"/>
    <w:rsid w:val="00E84A2D"/>
    <w:rsid w:val="00E85AC9"/>
    <w:rsid w:val="00E85CF2"/>
    <w:rsid w:val="00E8653E"/>
    <w:rsid w:val="00E92AA8"/>
    <w:rsid w:val="00E92D23"/>
    <w:rsid w:val="00E9312A"/>
    <w:rsid w:val="00E95356"/>
    <w:rsid w:val="00E966E5"/>
    <w:rsid w:val="00EA0BA4"/>
    <w:rsid w:val="00EA1C82"/>
    <w:rsid w:val="00EA3D96"/>
    <w:rsid w:val="00EA4D5C"/>
    <w:rsid w:val="00EA6B7B"/>
    <w:rsid w:val="00EB2A39"/>
    <w:rsid w:val="00EB2C41"/>
    <w:rsid w:val="00EB3346"/>
    <w:rsid w:val="00EB3D8B"/>
    <w:rsid w:val="00EB4276"/>
    <w:rsid w:val="00EB5186"/>
    <w:rsid w:val="00EB5F2B"/>
    <w:rsid w:val="00EC0CB3"/>
    <w:rsid w:val="00EC483F"/>
    <w:rsid w:val="00EC5D1C"/>
    <w:rsid w:val="00ED1110"/>
    <w:rsid w:val="00ED1B77"/>
    <w:rsid w:val="00ED2E5D"/>
    <w:rsid w:val="00ED4FB7"/>
    <w:rsid w:val="00ED57D1"/>
    <w:rsid w:val="00ED622B"/>
    <w:rsid w:val="00ED7185"/>
    <w:rsid w:val="00EE38A8"/>
    <w:rsid w:val="00EE661A"/>
    <w:rsid w:val="00EF3994"/>
    <w:rsid w:val="00EF4595"/>
    <w:rsid w:val="00EF6216"/>
    <w:rsid w:val="00F0251A"/>
    <w:rsid w:val="00F029D6"/>
    <w:rsid w:val="00F0366E"/>
    <w:rsid w:val="00F03F87"/>
    <w:rsid w:val="00F048DE"/>
    <w:rsid w:val="00F05253"/>
    <w:rsid w:val="00F12547"/>
    <w:rsid w:val="00F13F24"/>
    <w:rsid w:val="00F14A7B"/>
    <w:rsid w:val="00F17736"/>
    <w:rsid w:val="00F2540D"/>
    <w:rsid w:val="00F32DEE"/>
    <w:rsid w:val="00F36B9C"/>
    <w:rsid w:val="00F40C82"/>
    <w:rsid w:val="00F42A76"/>
    <w:rsid w:val="00F4541F"/>
    <w:rsid w:val="00F53B1A"/>
    <w:rsid w:val="00F54568"/>
    <w:rsid w:val="00F54E4B"/>
    <w:rsid w:val="00F5602C"/>
    <w:rsid w:val="00F570FD"/>
    <w:rsid w:val="00F57249"/>
    <w:rsid w:val="00F61508"/>
    <w:rsid w:val="00F62617"/>
    <w:rsid w:val="00F62DE3"/>
    <w:rsid w:val="00F632F6"/>
    <w:rsid w:val="00F72CA6"/>
    <w:rsid w:val="00F73656"/>
    <w:rsid w:val="00F81CE7"/>
    <w:rsid w:val="00F81E33"/>
    <w:rsid w:val="00F834A1"/>
    <w:rsid w:val="00F86FBC"/>
    <w:rsid w:val="00F914C6"/>
    <w:rsid w:val="00FA2208"/>
    <w:rsid w:val="00FA4C13"/>
    <w:rsid w:val="00FA76E2"/>
    <w:rsid w:val="00FB2783"/>
    <w:rsid w:val="00FB345F"/>
    <w:rsid w:val="00FB570E"/>
    <w:rsid w:val="00FB74C1"/>
    <w:rsid w:val="00FC57A1"/>
    <w:rsid w:val="00FD0100"/>
    <w:rsid w:val="00FD3820"/>
    <w:rsid w:val="00FD6C39"/>
    <w:rsid w:val="00FD7EF0"/>
    <w:rsid w:val="00FE5BB6"/>
    <w:rsid w:val="00FF17D9"/>
    <w:rsid w:val="00FF1B46"/>
    <w:rsid w:val="00FF3092"/>
    <w:rsid w:val="00FF4C79"/>
    <w:rsid w:val="00FF7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6E3706FB-EF38-4EC5-BEE0-13C6757B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382"/>
    <w:pPr>
      <w:widowControl w:val="0"/>
      <w:jc w:val="both"/>
    </w:pPr>
    <w:rPr>
      <w:kern w:val="2"/>
      <w:sz w:val="21"/>
      <w:szCs w:val="24"/>
    </w:rPr>
  </w:style>
  <w:style w:type="paragraph" w:styleId="1">
    <w:name w:val="heading 1"/>
    <w:basedOn w:val="a"/>
    <w:next w:val="a"/>
    <w:link w:val="1Char"/>
    <w:qFormat/>
    <w:rsid w:val="004926EE"/>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C6D15"/>
    <w:pPr>
      <w:shd w:val="clear" w:color="auto" w:fill="000080"/>
    </w:pPr>
  </w:style>
  <w:style w:type="table" w:styleId="a8">
    <w:name w:val="Table Grid"/>
    <w:basedOn w:val="a2"/>
    <w:uiPriority w:val="99"/>
    <w:rsid w:val="00D43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link w:val="a6"/>
    <w:uiPriority w:val="99"/>
    <w:rsid w:val="00C86529"/>
    <w:rPr>
      <w:rFonts w:ascii="宋体" w:hAnsi="Courier New"/>
      <w:kern w:val="2"/>
      <w:sz w:val="21"/>
      <w:szCs w:val="21"/>
    </w:rPr>
  </w:style>
  <w:style w:type="paragraph" w:styleId="a9">
    <w:name w:val="footnote text"/>
    <w:basedOn w:val="a"/>
    <w:link w:val="Char2"/>
    <w:rsid w:val="00683E0D"/>
    <w:pPr>
      <w:snapToGrid w:val="0"/>
      <w:jc w:val="left"/>
    </w:pPr>
    <w:rPr>
      <w:sz w:val="18"/>
      <w:szCs w:val="18"/>
    </w:rPr>
  </w:style>
  <w:style w:type="character" w:customStyle="1" w:styleId="Char2">
    <w:name w:val="脚注文本 Char"/>
    <w:link w:val="a9"/>
    <w:rsid w:val="00683E0D"/>
    <w:rPr>
      <w:kern w:val="2"/>
      <w:sz w:val="18"/>
      <w:szCs w:val="18"/>
    </w:rPr>
  </w:style>
  <w:style w:type="character" w:styleId="aa">
    <w:name w:val="footnote reference"/>
    <w:rsid w:val="00683E0D"/>
    <w:rPr>
      <w:vertAlign w:val="superscript"/>
    </w:rPr>
  </w:style>
  <w:style w:type="paragraph" w:styleId="ab">
    <w:name w:val="Balloon Text"/>
    <w:basedOn w:val="a"/>
    <w:link w:val="Char3"/>
    <w:rsid w:val="009D0796"/>
    <w:rPr>
      <w:sz w:val="18"/>
      <w:szCs w:val="18"/>
    </w:rPr>
  </w:style>
  <w:style w:type="character" w:customStyle="1" w:styleId="Char3">
    <w:name w:val="批注框文本 Char"/>
    <w:basedOn w:val="a1"/>
    <w:link w:val="ab"/>
    <w:rsid w:val="009D0796"/>
    <w:rPr>
      <w:kern w:val="2"/>
      <w:sz w:val="18"/>
      <w:szCs w:val="18"/>
    </w:rPr>
  </w:style>
  <w:style w:type="paragraph" w:styleId="ac">
    <w:name w:val="Normal (Web)"/>
    <w:basedOn w:val="a"/>
    <w:rsid w:val="003A169E"/>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FE5BB6"/>
    <w:rPr>
      <w:kern w:val="2"/>
      <w:sz w:val="18"/>
      <w:szCs w:val="18"/>
    </w:rPr>
  </w:style>
  <w:style w:type="character" w:customStyle="1" w:styleId="1Char">
    <w:name w:val="标题 1 Char"/>
    <w:basedOn w:val="a1"/>
    <w:link w:val="1"/>
    <w:rsid w:val="004926EE"/>
    <w:rPr>
      <w:b/>
      <w:bCs/>
      <w:kern w:val="44"/>
      <w:sz w:val="44"/>
      <w:szCs w:val="44"/>
    </w:rPr>
  </w:style>
  <w:style w:type="paragraph" w:styleId="ad">
    <w:name w:val="Date"/>
    <w:basedOn w:val="a"/>
    <w:next w:val="a"/>
    <w:link w:val="Char4"/>
    <w:rsid w:val="00FA76E2"/>
    <w:rPr>
      <w:sz w:val="24"/>
      <w:szCs w:val="20"/>
    </w:rPr>
  </w:style>
  <w:style w:type="character" w:customStyle="1" w:styleId="Char4">
    <w:name w:val="日期 Char"/>
    <w:basedOn w:val="a1"/>
    <w:link w:val="ad"/>
    <w:rsid w:val="00FA76E2"/>
    <w:rPr>
      <w:kern w:val="2"/>
      <w:sz w:val="24"/>
    </w:rPr>
  </w:style>
  <w:style w:type="character" w:styleId="ae">
    <w:name w:val="Strong"/>
    <w:basedOn w:val="a1"/>
    <w:uiPriority w:val="22"/>
    <w:qFormat/>
    <w:rsid w:val="00A73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087">
      <w:bodyDiv w:val="1"/>
      <w:marLeft w:val="0"/>
      <w:marRight w:val="0"/>
      <w:marTop w:val="0"/>
      <w:marBottom w:val="0"/>
      <w:divBdr>
        <w:top w:val="none" w:sz="0" w:space="0" w:color="auto"/>
        <w:left w:val="none" w:sz="0" w:space="0" w:color="auto"/>
        <w:bottom w:val="none" w:sz="0" w:space="0" w:color="auto"/>
        <w:right w:val="none" w:sz="0" w:space="0" w:color="auto"/>
      </w:divBdr>
    </w:div>
    <w:div w:id="211037842">
      <w:bodyDiv w:val="1"/>
      <w:marLeft w:val="0"/>
      <w:marRight w:val="0"/>
      <w:marTop w:val="0"/>
      <w:marBottom w:val="0"/>
      <w:divBdr>
        <w:top w:val="none" w:sz="0" w:space="0" w:color="auto"/>
        <w:left w:val="none" w:sz="0" w:space="0" w:color="auto"/>
        <w:bottom w:val="none" w:sz="0" w:space="0" w:color="auto"/>
        <w:right w:val="none" w:sz="0" w:space="0" w:color="auto"/>
      </w:divBdr>
    </w:div>
    <w:div w:id="267737633">
      <w:bodyDiv w:val="1"/>
      <w:marLeft w:val="0"/>
      <w:marRight w:val="0"/>
      <w:marTop w:val="0"/>
      <w:marBottom w:val="0"/>
      <w:divBdr>
        <w:top w:val="none" w:sz="0" w:space="0" w:color="auto"/>
        <w:left w:val="none" w:sz="0" w:space="0" w:color="auto"/>
        <w:bottom w:val="none" w:sz="0" w:space="0" w:color="auto"/>
        <w:right w:val="none" w:sz="0" w:space="0" w:color="auto"/>
      </w:divBdr>
    </w:div>
    <w:div w:id="312177099">
      <w:bodyDiv w:val="1"/>
      <w:marLeft w:val="0"/>
      <w:marRight w:val="0"/>
      <w:marTop w:val="0"/>
      <w:marBottom w:val="0"/>
      <w:divBdr>
        <w:top w:val="none" w:sz="0" w:space="0" w:color="auto"/>
        <w:left w:val="none" w:sz="0" w:space="0" w:color="auto"/>
        <w:bottom w:val="none" w:sz="0" w:space="0" w:color="auto"/>
        <w:right w:val="none" w:sz="0" w:space="0" w:color="auto"/>
      </w:divBdr>
    </w:div>
    <w:div w:id="568269588">
      <w:bodyDiv w:val="1"/>
      <w:marLeft w:val="0"/>
      <w:marRight w:val="0"/>
      <w:marTop w:val="0"/>
      <w:marBottom w:val="0"/>
      <w:divBdr>
        <w:top w:val="none" w:sz="0" w:space="0" w:color="auto"/>
        <w:left w:val="none" w:sz="0" w:space="0" w:color="auto"/>
        <w:bottom w:val="none" w:sz="0" w:space="0" w:color="auto"/>
        <w:right w:val="none" w:sz="0" w:space="0" w:color="auto"/>
      </w:divBdr>
    </w:div>
    <w:div w:id="798038419">
      <w:bodyDiv w:val="1"/>
      <w:marLeft w:val="0"/>
      <w:marRight w:val="0"/>
      <w:marTop w:val="0"/>
      <w:marBottom w:val="0"/>
      <w:divBdr>
        <w:top w:val="none" w:sz="0" w:space="0" w:color="auto"/>
        <w:left w:val="none" w:sz="0" w:space="0" w:color="auto"/>
        <w:bottom w:val="none" w:sz="0" w:space="0" w:color="auto"/>
        <w:right w:val="none" w:sz="0" w:space="0" w:color="auto"/>
      </w:divBdr>
    </w:div>
    <w:div w:id="808402462">
      <w:bodyDiv w:val="1"/>
      <w:marLeft w:val="0"/>
      <w:marRight w:val="0"/>
      <w:marTop w:val="0"/>
      <w:marBottom w:val="0"/>
      <w:divBdr>
        <w:top w:val="none" w:sz="0" w:space="0" w:color="auto"/>
        <w:left w:val="none" w:sz="0" w:space="0" w:color="auto"/>
        <w:bottom w:val="none" w:sz="0" w:space="0" w:color="auto"/>
        <w:right w:val="none" w:sz="0" w:space="0" w:color="auto"/>
      </w:divBdr>
    </w:div>
    <w:div w:id="12761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monetary.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91639-0B0A-4FF8-BB6C-AE3741E2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monetary.dot</Template>
  <TotalTime>538</TotalTime>
  <Pages>12</Pages>
  <Words>1054</Words>
  <Characters>6010</Characters>
  <Application>Microsoft Office Word</Application>
  <DocSecurity>0</DocSecurity>
  <Lines>50</Lines>
  <Paragraphs>14</Paragraphs>
  <ScaleCrop>false</ScaleCrop>
  <Company>jysld</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470</cp:revision>
  <cp:lastPrinted>2009-01-22T10:11:00Z</cp:lastPrinted>
  <dcterms:created xsi:type="dcterms:W3CDTF">2012-11-21T01:34:00Z</dcterms:created>
  <dcterms:modified xsi:type="dcterms:W3CDTF">2016-04-18T06:45:00Z</dcterms:modified>
</cp:coreProperties>
</file>