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交银施罗德荣泰保本混合型证券投资基金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22AA6" w:rsidRDefault="008C325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22AA6" w:rsidRDefault="008C325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22AA6" w:rsidRDefault="008C325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22AA6" w:rsidRDefault="008C325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22AA6" w:rsidRDefault="008C325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交银荣泰保本混合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127,211,002.80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C3252" w:rsidRPr="00414345" w:rsidTr="008C325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C3252" w:rsidRPr="00414345" w:rsidTr="008C32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-3,871,323.63</w:t>
            </w:r>
          </w:p>
        </w:tc>
      </w:tr>
      <w:tr w:rsidR="008C3252" w:rsidRPr="00414345" w:rsidTr="008C32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-6,640,862.14</w:t>
            </w:r>
          </w:p>
        </w:tc>
      </w:tr>
      <w:tr w:rsidR="008C3252" w:rsidRPr="00414345" w:rsidTr="008C32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-0.0513</w:t>
            </w:r>
          </w:p>
        </w:tc>
      </w:tr>
      <w:tr w:rsidR="008C3252" w:rsidRPr="00414345" w:rsidTr="008C32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155,598,668.70</w:t>
            </w:r>
          </w:p>
        </w:tc>
      </w:tr>
      <w:tr w:rsidR="008C3252" w:rsidRPr="00414345" w:rsidTr="008C325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1.223</w:t>
            </w:r>
          </w:p>
        </w:tc>
      </w:tr>
    </w:tbl>
    <w:p w:rsidR="00B22AA6" w:rsidRDefault="008C325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22AA6">
        <w:trPr>
          <w:jc w:val="center"/>
        </w:trPr>
        <w:tc>
          <w:tcPr>
            <w:tcW w:w="1701" w:type="dxa"/>
            <w:vAlign w:val="center"/>
          </w:tcPr>
          <w:p w:rsidR="00B22AA6" w:rsidRDefault="008C3252">
            <w:pPr>
              <w:jc w:val="left"/>
            </w:pPr>
            <w:r>
              <w:rPr>
                <w:color w:val="000000"/>
                <w:sz w:val="24"/>
                <w:szCs w:val="24"/>
              </w:rPr>
              <w:t>过去三个月</w:t>
            </w:r>
          </w:p>
        </w:tc>
        <w:tc>
          <w:tcPr>
            <w:tcW w:w="1045" w:type="dxa"/>
            <w:vAlign w:val="center"/>
          </w:tcPr>
          <w:p w:rsidR="00B22AA6" w:rsidRDefault="008C3252">
            <w:pPr>
              <w:jc w:val="center"/>
            </w:pPr>
            <w:r>
              <w:rPr>
                <w:color w:val="000000"/>
                <w:sz w:val="24"/>
                <w:szCs w:val="24"/>
              </w:rPr>
              <w:t>-3.93%</w:t>
            </w:r>
          </w:p>
        </w:tc>
        <w:tc>
          <w:tcPr>
            <w:tcW w:w="1344" w:type="dxa"/>
            <w:vAlign w:val="center"/>
          </w:tcPr>
          <w:p w:rsidR="00B22AA6" w:rsidRDefault="008C3252">
            <w:pPr>
              <w:jc w:val="center"/>
            </w:pPr>
            <w:r>
              <w:rPr>
                <w:color w:val="000000"/>
                <w:sz w:val="24"/>
                <w:szCs w:val="24"/>
              </w:rPr>
              <w:t>0.46%</w:t>
            </w:r>
          </w:p>
        </w:tc>
        <w:tc>
          <w:tcPr>
            <w:tcW w:w="1194" w:type="dxa"/>
            <w:vAlign w:val="center"/>
          </w:tcPr>
          <w:p w:rsidR="00B22AA6" w:rsidRDefault="008C3252">
            <w:pPr>
              <w:jc w:val="center"/>
            </w:pPr>
            <w:r>
              <w:rPr>
                <w:color w:val="000000"/>
                <w:sz w:val="24"/>
                <w:szCs w:val="24"/>
              </w:rPr>
              <w:t>0.70%</w:t>
            </w:r>
          </w:p>
        </w:tc>
        <w:tc>
          <w:tcPr>
            <w:tcW w:w="1492" w:type="dxa"/>
            <w:vAlign w:val="center"/>
          </w:tcPr>
          <w:p w:rsidR="00B22AA6" w:rsidRDefault="008C3252">
            <w:pPr>
              <w:jc w:val="center"/>
            </w:pPr>
            <w:r>
              <w:rPr>
                <w:color w:val="000000"/>
                <w:sz w:val="24"/>
                <w:szCs w:val="24"/>
              </w:rPr>
              <w:t>0.01%</w:t>
            </w:r>
          </w:p>
        </w:tc>
        <w:tc>
          <w:tcPr>
            <w:tcW w:w="1194" w:type="dxa"/>
            <w:vAlign w:val="center"/>
          </w:tcPr>
          <w:p w:rsidR="00B22AA6" w:rsidRDefault="008C3252">
            <w:pPr>
              <w:jc w:val="center"/>
            </w:pPr>
            <w:r>
              <w:rPr>
                <w:color w:val="000000"/>
                <w:sz w:val="24"/>
                <w:szCs w:val="24"/>
              </w:rPr>
              <w:t>-4.63%</w:t>
            </w:r>
          </w:p>
        </w:tc>
        <w:tc>
          <w:tcPr>
            <w:tcW w:w="898" w:type="dxa"/>
            <w:vAlign w:val="center"/>
          </w:tcPr>
          <w:p w:rsidR="00B22AA6" w:rsidRDefault="008C3252">
            <w:pPr>
              <w:jc w:val="center"/>
            </w:pPr>
            <w:r>
              <w:rPr>
                <w:color w:val="000000"/>
                <w:sz w:val="24"/>
                <w:szCs w:val="24"/>
              </w:rPr>
              <w:t>0.45%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交银施罗德荣泰保本混合型证券投资基金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22AA6">
        <w:trPr>
          <w:jc w:val="center"/>
        </w:trPr>
        <w:tc>
          <w:tcPr>
            <w:tcW w:w="846" w:type="dxa"/>
            <w:vAlign w:val="center"/>
          </w:tcPr>
          <w:p w:rsidR="00B22AA6" w:rsidRDefault="008C3252">
            <w:pPr>
              <w:jc w:val="center"/>
            </w:pPr>
            <w:r>
              <w:rPr>
                <w:color w:val="000000"/>
                <w:sz w:val="24"/>
                <w:szCs w:val="24"/>
              </w:rPr>
              <w:t>孙超</w:t>
            </w:r>
          </w:p>
        </w:tc>
        <w:tc>
          <w:tcPr>
            <w:tcW w:w="845" w:type="dxa"/>
            <w:vAlign w:val="center"/>
          </w:tcPr>
          <w:p w:rsidR="00B22AA6" w:rsidRDefault="008C3252">
            <w:pPr>
              <w:jc w:val="center"/>
            </w:pPr>
            <w:r>
              <w:rPr>
                <w:color w:val="000000"/>
                <w:sz w:val="24"/>
                <w:szCs w:val="24"/>
              </w:rPr>
              <w:t>交银增利债券、交银纯债债券发起、交银荣祥保本混合、交银荣泰保本混合、交银定期支付月月丰债券、交银强化回报债券、交银丰润收益债券、交银丰享收益债券、交银丰泽收益债券、交银丰硕收益债券、交银荣鑫保本</w:t>
            </w:r>
            <w:r w:rsidR="006F0F30">
              <w:rPr>
                <w:rFonts w:hint="eastAsia"/>
                <w:color w:val="000000"/>
                <w:sz w:val="24"/>
                <w:szCs w:val="24"/>
              </w:rPr>
              <w:t>混合</w:t>
            </w:r>
            <w:r>
              <w:rPr>
                <w:color w:val="000000"/>
                <w:sz w:val="24"/>
                <w:szCs w:val="24"/>
              </w:rPr>
              <w:t>的基金经理</w:t>
            </w:r>
          </w:p>
        </w:tc>
        <w:tc>
          <w:tcPr>
            <w:tcW w:w="1549" w:type="dxa"/>
            <w:vAlign w:val="center"/>
          </w:tcPr>
          <w:p w:rsidR="00B22AA6" w:rsidRDefault="008C3252">
            <w:pPr>
              <w:jc w:val="center"/>
            </w:pPr>
            <w:r>
              <w:rPr>
                <w:color w:val="000000"/>
                <w:sz w:val="24"/>
                <w:szCs w:val="24"/>
              </w:rPr>
              <w:t>2015-11-07</w:t>
            </w:r>
          </w:p>
        </w:tc>
        <w:tc>
          <w:tcPr>
            <w:tcW w:w="1548" w:type="dxa"/>
            <w:vAlign w:val="center"/>
          </w:tcPr>
          <w:p w:rsidR="00B22AA6" w:rsidRDefault="008C3252">
            <w:pPr>
              <w:jc w:val="center"/>
            </w:pPr>
            <w:r>
              <w:rPr>
                <w:color w:val="000000"/>
                <w:sz w:val="24"/>
                <w:szCs w:val="24"/>
              </w:rPr>
              <w:t>-</w:t>
            </w:r>
          </w:p>
        </w:tc>
        <w:tc>
          <w:tcPr>
            <w:tcW w:w="1407" w:type="dxa"/>
            <w:vAlign w:val="center"/>
          </w:tcPr>
          <w:p w:rsidR="00B22AA6" w:rsidRDefault="008C3252">
            <w:pPr>
              <w:jc w:val="center"/>
            </w:pPr>
            <w:r>
              <w:rPr>
                <w:color w:val="000000"/>
                <w:sz w:val="24"/>
                <w:szCs w:val="24"/>
              </w:rPr>
              <w:t>5</w:t>
            </w:r>
            <w:r>
              <w:rPr>
                <w:color w:val="000000"/>
                <w:sz w:val="24"/>
                <w:szCs w:val="24"/>
              </w:rPr>
              <w:t>年</w:t>
            </w:r>
          </w:p>
        </w:tc>
        <w:tc>
          <w:tcPr>
            <w:tcW w:w="2673" w:type="dxa"/>
            <w:vAlign w:val="center"/>
          </w:tcPr>
          <w:p w:rsidR="00B22AA6" w:rsidRDefault="008C3252">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p>
        </w:tc>
      </w:tr>
      <w:tr w:rsidR="00B22AA6">
        <w:trPr>
          <w:jc w:val="center"/>
        </w:trPr>
        <w:tc>
          <w:tcPr>
            <w:tcW w:w="846" w:type="dxa"/>
            <w:vAlign w:val="center"/>
          </w:tcPr>
          <w:p w:rsidR="00B22AA6" w:rsidRDefault="008C3252">
            <w:pPr>
              <w:jc w:val="center"/>
            </w:pPr>
            <w:r>
              <w:rPr>
                <w:color w:val="000000"/>
                <w:sz w:val="24"/>
                <w:szCs w:val="24"/>
              </w:rPr>
              <w:t>章妍</w:t>
            </w:r>
          </w:p>
        </w:tc>
        <w:tc>
          <w:tcPr>
            <w:tcW w:w="845" w:type="dxa"/>
            <w:vAlign w:val="center"/>
          </w:tcPr>
          <w:p w:rsidR="00B22AA6" w:rsidRDefault="008C3252">
            <w:pPr>
              <w:jc w:val="center"/>
            </w:pPr>
            <w:r>
              <w:rPr>
                <w:color w:val="000000"/>
                <w:sz w:val="24"/>
                <w:szCs w:val="24"/>
              </w:rPr>
              <w:t>交银荣泰保本混合、交银裕通纯债债券的基金经理</w:t>
            </w:r>
          </w:p>
        </w:tc>
        <w:tc>
          <w:tcPr>
            <w:tcW w:w="1549" w:type="dxa"/>
            <w:vAlign w:val="center"/>
          </w:tcPr>
          <w:p w:rsidR="00B22AA6" w:rsidRDefault="008C3252">
            <w:pPr>
              <w:jc w:val="center"/>
            </w:pPr>
            <w:r>
              <w:rPr>
                <w:color w:val="000000"/>
                <w:sz w:val="24"/>
                <w:szCs w:val="24"/>
              </w:rPr>
              <w:t>2015-11-21</w:t>
            </w:r>
          </w:p>
        </w:tc>
        <w:tc>
          <w:tcPr>
            <w:tcW w:w="1548" w:type="dxa"/>
            <w:vAlign w:val="center"/>
          </w:tcPr>
          <w:p w:rsidR="00B22AA6" w:rsidRDefault="008C3252">
            <w:pPr>
              <w:jc w:val="center"/>
            </w:pPr>
            <w:r>
              <w:rPr>
                <w:color w:val="000000"/>
                <w:sz w:val="24"/>
                <w:szCs w:val="24"/>
              </w:rPr>
              <w:t>-</w:t>
            </w:r>
          </w:p>
        </w:tc>
        <w:tc>
          <w:tcPr>
            <w:tcW w:w="1407" w:type="dxa"/>
            <w:vAlign w:val="center"/>
          </w:tcPr>
          <w:p w:rsidR="00B22AA6" w:rsidRDefault="008C3252">
            <w:pPr>
              <w:jc w:val="center"/>
            </w:pPr>
            <w:r>
              <w:rPr>
                <w:color w:val="000000"/>
                <w:sz w:val="24"/>
                <w:szCs w:val="24"/>
              </w:rPr>
              <w:t>1</w:t>
            </w:r>
            <w:r>
              <w:rPr>
                <w:color w:val="000000"/>
                <w:sz w:val="24"/>
                <w:szCs w:val="24"/>
              </w:rPr>
              <w:t>年</w:t>
            </w:r>
          </w:p>
        </w:tc>
        <w:tc>
          <w:tcPr>
            <w:tcW w:w="2673" w:type="dxa"/>
            <w:vAlign w:val="center"/>
          </w:tcPr>
          <w:p w:rsidR="00B22AA6" w:rsidRDefault="008C3252">
            <w:r>
              <w:rPr>
                <w:color w:val="000000"/>
                <w:sz w:val="24"/>
                <w:szCs w:val="24"/>
              </w:rPr>
              <w:t>章妍女士，复旦大学金融学硕士、中央财经大学统计学学士。</w:t>
            </w:r>
            <w:r>
              <w:rPr>
                <w:color w:val="000000"/>
                <w:sz w:val="24"/>
                <w:szCs w:val="24"/>
              </w:rPr>
              <w:t>9</w:t>
            </w:r>
            <w:r>
              <w:rPr>
                <w:color w:val="000000"/>
                <w:sz w:val="24"/>
                <w:szCs w:val="24"/>
              </w:rPr>
              <w:t>年金融行业证券投资工作经验，历任太平洋资产管理有限公司高级投资经理、资深投资经理。</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22AA6" w:rsidRDefault="008C325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22AA6" w:rsidRDefault="008C325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22AA6" w:rsidRDefault="008C325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1527B8" w:rsidRPr="001527B8" w:rsidRDefault="001527B8" w:rsidP="00C15CAC">
      <w:pPr>
        <w:spacing w:before="29" w:line="288" w:lineRule="auto"/>
        <w:ind w:firstLineChars="200" w:firstLine="480"/>
        <w:rPr>
          <w:rFonts w:hint="eastAsia"/>
          <w:color w:val="000000"/>
          <w:sz w:val="24"/>
          <w:szCs w:val="24"/>
        </w:rPr>
      </w:pPr>
      <w:bookmarkStart w:id="0" w:name="_GoBack"/>
      <w:bookmarkEnd w:id="0"/>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22AA6" w:rsidRDefault="008C3252">
      <w:pPr>
        <w:spacing w:before="29" w:line="288" w:lineRule="auto"/>
        <w:ind w:firstLineChars="200" w:firstLine="480"/>
        <w:rPr>
          <w:color w:val="000000"/>
          <w:sz w:val="24"/>
          <w:szCs w:val="24"/>
        </w:rPr>
      </w:pPr>
      <w:r>
        <w:rPr>
          <w:color w:val="000000"/>
          <w:sz w:val="24"/>
          <w:szCs w:val="24"/>
        </w:rPr>
        <w:t>股票市场方面，一季度的</w:t>
      </w:r>
      <w:r>
        <w:rPr>
          <w:color w:val="000000"/>
          <w:sz w:val="24"/>
          <w:szCs w:val="24"/>
        </w:rPr>
        <w:t>A</w:t>
      </w:r>
      <w:r>
        <w:rPr>
          <w:color w:val="000000"/>
          <w:sz w:val="24"/>
          <w:szCs w:val="24"/>
        </w:rPr>
        <w:t>股市场在经历了初期的大幅下跌后呈现盘整震荡的趋势。</w:t>
      </w:r>
      <w:r>
        <w:rPr>
          <w:color w:val="000000"/>
          <w:sz w:val="24"/>
          <w:szCs w:val="24"/>
        </w:rPr>
        <w:t>1</w:t>
      </w:r>
      <w:r>
        <w:rPr>
          <w:color w:val="000000"/>
          <w:sz w:val="24"/>
          <w:szCs w:val="24"/>
        </w:rPr>
        <w:t>月份在对中国经济下行的担忧叠加美联储加息预期下，人民币汇率出现大幅波动，引起市场恐慌，</w:t>
      </w:r>
      <w:r>
        <w:rPr>
          <w:color w:val="000000"/>
          <w:sz w:val="24"/>
          <w:szCs w:val="24"/>
        </w:rPr>
        <w:t>A</w:t>
      </w:r>
      <w:r>
        <w:rPr>
          <w:color w:val="000000"/>
          <w:sz w:val="24"/>
          <w:szCs w:val="24"/>
        </w:rPr>
        <w:t>股快速下跌。在熔断机制的影响下，</w:t>
      </w:r>
      <w:r>
        <w:rPr>
          <w:color w:val="000000"/>
          <w:sz w:val="24"/>
          <w:szCs w:val="24"/>
        </w:rPr>
        <w:t>A</w:t>
      </w:r>
      <w:r>
        <w:rPr>
          <w:color w:val="000000"/>
          <w:sz w:val="24"/>
          <w:szCs w:val="24"/>
        </w:rPr>
        <w:t>股市场流动性出现问题，造成连续恐慌性下跌。随着熔断机制取消，市场逐步下探寻底。</w:t>
      </w:r>
      <w:r>
        <w:rPr>
          <w:color w:val="000000"/>
          <w:sz w:val="24"/>
          <w:szCs w:val="24"/>
        </w:rPr>
        <w:t>2</w:t>
      </w:r>
      <w:r>
        <w:rPr>
          <w:color w:val="000000"/>
          <w:sz w:val="24"/>
          <w:szCs w:val="24"/>
        </w:rPr>
        <w:t>月份、</w:t>
      </w:r>
      <w:r>
        <w:rPr>
          <w:color w:val="000000"/>
          <w:sz w:val="24"/>
          <w:szCs w:val="24"/>
        </w:rPr>
        <w:t>3</w:t>
      </w:r>
      <w:r>
        <w:rPr>
          <w:color w:val="000000"/>
          <w:sz w:val="24"/>
          <w:szCs w:val="24"/>
        </w:rPr>
        <w:t>月份政策开始支持房地产发展，市场逐步企稳回升，之后由于市场对政府稳增长的经济预期以及</w:t>
      </w:r>
      <w:r>
        <w:rPr>
          <w:color w:val="000000"/>
          <w:sz w:val="24"/>
          <w:szCs w:val="24"/>
        </w:rPr>
        <w:t>CPI</w:t>
      </w:r>
      <w:r>
        <w:rPr>
          <w:color w:val="000000"/>
          <w:sz w:val="24"/>
          <w:szCs w:val="24"/>
        </w:rPr>
        <w:t>等经济数据的好转，在房地产市场的回暖和原油等大宗商品价格上升的带动下，周期行业股票逐步反弹，股票市场开始回暖。</w:t>
      </w:r>
    </w:p>
    <w:p w:rsidR="00B22AA6" w:rsidRDefault="008C3252">
      <w:pPr>
        <w:spacing w:before="29" w:line="288" w:lineRule="auto"/>
        <w:ind w:firstLineChars="200" w:firstLine="480"/>
        <w:rPr>
          <w:color w:val="000000"/>
          <w:sz w:val="24"/>
          <w:szCs w:val="24"/>
        </w:rPr>
      </w:pPr>
      <w:r>
        <w:rPr>
          <w:color w:val="000000"/>
          <w:sz w:val="24"/>
          <w:szCs w:val="24"/>
        </w:rPr>
        <w:t>债券市场方面，</w:t>
      </w:r>
      <w:r>
        <w:rPr>
          <w:color w:val="000000"/>
          <w:sz w:val="24"/>
          <w:szCs w:val="24"/>
        </w:rPr>
        <w:t>1</w:t>
      </w:r>
      <w:r>
        <w:rPr>
          <w:color w:val="000000"/>
          <w:sz w:val="24"/>
          <w:szCs w:val="24"/>
        </w:rPr>
        <w:t>月份由于汇率端承压较大，央行在资金紧缺时采取</w:t>
      </w:r>
      <w:r>
        <w:rPr>
          <w:color w:val="000000"/>
          <w:sz w:val="24"/>
          <w:szCs w:val="24"/>
        </w:rPr>
        <w:t>SLO</w:t>
      </w:r>
      <w:r>
        <w:rPr>
          <w:color w:val="000000"/>
          <w:sz w:val="24"/>
          <w:szCs w:val="24"/>
        </w:rPr>
        <w:t>、</w:t>
      </w:r>
      <w:r>
        <w:rPr>
          <w:color w:val="000000"/>
          <w:sz w:val="24"/>
          <w:szCs w:val="24"/>
        </w:rPr>
        <w:t>MLF</w:t>
      </w:r>
      <w:r>
        <w:rPr>
          <w:color w:val="000000"/>
          <w:sz w:val="24"/>
          <w:szCs w:val="24"/>
        </w:rPr>
        <w:t>、逆回购等方式而非降息方式向市场投放流动性，长债收益率经历了短暂下行后快速回升，之后一直在高位波动。</w:t>
      </w:r>
      <w:r>
        <w:rPr>
          <w:color w:val="000000"/>
          <w:sz w:val="24"/>
          <w:szCs w:val="24"/>
        </w:rPr>
        <w:t>2</w:t>
      </w:r>
      <w:r>
        <w:rPr>
          <w:color w:val="000000"/>
          <w:sz w:val="24"/>
          <w:szCs w:val="24"/>
        </w:rPr>
        <w:t>月份、</w:t>
      </w:r>
      <w:r>
        <w:rPr>
          <w:color w:val="000000"/>
          <w:sz w:val="24"/>
          <w:szCs w:val="24"/>
        </w:rPr>
        <w:t>3</w:t>
      </w:r>
      <w:r>
        <w:rPr>
          <w:color w:val="000000"/>
          <w:sz w:val="24"/>
          <w:szCs w:val="24"/>
        </w:rPr>
        <w:t>月份美联储加息预期、猪肉价格上涨、黄金与大宗商品的反弹、房地产市场的快速回暖以及经济数据的好转，构成制约央行继续释放流动性的压力。信用债市场违约日益频发，高评级信用利差收窄，低评级信用利差走阔。</w:t>
      </w:r>
    </w:p>
    <w:p w:rsidR="00B22AA6" w:rsidRDefault="008C3252">
      <w:pPr>
        <w:spacing w:before="29" w:line="288" w:lineRule="auto"/>
        <w:ind w:firstLineChars="200" w:firstLine="480"/>
        <w:rPr>
          <w:color w:val="000000"/>
          <w:sz w:val="24"/>
          <w:szCs w:val="24"/>
        </w:rPr>
      </w:pPr>
      <w:r>
        <w:rPr>
          <w:color w:val="000000"/>
          <w:sz w:val="24"/>
          <w:szCs w:val="24"/>
        </w:rPr>
        <w:t>一季度经济数据体现出一丝暖意，但</w:t>
      </w:r>
      <w:r>
        <w:rPr>
          <w:color w:val="000000"/>
          <w:sz w:val="24"/>
          <w:szCs w:val="24"/>
        </w:rPr>
        <w:t>“</w:t>
      </w:r>
      <w:r>
        <w:rPr>
          <w:color w:val="000000"/>
          <w:sz w:val="24"/>
          <w:szCs w:val="24"/>
        </w:rPr>
        <w:t>供给侧改革</w:t>
      </w:r>
      <w:r>
        <w:rPr>
          <w:color w:val="000000"/>
          <w:sz w:val="24"/>
          <w:szCs w:val="24"/>
        </w:rPr>
        <w:t>”</w:t>
      </w:r>
      <w:r>
        <w:rPr>
          <w:color w:val="000000"/>
          <w:sz w:val="24"/>
          <w:szCs w:val="24"/>
        </w:rPr>
        <w:t>和经济企稳难以一蹴而就，是一个反复的过程。在经济下行周期中，我们一如既往地规避中低等级信用债、防范信用风险。一季度投资中，我们选择了中性的股票和转债仓位，以及中性偏短的债券久期，品种上则继续以利率债为主。</w:t>
      </w:r>
    </w:p>
    <w:p w:rsidR="00B22AA6" w:rsidRDefault="008C3252">
      <w:pPr>
        <w:spacing w:before="29" w:line="288" w:lineRule="auto"/>
        <w:ind w:firstLineChars="200" w:firstLine="480"/>
        <w:rPr>
          <w:color w:val="000000"/>
          <w:sz w:val="24"/>
          <w:szCs w:val="24"/>
        </w:rPr>
      </w:pPr>
      <w:r>
        <w:rPr>
          <w:color w:val="000000"/>
          <w:sz w:val="24"/>
          <w:szCs w:val="24"/>
        </w:rPr>
        <w:t>展望二季度，由于经济潜在增长率下降，经济增速下行的趋势并未改变，但政府基建投资有所加快，同时房地产投资可能在</w:t>
      </w:r>
      <w:r>
        <w:rPr>
          <w:color w:val="000000"/>
          <w:sz w:val="24"/>
          <w:szCs w:val="24"/>
        </w:rPr>
        <w:t>“</w:t>
      </w:r>
      <w:r>
        <w:rPr>
          <w:color w:val="000000"/>
          <w:sz w:val="24"/>
          <w:szCs w:val="24"/>
        </w:rPr>
        <w:t>去库存</w:t>
      </w:r>
      <w:r>
        <w:rPr>
          <w:color w:val="000000"/>
          <w:sz w:val="24"/>
          <w:szCs w:val="24"/>
        </w:rPr>
        <w:t>”</w:t>
      </w:r>
      <w:r>
        <w:rPr>
          <w:color w:val="000000"/>
          <w:sz w:val="24"/>
          <w:szCs w:val="24"/>
        </w:rPr>
        <w:t>的带动下有一定企稳迹象。汇率风险近期有所改善，但预期长期压力仍将持续存在。</w:t>
      </w:r>
      <w:r>
        <w:rPr>
          <w:color w:val="000000"/>
          <w:sz w:val="24"/>
          <w:szCs w:val="24"/>
        </w:rPr>
        <w:t>“</w:t>
      </w:r>
      <w:r>
        <w:rPr>
          <w:color w:val="000000"/>
          <w:sz w:val="24"/>
          <w:szCs w:val="24"/>
        </w:rPr>
        <w:t>供给侧改革</w:t>
      </w:r>
      <w:r>
        <w:rPr>
          <w:color w:val="000000"/>
          <w:sz w:val="24"/>
          <w:szCs w:val="24"/>
        </w:rPr>
        <w:t>”</w:t>
      </w:r>
      <w:r>
        <w:rPr>
          <w:color w:val="000000"/>
          <w:sz w:val="24"/>
          <w:szCs w:val="24"/>
        </w:rPr>
        <w:t>任务艰巨，需要各级政府通力协调。产能过剩的局面仍在，有限的需求改善幅度决定了周期躁动难以延续。流动性约束仍是我们所需关注的重点。有所抬头的通胀、值得警惕的房价和不稳定的汇率决定了流动性的宽松难以一帆风顺。我们将密切关注经济回暖预期的证实或证伪。归根到底，</w:t>
      </w:r>
      <w:r>
        <w:rPr>
          <w:color w:val="000000"/>
          <w:sz w:val="24"/>
          <w:szCs w:val="24"/>
        </w:rPr>
        <w:t>“</w:t>
      </w:r>
      <w:r>
        <w:rPr>
          <w:color w:val="000000"/>
          <w:sz w:val="24"/>
          <w:szCs w:val="24"/>
        </w:rPr>
        <w:t>走老路</w:t>
      </w:r>
      <w:r>
        <w:rPr>
          <w:color w:val="000000"/>
          <w:sz w:val="24"/>
          <w:szCs w:val="24"/>
        </w:rPr>
        <w:t>”</w:t>
      </w:r>
      <w:r>
        <w:rPr>
          <w:color w:val="000000"/>
          <w:sz w:val="24"/>
          <w:szCs w:val="24"/>
        </w:rPr>
        <w:t>将令资本市场失望，深化改革才是振奋人心、重回牛市的唯一路径。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伴随着积极的财政政策，房地产投资的改善和政府在基建领域的托底，国内经济有望出现暂时性企稳，债市则面临来自经济基本面的调整压力。然而一季度长债持续调整后，目前收益率曲线形态已经有所修复，曲线形态已经反映了市场对经济企稳的预期。企稳复苏的预期需要进一步的数据验证，验证过程中则随时有不及预期的可能性，长债的交易性机会由此而来。房地产去库存带来的经济回暖可持续性有待观察，房价新泡沫透支房地产行业的潜力，需警惕经济再下台阶的风险，长期内经济基本面支撑债市向好的理由依然存在。从金融体系来看，金融深化下各类金融机构的</w:t>
      </w:r>
      <w:r w:rsidRPr="00414345">
        <w:rPr>
          <w:color w:val="000000"/>
          <w:sz w:val="24"/>
          <w:szCs w:val="24"/>
        </w:rPr>
        <w:t>“</w:t>
      </w:r>
      <w:r w:rsidRPr="00414345">
        <w:rPr>
          <w:color w:val="000000"/>
          <w:sz w:val="24"/>
          <w:szCs w:val="24"/>
        </w:rPr>
        <w:t>影子银行</w:t>
      </w:r>
      <w:r w:rsidRPr="00414345">
        <w:rPr>
          <w:color w:val="000000"/>
          <w:sz w:val="24"/>
          <w:szCs w:val="24"/>
        </w:rPr>
        <w:t>”</w:t>
      </w:r>
      <w:r w:rsidRPr="00414345">
        <w:rPr>
          <w:color w:val="000000"/>
          <w:sz w:val="24"/>
          <w:szCs w:val="24"/>
        </w:rPr>
        <w:t>业务进一步复杂化，其所蕴含的创新和监管套利正在积累金融风险，刚性兑付下市场的野蛮生长与管理层维持金融稳定的目标并不相容，二者博弈的过程实在难以预料，但后续监管政策的强化应在预期之内。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8C3252" w:rsidP="00C15CAC">
      <w:pPr>
        <w:spacing w:before="29" w:line="288" w:lineRule="auto"/>
        <w:ind w:firstLineChars="200" w:firstLine="480"/>
        <w:rPr>
          <w:color w:val="000000"/>
          <w:sz w:val="24"/>
          <w:szCs w:val="24"/>
        </w:rPr>
      </w:pPr>
      <w:r w:rsidRPr="008C3252">
        <w:rPr>
          <w:rFonts w:hint="eastAsia"/>
          <w:color w:val="000000"/>
          <w:sz w:val="24"/>
          <w:szCs w:val="24"/>
        </w:rPr>
        <w:t>截至</w:t>
      </w:r>
      <w:r w:rsidRPr="008C3252">
        <w:rPr>
          <w:rFonts w:hint="eastAsia"/>
          <w:color w:val="000000"/>
          <w:sz w:val="24"/>
          <w:szCs w:val="24"/>
        </w:rPr>
        <w:t>2016</w:t>
      </w:r>
      <w:r w:rsidRPr="008C3252">
        <w:rPr>
          <w:rFonts w:hint="eastAsia"/>
          <w:color w:val="000000"/>
          <w:sz w:val="24"/>
          <w:szCs w:val="24"/>
        </w:rPr>
        <w:t>年</w:t>
      </w:r>
      <w:r w:rsidRPr="008C3252">
        <w:rPr>
          <w:rFonts w:hint="eastAsia"/>
          <w:color w:val="000000"/>
          <w:sz w:val="24"/>
          <w:szCs w:val="24"/>
        </w:rPr>
        <w:t>3</w:t>
      </w:r>
      <w:r w:rsidRPr="008C3252">
        <w:rPr>
          <w:rFonts w:hint="eastAsia"/>
          <w:color w:val="000000"/>
          <w:sz w:val="24"/>
          <w:szCs w:val="24"/>
        </w:rPr>
        <w:t>月</w:t>
      </w:r>
      <w:r w:rsidRPr="008C3252">
        <w:rPr>
          <w:rFonts w:hint="eastAsia"/>
          <w:color w:val="000000"/>
          <w:sz w:val="24"/>
          <w:szCs w:val="24"/>
        </w:rPr>
        <w:t>31</w:t>
      </w:r>
      <w:r w:rsidRPr="008C3252">
        <w:rPr>
          <w:rFonts w:hint="eastAsia"/>
          <w:color w:val="000000"/>
          <w:sz w:val="24"/>
          <w:szCs w:val="24"/>
        </w:rPr>
        <w:t>日，本基金份额净值</w:t>
      </w:r>
      <w:r w:rsidRPr="008C3252">
        <w:rPr>
          <w:rFonts w:hint="eastAsia"/>
          <w:color w:val="000000"/>
          <w:sz w:val="24"/>
          <w:szCs w:val="24"/>
        </w:rPr>
        <w:t>1.223</w:t>
      </w:r>
      <w:r w:rsidRPr="008C3252">
        <w:rPr>
          <w:rFonts w:hint="eastAsia"/>
          <w:color w:val="000000"/>
          <w:sz w:val="24"/>
          <w:szCs w:val="24"/>
        </w:rPr>
        <w:t>元，本报告期份额净值增长率为</w:t>
      </w:r>
      <w:r w:rsidRPr="008C3252">
        <w:rPr>
          <w:rFonts w:hint="eastAsia"/>
          <w:color w:val="000000"/>
          <w:sz w:val="24"/>
          <w:szCs w:val="24"/>
        </w:rPr>
        <w:t>-3.93%</w:t>
      </w:r>
      <w:r w:rsidRPr="008C3252">
        <w:rPr>
          <w:rFonts w:hint="eastAsia"/>
          <w:color w:val="000000"/>
          <w:sz w:val="24"/>
          <w:szCs w:val="24"/>
        </w:rPr>
        <w:t>，同期业绩比较基准增长率为</w:t>
      </w:r>
      <w:r w:rsidRPr="008C3252">
        <w:rPr>
          <w:rFonts w:hint="eastAsia"/>
          <w:color w:val="000000"/>
          <w:sz w:val="24"/>
          <w:szCs w:val="24"/>
        </w:rPr>
        <w:t>0.70%</w:t>
      </w:r>
      <w:r w:rsidRPr="008C3252">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22,403,788.98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14.27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22,403,788.98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14.27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112,895,345.40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71.90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112,895,345.40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71.90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21,261,758.46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13.54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445,364.27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157,006,257.11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805,000.00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9,329,388.98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4,597,200.00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22,403,788.98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14.40</w:t>
            </w:r>
          </w:p>
        </w:tc>
      </w:tr>
    </w:tbl>
    <w:p w:rsidR="00DF26AB" w:rsidRDefault="00DF26AB"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22AA6">
        <w:trPr>
          <w:jc w:val="center"/>
        </w:trPr>
        <w:tc>
          <w:tcPr>
            <w:tcW w:w="855" w:type="dxa"/>
            <w:vAlign w:val="center"/>
          </w:tcPr>
          <w:p w:rsidR="00B22AA6" w:rsidRDefault="008C3252">
            <w:pPr>
              <w:jc w:val="center"/>
            </w:pPr>
            <w:r>
              <w:rPr>
                <w:color w:val="000000"/>
                <w:sz w:val="24"/>
                <w:szCs w:val="24"/>
              </w:rPr>
              <w:t>1</w:t>
            </w:r>
          </w:p>
        </w:tc>
        <w:tc>
          <w:tcPr>
            <w:tcW w:w="1334" w:type="dxa"/>
            <w:vAlign w:val="center"/>
          </w:tcPr>
          <w:p w:rsidR="00B22AA6" w:rsidRDefault="008C3252">
            <w:pPr>
              <w:jc w:val="center"/>
            </w:pPr>
            <w:r>
              <w:rPr>
                <w:color w:val="000000"/>
                <w:sz w:val="24"/>
                <w:szCs w:val="24"/>
              </w:rPr>
              <w:t>000513</w:t>
            </w:r>
          </w:p>
        </w:tc>
        <w:tc>
          <w:tcPr>
            <w:tcW w:w="1777" w:type="dxa"/>
            <w:vAlign w:val="center"/>
          </w:tcPr>
          <w:p w:rsidR="00B22AA6" w:rsidRDefault="008C3252">
            <w:pPr>
              <w:jc w:val="center"/>
            </w:pPr>
            <w:r>
              <w:rPr>
                <w:color w:val="000000"/>
                <w:sz w:val="24"/>
                <w:szCs w:val="24"/>
              </w:rPr>
              <w:t>丽珠集团</w:t>
            </w:r>
          </w:p>
        </w:tc>
        <w:tc>
          <w:tcPr>
            <w:tcW w:w="1334" w:type="dxa"/>
            <w:vAlign w:val="center"/>
          </w:tcPr>
          <w:p w:rsidR="00B22AA6" w:rsidRDefault="008C3252">
            <w:pPr>
              <w:jc w:val="right"/>
            </w:pPr>
            <w:r>
              <w:rPr>
                <w:color w:val="000000"/>
                <w:sz w:val="24"/>
                <w:szCs w:val="24"/>
              </w:rPr>
              <w:t>50,000</w:t>
            </w:r>
          </w:p>
        </w:tc>
        <w:tc>
          <w:tcPr>
            <w:tcW w:w="1924" w:type="dxa"/>
            <w:vAlign w:val="center"/>
          </w:tcPr>
          <w:p w:rsidR="00B22AA6" w:rsidRDefault="008C3252">
            <w:pPr>
              <w:jc w:val="right"/>
            </w:pPr>
            <w:r>
              <w:rPr>
                <w:color w:val="000000"/>
                <w:sz w:val="24"/>
                <w:szCs w:val="24"/>
              </w:rPr>
              <w:t>2,247,500.00</w:t>
            </w:r>
          </w:p>
        </w:tc>
        <w:tc>
          <w:tcPr>
            <w:tcW w:w="1644" w:type="dxa"/>
            <w:vAlign w:val="center"/>
          </w:tcPr>
          <w:p w:rsidR="00B22AA6" w:rsidRDefault="008C3252">
            <w:pPr>
              <w:jc w:val="right"/>
            </w:pPr>
            <w:r>
              <w:rPr>
                <w:color w:val="000000"/>
                <w:sz w:val="24"/>
                <w:szCs w:val="24"/>
              </w:rPr>
              <w:t>1.44</w:t>
            </w:r>
          </w:p>
        </w:tc>
      </w:tr>
      <w:tr w:rsidR="00B22AA6">
        <w:trPr>
          <w:jc w:val="center"/>
        </w:trPr>
        <w:tc>
          <w:tcPr>
            <w:tcW w:w="855" w:type="dxa"/>
            <w:vAlign w:val="center"/>
          </w:tcPr>
          <w:p w:rsidR="00B22AA6" w:rsidRDefault="008C3252">
            <w:pPr>
              <w:jc w:val="center"/>
            </w:pPr>
            <w:r>
              <w:rPr>
                <w:color w:val="000000"/>
                <w:sz w:val="24"/>
                <w:szCs w:val="24"/>
              </w:rPr>
              <w:t>2</w:t>
            </w:r>
          </w:p>
        </w:tc>
        <w:tc>
          <w:tcPr>
            <w:tcW w:w="1334" w:type="dxa"/>
            <w:vAlign w:val="center"/>
          </w:tcPr>
          <w:p w:rsidR="00B22AA6" w:rsidRDefault="008C3252">
            <w:pPr>
              <w:jc w:val="center"/>
            </w:pPr>
            <w:r>
              <w:rPr>
                <w:color w:val="000000"/>
                <w:sz w:val="24"/>
                <w:szCs w:val="24"/>
              </w:rPr>
              <w:t>300488</w:t>
            </w:r>
          </w:p>
        </w:tc>
        <w:tc>
          <w:tcPr>
            <w:tcW w:w="1777" w:type="dxa"/>
            <w:vAlign w:val="center"/>
          </w:tcPr>
          <w:p w:rsidR="00B22AA6" w:rsidRDefault="008C3252">
            <w:pPr>
              <w:jc w:val="center"/>
            </w:pPr>
            <w:r>
              <w:rPr>
                <w:color w:val="000000"/>
                <w:sz w:val="24"/>
                <w:szCs w:val="24"/>
              </w:rPr>
              <w:t>恒锋工具</w:t>
            </w:r>
          </w:p>
        </w:tc>
        <w:tc>
          <w:tcPr>
            <w:tcW w:w="1334" w:type="dxa"/>
            <w:vAlign w:val="center"/>
          </w:tcPr>
          <w:p w:rsidR="00B22AA6" w:rsidRDefault="008C3252">
            <w:pPr>
              <w:jc w:val="right"/>
            </w:pPr>
            <w:r>
              <w:rPr>
                <w:color w:val="000000"/>
                <w:sz w:val="24"/>
                <w:szCs w:val="24"/>
              </w:rPr>
              <w:t>29,598</w:t>
            </w:r>
          </w:p>
        </w:tc>
        <w:tc>
          <w:tcPr>
            <w:tcW w:w="1924" w:type="dxa"/>
            <w:vAlign w:val="center"/>
          </w:tcPr>
          <w:p w:rsidR="00B22AA6" w:rsidRDefault="008C3252">
            <w:pPr>
              <w:jc w:val="right"/>
            </w:pPr>
            <w:r>
              <w:rPr>
                <w:color w:val="000000"/>
                <w:sz w:val="24"/>
                <w:szCs w:val="24"/>
              </w:rPr>
              <w:t>2,140,527.36</w:t>
            </w:r>
          </w:p>
        </w:tc>
        <w:tc>
          <w:tcPr>
            <w:tcW w:w="1644" w:type="dxa"/>
            <w:vAlign w:val="center"/>
          </w:tcPr>
          <w:p w:rsidR="00B22AA6" w:rsidRDefault="008C3252">
            <w:pPr>
              <w:jc w:val="right"/>
            </w:pPr>
            <w:r>
              <w:rPr>
                <w:color w:val="000000"/>
                <w:sz w:val="24"/>
                <w:szCs w:val="24"/>
              </w:rPr>
              <w:t>1.38</w:t>
            </w:r>
          </w:p>
        </w:tc>
      </w:tr>
      <w:tr w:rsidR="00B22AA6">
        <w:trPr>
          <w:jc w:val="center"/>
        </w:trPr>
        <w:tc>
          <w:tcPr>
            <w:tcW w:w="855" w:type="dxa"/>
            <w:vAlign w:val="center"/>
          </w:tcPr>
          <w:p w:rsidR="00B22AA6" w:rsidRDefault="008C3252">
            <w:pPr>
              <w:jc w:val="center"/>
            </w:pPr>
            <w:r>
              <w:rPr>
                <w:color w:val="000000"/>
                <w:sz w:val="24"/>
                <w:szCs w:val="24"/>
              </w:rPr>
              <w:t>3</w:t>
            </w:r>
          </w:p>
        </w:tc>
        <w:tc>
          <w:tcPr>
            <w:tcW w:w="1334" w:type="dxa"/>
            <w:vAlign w:val="center"/>
          </w:tcPr>
          <w:p w:rsidR="00B22AA6" w:rsidRDefault="008C3252">
            <w:pPr>
              <w:jc w:val="center"/>
            </w:pPr>
            <w:r>
              <w:rPr>
                <w:color w:val="000000"/>
                <w:sz w:val="24"/>
                <w:szCs w:val="24"/>
              </w:rPr>
              <w:t>002539</w:t>
            </w:r>
          </w:p>
        </w:tc>
        <w:tc>
          <w:tcPr>
            <w:tcW w:w="1777" w:type="dxa"/>
            <w:vAlign w:val="center"/>
          </w:tcPr>
          <w:p w:rsidR="00B22AA6" w:rsidRDefault="008C3252">
            <w:pPr>
              <w:jc w:val="center"/>
            </w:pPr>
            <w:r>
              <w:rPr>
                <w:color w:val="000000"/>
                <w:sz w:val="24"/>
                <w:szCs w:val="24"/>
              </w:rPr>
              <w:t>新都化工</w:t>
            </w:r>
          </w:p>
        </w:tc>
        <w:tc>
          <w:tcPr>
            <w:tcW w:w="1334" w:type="dxa"/>
            <w:vAlign w:val="center"/>
          </w:tcPr>
          <w:p w:rsidR="00B22AA6" w:rsidRDefault="008C3252">
            <w:pPr>
              <w:jc w:val="right"/>
            </w:pPr>
            <w:r>
              <w:rPr>
                <w:color w:val="000000"/>
                <w:sz w:val="24"/>
                <w:szCs w:val="24"/>
              </w:rPr>
              <w:t>140,000</w:t>
            </w:r>
          </w:p>
        </w:tc>
        <w:tc>
          <w:tcPr>
            <w:tcW w:w="1924" w:type="dxa"/>
            <w:vAlign w:val="center"/>
          </w:tcPr>
          <w:p w:rsidR="00B22AA6" w:rsidRDefault="008C3252">
            <w:pPr>
              <w:jc w:val="right"/>
            </w:pPr>
            <w:r>
              <w:rPr>
                <w:color w:val="000000"/>
                <w:sz w:val="24"/>
                <w:szCs w:val="24"/>
              </w:rPr>
              <w:t>1,913,800.00</w:t>
            </w:r>
          </w:p>
        </w:tc>
        <w:tc>
          <w:tcPr>
            <w:tcW w:w="1644" w:type="dxa"/>
            <w:vAlign w:val="center"/>
          </w:tcPr>
          <w:p w:rsidR="00B22AA6" w:rsidRDefault="008C3252">
            <w:pPr>
              <w:jc w:val="right"/>
            </w:pPr>
            <w:r>
              <w:rPr>
                <w:color w:val="000000"/>
                <w:sz w:val="24"/>
                <w:szCs w:val="24"/>
              </w:rPr>
              <w:t>1.23</w:t>
            </w:r>
          </w:p>
        </w:tc>
      </w:tr>
      <w:tr w:rsidR="00B22AA6">
        <w:trPr>
          <w:jc w:val="center"/>
        </w:trPr>
        <w:tc>
          <w:tcPr>
            <w:tcW w:w="855" w:type="dxa"/>
            <w:vAlign w:val="center"/>
          </w:tcPr>
          <w:p w:rsidR="00B22AA6" w:rsidRDefault="008C3252">
            <w:pPr>
              <w:jc w:val="center"/>
            </w:pPr>
            <w:r>
              <w:rPr>
                <w:color w:val="000000"/>
                <w:sz w:val="24"/>
                <w:szCs w:val="24"/>
              </w:rPr>
              <w:t>4</w:t>
            </w:r>
          </w:p>
        </w:tc>
        <w:tc>
          <w:tcPr>
            <w:tcW w:w="1334" w:type="dxa"/>
            <w:vAlign w:val="center"/>
          </w:tcPr>
          <w:p w:rsidR="00B22AA6" w:rsidRDefault="008C3252">
            <w:pPr>
              <w:jc w:val="center"/>
            </w:pPr>
            <w:r>
              <w:rPr>
                <w:color w:val="000000"/>
                <w:sz w:val="24"/>
                <w:szCs w:val="24"/>
              </w:rPr>
              <w:t>600674</w:t>
            </w:r>
          </w:p>
        </w:tc>
        <w:tc>
          <w:tcPr>
            <w:tcW w:w="1777" w:type="dxa"/>
            <w:vAlign w:val="center"/>
          </w:tcPr>
          <w:p w:rsidR="00B22AA6" w:rsidRDefault="008C3252">
            <w:pPr>
              <w:jc w:val="center"/>
            </w:pPr>
            <w:r>
              <w:rPr>
                <w:color w:val="000000"/>
                <w:sz w:val="24"/>
                <w:szCs w:val="24"/>
              </w:rPr>
              <w:t>川投能源</w:t>
            </w:r>
          </w:p>
        </w:tc>
        <w:tc>
          <w:tcPr>
            <w:tcW w:w="1334" w:type="dxa"/>
            <w:vAlign w:val="center"/>
          </w:tcPr>
          <w:p w:rsidR="00B22AA6" w:rsidRDefault="008C3252">
            <w:pPr>
              <w:jc w:val="right"/>
            </w:pPr>
            <w:r>
              <w:rPr>
                <w:color w:val="000000"/>
                <w:sz w:val="24"/>
                <w:szCs w:val="24"/>
              </w:rPr>
              <w:t>200,000</w:t>
            </w:r>
          </w:p>
        </w:tc>
        <w:tc>
          <w:tcPr>
            <w:tcW w:w="1924" w:type="dxa"/>
            <w:vAlign w:val="center"/>
          </w:tcPr>
          <w:p w:rsidR="00B22AA6" w:rsidRDefault="008C3252">
            <w:pPr>
              <w:jc w:val="right"/>
            </w:pPr>
            <w:r>
              <w:rPr>
                <w:color w:val="000000"/>
                <w:sz w:val="24"/>
                <w:szCs w:val="24"/>
              </w:rPr>
              <w:t>1,710,000.00</w:t>
            </w:r>
          </w:p>
        </w:tc>
        <w:tc>
          <w:tcPr>
            <w:tcW w:w="1644" w:type="dxa"/>
            <w:vAlign w:val="center"/>
          </w:tcPr>
          <w:p w:rsidR="00B22AA6" w:rsidRDefault="008C3252">
            <w:pPr>
              <w:jc w:val="right"/>
            </w:pPr>
            <w:r>
              <w:rPr>
                <w:color w:val="000000"/>
                <w:sz w:val="24"/>
                <w:szCs w:val="24"/>
              </w:rPr>
              <w:t>1.10</w:t>
            </w:r>
          </w:p>
        </w:tc>
      </w:tr>
      <w:tr w:rsidR="00B22AA6">
        <w:trPr>
          <w:jc w:val="center"/>
        </w:trPr>
        <w:tc>
          <w:tcPr>
            <w:tcW w:w="855" w:type="dxa"/>
            <w:vAlign w:val="center"/>
          </w:tcPr>
          <w:p w:rsidR="00B22AA6" w:rsidRDefault="008C3252">
            <w:pPr>
              <w:jc w:val="center"/>
            </w:pPr>
            <w:r>
              <w:rPr>
                <w:color w:val="000000"/>
                <w:sz w:val="24"/>
                <w:szCs w:val="24"/>
              </w:rPr>
              <w:t>5</w:t>
            </w:r>
          </w:p>
        </w:tc>
        <w:tc>
          <w:tcPr>
            <w:tcW w:w="1334" w:type="dxa"/>
            <w:vAlign w:val="center"/>
          </w:tcPr>
          <w:p w:rsidR="00B22AA6" w:rsidRDefault="008C3252">
            <w:pPr>
              <w:jc w:val="center"/>
            </w:pPr>
            <w:r>
              <w:rPr>
                <w:color w:val="000000"/>
                <w:sz w:val="24"/>
                <w:szCs w:val="24"/>
              </w:rPr>
              <w:t>601988</w:t>
            </w:r>
          </w:p>
        </w:tc>
        <w:tc>
          <w:tcPr>
            <w:tcW w:w="1777" w:type="dxa"/>
            <w:vAlign w:val="center"/>
          </w:tcPr>
          <w:p w:rsidR="00B22AA6" w:rsidRDefault="008C3252">
            <w:pPr>
              <w:jc w:val="center"/>
            </w:pPr>
            <w:r>
              <w:rPr>
                <w:color w:val="000000"/>
                <w:sz w:val="24"/>
                <w:szCs w:val="24"/>
              </w:rPr>
              <w:t>中国银行</w:t>
            </w:r>
          </w:p>
        </w:tc>
        <w:tc>
          <w:tcPr>
            <w:tcW w:w="1334" w:type="dxa"/>
            <w:vAlign w:val="center"/>
          </w:tcPr>
          <w:p w:rsidR="00B22AA6" w:rsidRDefault="008C3252">
            <w:pPr>
              <w:jc w:val="right"/>
            </w:pPr>
            <w:r>
              <w:rPr>
                <w:color w:val="000000"/>
                <w:sz w:val="24"/>
                <w:szCs w:val="24"/>
              </w:rPr>
              <w:t>500,000</w:t>
            </w:r>
          </w:p>
        </w:tc>
        <w:tc>
          <w:tcPr>
            <w:tcW w:w="1924" w:type="dxa"/>
            <w:vAlign w:val="center"/>
          </w:tcPr>
          <w:p w:rsidR="00B22AA6" w:rsidRDefault="008C3252">
            <w:pPr>
              <w:jc w:val="right"/>
            </w:pPr>
            <w:r>
              <w:rPr>
                <w:color w:val="000000"/>
                <w:sz w:val="24"/>
                <w:szCs w:val="24"/>
              </w:rPr>
              <w:t>1,700,000.00</w:t>
            </w:r>
          </w:p>
        </w:tc>
        <w:tc>
          <w:tcPr>
            <w:tcW w:w="1644" w:type="dxa"/>
            <w:vAlign w:val="center"/>
          </w:tcPr>
          <w:p w:rsidR="00B22AA6" w:rsidRDefault="008C3252">
            <w:pPr>
              <w:jc w:val="right"/>
            </w:pPr>
            <w:r>
              <w:rPr>
                <w:color w:val="000000"/>
                <w:sz w:val="24"/>
                <w:szCs w:val="24"/>
              </w:rPr>
              <w:t>1.09</w:t>
            </w:r>
          </w:p>
        </w:tc>
      </w:tr>
      <w:tr w:rsidR="00B22AA6">
        <w:trPr>
          <w:jc w:val="center"/>
        </w:trPr>
        <w:tc>
          <w:tcPr>
            <w:tcW w:w="855" w:type="dxa"/>
            <w:vAlign w:val="center"/>
          </w:tcPr>
          <w:p w:rsidR="00B22AA6" w:rsidRDefault="008C3252">
            <w:pPr>
              <w:jc w:val="center"/>
            </w:pPr>
            <w:r>
              <w:rPr>
                <w:color w:val="000000"/>
                <w:sz w:val="24"/>
                <w:szCs w:val="24"/>
              </w:rPr>
              <w:t>6</w:t>
            </w:r>
          </w:p>
        </w:tc>
        <w:tc>
          <w:tcPr>
            <w:tcW w:w="1334" w:type="dxa"/>
            <w:vAlign w:val="center"/>
          </w:tcPr>
          <w:p w:rsidR="00B22AA6" w:rsidRDefault="008C3252">
            <w:pPr>
              <w:jc w:val="center"/>
            </w:pPr>
            <w:r>
              <w:rPr>
                <w:color w:val="000000"/>
                <w:sz w:val="24"/>
                <w:szCs w:val="24"/>
              </w:rPr>
              <w:t>601009</w:t>
            </w:r>
          </w:p>
        </w:tc>
        <w:tc>
          <w:tcPr>
            <w:tcW w:w="1777" w:type="dxa"/>
            <w:vAlign w:val="center"/>
          </w:tcPr>
          <w:p w:rsidR="00B22AA6" w:rsidRDefault="008C3252">
            <w:pPr>
              <w:jc w:val="center"/>
            </w:pPr>
            <w:r>
              <w:rPr>
                <w:color w:val="000000"/>
                <w:sz w:val="24"/>
                <w:szCs w:val="24"/>
              </w:rPr>
              <w:t>南京银行</w:t>
            </w:r>
          </w:p>
        </w:tc>
        <w:tc>
          <w:tcPr>
            <w:tcW w:w="1334" w:type="dxa"/>
            <w:vAlign w:val="center"/>
          </w:tcPr>
          <w:p w:rsidR="00B22AA6" w:rsidRDefault="008C3252">
            <w:pPr>
              <w:jc w:val="right"/>
            </w:pPr>
            <w:r>
              <w:rPr>
                <w:color w:val="000000"/>
                <w:sz w:val="24"/>
                <w:szCs w:val="24"/>
              </w:rPr>
              <w:t>100,000</w:t>
            </w:r>
          </w:p>
        </w:tc>
        <w:tc>
          <w:tcPr>
            <w:tcW w:w="1924" w:type="dxa"/>
            <w:vAlign w:val="center"/>
          </w:tcPr>
          <w:p w:rsidR="00B22AA6" w:rsidRDefault="008C3252">
            <w:pPr>
              <w:jc w:val="right"/>
            </w:pPr>
            <w:r>
              <w:rPr>
                <w:color w:val="000000"/>
                <w:sz w:val="24"/>
                <w:szCs w:val="24"/>
              </w:rPr>
              <w:t>1,610,000.00</w:t>
            </w:r>
          </w:p>
        </w:tc>
        <w:tc>
          <w:tcPr>
            <w:tcW w:w="1644" w:type="dxa"/>
            <w:vAlign w:val="center"/>
          </w:tcPr>
          <w:p w:rsidR="00B22AA6" w:rsidRDefault="008C3252">
            <w:pPr>
              <w:jc w:val="right"/>
            </w:pPr>
            <w:r>
              <w:rPr>
                <w:color w:val="000000"/>
                <w:sz w:val="24"/>
                <w:szCs w:val="24"/>
              </w:rPr>
              <w:t>1.03</w:t>
            </w:r>
          </w:p>
        </w:tc>
      </w:tr>
      <w:tr w:rsidR="00B22AA6">
        <w:trPr>
          <w:jc w:val="center"/>
        </w:trPr>
        <w:tc>
          <w:tcPr>
            <w:tcW w:w="855" w:type="dxa"/>
            <w:vAlign w:val="center"/>
          </w:tcPr>
          <w:p w:rsidR="00B22AA6" w:rsidRDefault="008C3252">
            <w:pPr>
              <w:jc w:val="center"/>
            </w:pPr>
            <w:r>
              <w:rPr>
                <w:color w:val="000000"/>
                <w:sz w:val="24"/>
                <w:szCs w:val="24"/>
              </w:rPr>
              <w:t>7</w:t>
            </w:r>
          </w:p>
        </w:tc>
        <w:tc>
          <w:tcPr>
            <w:tcW w:w="1334" w:type="dxa"/>
            <w:vAlign w:val="center"/>
          </w:tcPr>
          <w:p w:rsidR="00B22AA6" w:rsidRDefault="008C3252">
            <w:pPr>
              <w:jc w:val="center"/>
            </w:pPr>
            <w:r>
              <w:rPr>
                <w:color w:val="000000"/>
                <w:sz w:val="24"/>
                <w:szCs w:val="24"/>
              </w:rPr>
              <w:t>600309</w:t>
            </w:r>
          </w:p>
        </w:tc>
        <w:tc>
          <w:tcPr>
            <w:tcW w:w="1777" w:type="dxa"/>
            <w:vAlign w:val="center"/>
          </w:tcPr>
          <w:p w:rsidR="00B22AA6" w:rsidRDefault="008C3252">
            <w:pPr>
              <w:jc w:val="center"/>
            </w:pPr>
            <w:r>
              <w:rPr>
                <w:color w:val="000000"/>
                <w:sz w:val="24"/>
                <w:szCs w:val="24"/>
              </w:rPr>
              <w:t>万华化学</w:t>
            </w:r>
          </w:p>
        </w:tc>
        <w:tc>
          <w:tcPr>
            <w:tcW w:w="1334" w:type="dxa"/>
            <w:vAlign w:val="center"/>
          </w:tcPr>
          <w:p w:rsidR="00B22AA6" w:rsidRDefault="008C3252">
            <w:pPr>
              <w:jc w:val="right"/>
            </w:pPr>
            <w:r>
              <w:rPr>
                <w:color w:val="000000"/>
                <w:sz w:val="24"/>
                <w:szCs w:val="24"/>
              </w:rPr>
              <w:t>99,993</w:t>
            </w:r>
          </w:p>
        </w:tc>
        <w:tc>
          <w:tcPr>
            <w:tcW w:w="1924" w:type="dxa"/>
            <w:vAlign w:val="center"/>
          </w:tcPr>
          <w:p w:rsidR="00B22AA6" w:rsidRDefault="008C3252">
            <w:pPr>
              <w:jc w:val="right"/>
            </w:pPr>
            <w:r>
              <w:rPr>
                <w:color w:val="000000"/>
                <w:sz w:val="24"/>
                <w:szCs w:val="24"/>
              </w:rPr>
              <w:t>1,474,896.75</w:t>
            </w:r>
          </w:p>
        </w:tc>
        <w:tc>
          <w:tcPr>
            <w:tcW w:w="1644" w:type="dxa"/>
            <w:vAlign w:val="center"/>
          </w:tcPr>
          <w:p w:rsidR="00B22AA6" w:rsidRDefault="008C3252">
            <w:pPr>
              <w:jc w:val="right"/>
            </w:pPr>
            <w:r>
              <w:rPr>
                <w:color w:val="000000"/>
                <w:sz w:val="24"/>
                <w:szCs w:val="24"/>
              </w:rPr>
              <w:t>0.95</w:t>
            </w:r>
          </w:p>
        </w:tc>
      </w:tr>
      <w:tr w:rsidR="00B22AA6">
        <w:trPr>
          <w:jc w:val="center"/>
        </w:trPr>
        <w:tc>
          <w:tcPr>
            <w:tcW w:w="855" w:type="dxa"/>
            <w:vAlign w:val="center"/>
          </w:tcPr>
          <w:p w:rsidR="00B22AA6" w:rsidRDefault="008C3252">
            <w:pPr>
              <w:jc w:val="center"/>
            </w:pPr>
            <w:r>
              <w:rPr>
                <w:color w:val="000000"/>
                <w:sz w:val="24"/>
                <w:szCs w:val="24"/>
              </w:rPr>
              <w:t>8</w:t>
            </w:r>
          </w:p>
        </w:tc>
        <w:tc>
          <w:tcPr>
            <w:tcW w:w="1334" w:type="dxa"/>
            <w:vAlign w:val="center"/>
          </w:tcPr>
          <w:p w:rsidR="00B22AA6" w:rsidRDefault="008C3252">
            <w:pPr>
              <w:jc w:val="center"/>
            </w:pPr>
            <w:r>
              <w:rPr>
                <w:color w:val="000000"/>
                <w:sz w:val="24"/>
                <w:szCs w:val="24"/>
              </w:rPr>
              <w:t>600104</w:t>
            </w:r>
          </w:p>
        </w:tc>
        <w:tc>
          <w:tcPr>
            <w:tcW w:w="1777" w:type="dxa"/>
            <w:vAlign w:val="center"/>
          </w:tcPr>
          <w:p w:rsidR="00B22AA6" w:rsidRDefault="008C3252">
            <w:pPr>
              <w:jc w:val="center"/>
            </w:pPr>
            <w:r>
              <w:rPr>
                <w:color w:val="000000"/>
                <w:sz w:val="24"/>
                <w:szCs w:val="24"/>
              </w:rPr>
              <w:t>上汽集团</w:t>
            </w:r>
          </w:p>
        </w:tc>
        <w:tc>
          <w:tcPr>
            <w:tcW w:w="1334" w:type="dxa"/>
            <w:vAlign w:val="center"/>
          </w:tcPr>
          <w:p w:rsidR="00B22AA6" w:rsidRDefault="008C3252">
            <w:pPr>
              <w:jc w:val="right"/>
            </w:pPr>
            <w:r>
              <w:rPr>
                <w:color w:val="000000"/>
                <w:sz w:val="24"/>
                <w:szCs w:val="24"/>
              </w:rPr>
              <w:t>69,984</w:t>
            </w:r>
          </w:p>
        </w:tc>
        <w:tc>
          <w:tcPr>
            <w:tcW w:w="1924" w:type="dxa"/>
            <w:vAlign w:val="center"/>
          </w:tcPr>
          <w:p w:rsidR="00B22AA6" w:rsidRDefault="008C3252">
            <w:pPr>
              <w:jc w:val="right"/>
            </w:pPr>
            <w:r>
              <w:rPr>
                <w:color w:val="000000"/>
                <w:sz w:val="24"/>
                <w:szCs w:val="24"/>
              </w:rPr>
              <w:t>1,403,879.04</w:t>
            </w:r>
          </w:p>
        </w:tc>
        <w:tc>
          <w:tcPr>
            <w:tcW w:w="1644" w:type="dxa"/>
            <w:vAlign w:val="center"/>
          </w:tcPr>
          <w:p w:rsidR="00B22AA6" w:rsidRDefault="008C3252">
            <w:pPr>
              <w:jc w:val="right"/>
            </w:pPr>
            <w:r>
              <w:rPr>
                <w:color w:val="000000"/>
                <w:sz w:val="24"/>
                <w:szCs w:val="24"/>
              </w:rPr>
              <w:t>0.90</w:t>
            </w:r>
          </w:p>
        </w:tc>
      </w:tr>
      <w:tr w:rsidR="00B22AA6">
        <w:trPr>
          <w:jc w:val="center"/>
        </w:trPr>
        <w:tc>
          <w:tcPr>
            <w:tcW w:w="855" w:type="dxa"/>
            <w:vAlign w:val="center"/>
          </w:tcPr>
          <w:p w:rsidR="00B22AA6" w:rsidRDefault="008C3252">
            <w:pPr>
              <w:jc w:val="center"/>
            </w:pPr>
            <w:r>
              <w:rPr>
                <w:color w:val="000000"/>
                <w:sz w:val="24"/>
                <w:szCs w:val="24"/>
              </w:rPr>
              <w:t>9</w:t>
            </w:r>
          </w:p>
        </w:tc>
        <w:tc>
          <w:tcPr>
            <w:tcW w:w="1334" w:type="dxa"/>
            <w:vAlign w:val="center"/>
          </w:tcPr>
          <w:p w:rsidR="00B22AA6" w:rsidRDefault="008C3252">
            <w:pPr>
              <w:jc w:val="center"/>
            </w:pPr>
            <w:r>
              <w:rPr>
                <w:color w:val="000000"/>
                <w:sz w:val="24"/>
                <w:szCs w:val="24"/>
              </w:rPr>
              <w:t>600036</w:t>
            </w:r>
          </w:p>
        </w:tc>
        <w:tc>
          <w:tcPr>
            <w:tcW w:w="1777" w:type="dxa"/>
            <w:vAlign w:val="center"/>
          </w:tcPr>
          <w:p w:rsidR="00B22AA6" w:rsidRDefault="008C3252">
            <w:pPr>
              <w:jc w:val="center"/>
            </w:pPr>
            <w:r>
              <w:rPr>
                <w:color w:val="000000"/>
                <w:sz w:val="24"/>
                <w:szCs w:val="24"/>
              </w:rPr>
              <w:t>招商银行</w:t>
            </w:r>
          </w:p>
        </w:tc>
        <w:tc>
          <w:tcPr>
            <w:tcW w:w="1334" w:type="dxa"/>
            <w:vAlign w:val="center"/>
          </w:tcPr>
          <w:p w:rsidR="00B22AA6" w:rsidRDefault="008C3252">
            <w:pPr>
              <w:jc w:val="right"/>
            </w:pPr>
            <w:r>
              <w:rPr>
                <w:color w:val="000000"/>
                <w:sz w:val="24"/>
                <w:szCs w:val="24"/>
              </w:rPr>
              <w:t>80,000</w:t>
            </w:r>
          </w:p>
        </w:tc>
        <w:tc>
          <w:tcPr>
            <w:tcW w:w="1924" w:type="dxa"/>
            <w:vAlign w:val="center"/>
          </w:tcPr>
          <w:p w:rsidR="00B22AA6" w:rsidRDefault="008C3252">
            <w:pPr>
              <w:jc w:val="right"/>
            </w:pPr>
            <w:r>
              <w:rPr>
                <w:color w:val="000000"/>
                <w:sz w:val="24"/>
                <w:szCs w:val="24"/>
              </w:rPr>
              <w:t>1,287,200.00</w:t>
            </w:r>
          </w:p>
        </w:tc>
        <w:tc>
          <w:tcPr>
            <w:tcW w:w="1644" w:type="dxa"/>
            <w:vAlign w:val="center"/>
          </w:tcPr>
          <w:p w:rsidR="00B22AA6" w:rsidRDefault="008C3252">
            <w:pPr>
              <w:jc w:val="right"/>
            </w:pPr>
            <w:r>
              <w:rPr>
                <w:color w:val="000000"/>
                <w:sz w:val="24"/>
                <w:szCs w:val="24"/>
              </w:rPr>
              <w:t>0.83</w:t>
            </w:r>
          </w:p>
        </w:tc>
      </w:tr>
      <w:tr w:rsidR="00B22AA6">
        <w:trPr>
          <w:jc w:val="center"/>
        </w:trPr>
        <w:tc>
          <w:tcPr>
            <w:tcW w:w="855" w:type="dxa"/>
            <w:vAlign w:val="center"/>
          </w:tcPr>
          <w:p w:rsidR="00B22AA6" w:rsidRDefault="008C3252">
            <w:pPr>
              <w:jc w:val="center"/>
            </w:pPr>
            <w:r>
              <w:rPr>
                <w:color w:val="000000"/>
                <w:sz w:val="24"/>
                <w:szCs w:val="24"/>
              </w:rPr>
              <w:t>10</w:t>
            </w:r>
          </w:p>
        </w:tc>
        <w:tc>
          <w:tcPr>
            <w:tcW w:w="1334" w:type="dxa"/>
            <w:vAlign w:val="center"/>
          </w:tcPr>
          <w:p w:rsidR="00B22AA6" w:rsidRDefault="008C3252">
            <w:pPr>
              <w:jc w:val="center"/>
            </w:pPr>
            <w:r>
              <w:rPr>
                <w:color w:val="000000"/>
                <w:sz w:val="24"/>
                <w:szCs w:val="24"/>
              </w:rPr>
              <w:t>000671</w:t>
            </w:r>
          </w:p>
        </w:tc>
        <w:tc>
          <w:tcPr>
            <w:tcW w:w="1777" w:type="dxa"/>
            <w:vAlign w:val="center"/>
          </w:tcPr>
          <w:p w:rsidR="00B22AA6" w:rsidRDefault="008C3252">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B22AA6" w:rsidRDefault="008C3252">
            <w:pPr>
              <w:jc w:val="right"/>
            </w:pPr>
            <w:r>
              <w:rPr>
                <w:color w:val="000000"/>
                <w:sz w:val="24"/>
                <w:szCs w:val="24"/>
              </w:rPr>
              <w:t>200,000</w:t>
            </w:r>
          </w:p>
        </w:tc>
        <w:tc>
          <w:tcPr>
            <w:tcW w:w="1924" w:type="dxa"/>
            <w:vAlign w:val="center"/>
          </w:tcPr>
          <w:p w:rsidR="00B22AA6" w:rsidRDefault="008C3252">
            <w:pPr>
              <w:jc w:val="right"/>
            </w:pPr>
            <w:r>
              <w:rPr>
                <w:color w:val="000000"/>
                <w:sz w:val="24"/>
                <w:szCs w:val="24"/>
              </w:rPr>
              <w:t>1,244,000.00</w:t>
            </w:r>
          </w:p>
        </w:tc>
        <w:tc>
          <w:tcPr>
            <w:tcW w:w="1644" w:type="dxa"/>
            <w:vAlign w:val="center"/>
          </w:tcPr>
          <w:p w:rsidR="00B22AA6" w:rsidRDefault="008C3252">
            <w:pPr>
              <w:jc w:val="right"/>
            </w:pPr>
            <w:r>
              <w:rPr>
                <w:color w:val="000000"/>
                <w:sz w:val="24"/>
                <w:szCs w:val="24"/>
              </w:rPr>
              <w:t>0.80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112,575,000.00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72.35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112,575,000.00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72.35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320,345.40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0.21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112,895,345.40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72.56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22AA6">
        <w:trPr>
          <w:jc w:val="center"/>
        </w:trPr>
        <w:tc>
          <w:tcPr>
            <w:tcW w:w="850" w:type="dxa"/>
            <w:vAlign w:val="center"/>
          </w:tcPr>
          <w:p w:rsidR="00B22AA6" w:rsidRDefault="008C3252">
            <w:pPr>
              <w:jc w:val="center"/>
            </w:pPr>
            <w:r>
              <w:rPr>
                <w:color w:val="000000"/>
                <w:sz w:val="24"/>
                <w:szCs w:val="24"/>
              </w:rPr>
              <w:t>1</w:t>
            </w:r>
          </w:p>
        </w:tc>
        <w:tc>
          <w:tcPr>
            <w:tcW w:w="1475" w:type="dxa"/>
            <w:vAlign w:val="center"/>
          </w:tcPr>
          <w:p w:rsidR="00B22AA6" w:rsidRDefault="008C3252">
            <w:pPr>
              <w:jc w:val="center"/>
            </w:pPr>
            <w:r>
              <w:rPr>
                <w:color w:val="000000"/>
                <w:sz w:val="24"/>
                <w:szCs w:val="24"/>
              </w:rPr>
              <w:t>140424</w:t>
            </w:r>
          </w:p>
        </w:tc>
        <w:tc>
          <w:tcPr>
            <w:tcW w:w="1769" w:type="dxa"/>
            <w:vAlign w:val="center"/>
          </w:tcPr>
          <w:p w:rsidR="00B22AA6" w:rsidRDefault="008C3252">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B22AA6" w:rsidRDefault="008C3252">
            <w:pPr>
              <w:jc w:val="right"/>
            </w:pPr>
            <w:r>
              <w:rPr>
                <w:color w:val="000000"/>
                <w:sz w:val="24"/>
                <w:szCs w:val="24"/>
              </w:rPr>
              <w:t>500,000</w:t>
            </w:r>
          </w:p>
        </w:tc>
        <w:tc>
          <w:tcPr>
            <w:tcW w:w="2150" w:type="dxa"/>
            <w:vAlign w:val="center"/>
          </w:tcPr>
          <w:p w:rsidR="00B22AA6" w:rsidRDefault="008C3252">
            <w:pPr>
              <w:jc w:val="right"/>
            </w:pPr>
            <w:r>
              <w:rPr>
                <w:color w:val="000000"/>
                <w:sz w:val="24"/>
                <w:szCs w:val="24"/>
              </w:rPr>
              <w:t>51,340,000.00</w:t>
            </w:r>
          </w:p>
        </w:tc>
        <w:tc>
          <w:tcPr>
            <w:tcW w:w="1237" w:type="dxa"/>
            <w:vAlign w:val="center"/>
          </w:tcPr>
          <w:p w:rsidR="00B22AA6" w:rsidRDefault="008C3252">
            <w:pPr>
              <w:jc w:val="right"/>
            </w:pPr>
            <w:r>
              <w:rPr>
                <w:color w:val="000000"/>
                <w:sz w:val="24"/>
                <w:szCs w:val="24"/>
              </w:rPr>
              <w:t>33.00</w:t>
            </w:r>
          </w:p>
        </w:tc>
      </w:tr>
      <w:tr w:rsidR="00B22AA6">
        <w:trPr>
          <w:jc w:val="center"/>
        </w:trPr>
        <w:tc>
          <w:tcPr>
            <w:tcW w:w="850" w:type="dxa"/>
            <w:vAlign w:val="center"/>
          </w:tcPr>
          <w:p w:rsidR="00B22AA6" w:rsidRDefault="008C3252">
            <w:pPr>
              <w:jc w:val="center"/>
            </w:pPr>
            <w:r>
              <w:rPr>
                <w:color w:val="000000"/>
                <w:sz w:val="24"/>
                <w:szCs w:val="24"/>
              </w:rPr>
              <w:t>2</w:t>
            </w:r>
          </w:p>
        </w:tc>
        <w:tc>
          <w:tcPr>
            <w:tcW w:w="1475" w:type="dxa"/>
            <w:vAlign w:val="center"/>
          </w:tcPr>
          <w:p w:rsidR="00B22AA6" w:rsidRDefault="008C3252">
            <w:pPr>
              <w:jc w:val="center"/>
            </w:pPr>
            <w:r>
              <w:rPr>
                <w:color w:val="000000"/>
                <w:sz w:val="24"/>
                <w:szCs w:val="24"/>
              </w:rPr>
              <w:t>140407</w:t>
            </w:r>
          </w:p>
        </w:tc>
        <w:tc>
          <w:tcPr>
            <w:tcW w:w="1769" w:type="dxa"/>
            <w:vAlign w:val="center"/>
          </w:tcPr>
          <w:p w:rsidR="00B22AA6" w:rsidRDefault="008C3252">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B22AA6" w:rsidRDefault="008C3252">
            <w:pPr>
              <w:jc w:val="right"/>
            </w:pPr>
            <w:r>
              <w:rPr>
                <w:color w:val="000000"/>
                <w:sz w:val="24"/>
                <w:szCs w:val="24"/>
              </w:rPr>
              <w:t>500,000</w:t>
            </w:r>
          </w:p>
        </w:tc>
        <w:tc>
          <w:tcPr>
            <w:tcW w:w="2150" w:type="dxa"/>
            <w:vAlign w:val="center"/>
          </w:tcPr>
          <w:p w:rsidR="00B22AA6" w:rsidRDefault="008C3252">
            <w:pPr>
              <w:jc w:val="right"/>
            </w:pPr>
            <w:r>
              <w:rPr>
                <w:color w:val="000000"/>
                <w:sz w:val="24"/>
                <w:szCs w:val="24"/>
              </w:rPr>
              <w:t>51,240,000.00</w:t>
            </w:r>
          </w:p>
        </w:tc>
        <w:tc>
          <w:tcPr>
            <w:tcW w:w="1237" w:type="dxa"/>
            <w:vAlign w:val="center"/>
          </w:tcPr>
          <w:p w:rsidR="00B22AA6" w:rsidRDefault="008C3252">
            <w:pPr>
              <w:jc w:val="right"/>
            </w:pPr>
            <w:r>
              <w:rPr>
                <w:color w:val="000000"/>
                <w:sz w:val="24"/>
                <w:szCs w:val="24"/>
              </w:rPr>
              <w:t>32.93</w:t>
            </w:r>
          </w:p>
        </w:tc>
      </w:tr>
      <w:tr w:rsidR="00B22AA6">
        <w:trPr>
          <w:jc w:val="center"/>
        </w:trPr>
        <w:tc>
          <w:tcPr>
            <w:tcW w:w="850" w:type="dxa"/>
            <w:vAlign w:val="center"/>
          </w:tcPr>
          <w:p w:rsidR="00B22AA6" w:rsidRDefault="008C3252">
            <w:pPr>
              <w:jc w:val="center"/>
            </w:pPr>
            <w:r>
              <w:rPr>
                <w:color w:val="000000"/>
                <w:sz w:val="24"/>
                <w:szCs w:val="24"/>
              </w:rPr>
              <w:t>3</w:t>
            </w:r>
          </w:p>
        </w:tc>
        <w:tc>
          <w:tcPr>
            <w:tcW w:w="1475" w:type="dxa"/>
            <w:vAlign w:val="center"/>
          </w:tcPr>
          <w:p w:rsidR="00B22AA6" w:rsidRDefault="008C3252">
            <w:pPr>
              <w:jc w:val="center"/>
            </w:pPr>
            <w:r>
              <w:rPr>
                <w:color w:val="000000"/>
                <w:sz w:val="24"/>
                <w:szCs w:val="24"/>
              </w:rPr>
              <w:t>110230</w:t>
            </w:r>
          </w:p>
        </w:tc>
        <w:tc>
          <w:tcPr>
            <w:tcW w:w="1769" w:type="dxa"/>
            <w:vAlign w:val="center"/>
          </w:tcPr>
          <w:p w:rsidR="00B22AA6" w:rsidRDefault="008C3252">
            <w:pPr>
              <w:jc w:val="center"/>
            </w:pPr>
            <w:r>
              <w:rPr>
                <w:color w:val="000000"/>
                <w:sz w:val="24"/>
                <w:szCs w:val="24"/>
              </w:rPr>
              <w:t>11</w:t>
            </w:r>
            <w:r>
              <w:rPr>
                <w:color w:val="000000"/>
                <w:sz w:val="24"/>
                <w:szCs w:val="24"/>
              </w:rPr>
              <w:t>国开</w:t>
            </w:r>
            <w:r>
              <w:rPr>
                <w:color w:val="000000"/>
                <w:sz w:val="24"/>
                <w:szCs w:val="24"/>
              </w:rPr>
              <w:t>30</w:t>
            </w:r>
          </w:p>
        </w:tc>
        <w:tc>
          <w:tcPr>
            <w:tcW w:w="1387" w:type="dxa"/>
            <w:vAlign w:val="center"/>
          </w:tcPr>
          <w:p w:rsidR="00B22AA6" w:rsidRDefault="008C3252">
            <w:pPr>
              <w:jc w:val="right"/>
            </w:pPr>
            <w:r>
              <w:rPr>
                <w:color w:val="000000"/>
                <w:sz w:val="24"/>
                <w:szCs w:val="24"/>
              </w:rPr>
              <w:t>100,000</w:t>
            </w:r>
          </w:p>
        </w:tc>
        <w:tc>
          <w:tcPr>
            <w:tcW w:w="2150" w:type="dxa"/>
            <w:vAlign w:val="center"/>
          </w:tcPr>
          <w:p w:rsidR="00B22AA6" w:rsidRDefault="008C3252">
            <w:pPr>
              <w:jc w:val="right"/>
            </w:pPr>
            <w:r>
              <w:rPr>
                <w:color w:val="000000"/>
                <w:sz w:val="24"/>
                <w:szCs w:val="24"/>
              </w:rPr>
              <w:t>9,995,000.00</w:t>
            </w:r>
          </w:p>
        </w:tc>
        <w:tc>
          <w:tcPr>
            <w:tcW w:w="1237" w:type="dxa"/>
            <w:vAlign w:val="center"/>
          </w:tcPr>
          <w:p w:rsidR="00B22AA6" w:rsidRDefault="008C3252">
            <w:pPr>
              <w:jc w:val="right"/>
            </w:pPr>
            <w:r>
              <w:rPr>
                <w:color w:val="000000"/>
                <w:sz w:val="24"/>
                <w:szCs w:val="24"/>
              </w:rPr>
              <w:t>6.42</w:t>
            </w:r>
          </w:p>
        </w:tc>
      </w:tr>
      <w:tr w:rsidR="00B22AA6">
        <w:trPr>
          <w:jc w:val="center"/>
        </w:trPr>
        <w:tc>
          <w:tcPr>
            <w:tcW w:w="850" w:type="dxa"/>
            <w:vAlign w:val="center"/>
          </w:tcPr>
          <w:p w:rsidR="00B22AA6" w:rsidRDefault="008C3252">
            <w:pPr>
              <w:jc w:val="center"/>
            </w:pPr>
            <w:r>
              <w:rPr>
                <w:color w:val="000000"/>
                <w:sz w:val="24"/>
                <w:szCs w:val="24"/>
              </w:rPr>
              <w:t>4</w:t>
            </w:r>
          </w:p>
        </w:tc>
        <w:tc>
          <w:tcPr>
            <w:tcW w:w="1475" w:type="dxa"/>
            <w:vAlign w:val="center"/>
          </w:tcPr>
          <w:p w:rsidR="00B22AA6" w:rsidRDefault="008C3252">
            <w:pPr>
              <w:jc w:val="center"/>
            </w:pPr>
            <w:r>
              <w:rPr>
                <w:color w:val="000000"/>
                <w:sz w:val="24"/>
                <w:szCs w:val="24"/>
              </w:rPr>
              <w:t>113010</w:t>
            </w:r>
          </w:p>
        </w:tc>
        <w:tc>
          <w:tcPr>
            <w:tcW w:w="1769" w:type="dxa"/>
            <w:vAlign w:val="center"/>
          </w:tcPr>
          <w:p w:rsidR="00B22AA6" w:rsidRDefault="008C3252">
            <w:pPr>
              <w:jc w:val="center"/>
            </w:pPr>
            <w:r>
              <w:rPr>
                <w:color w:val="000000"/>
                <w:sz w:val="24"/>
                <w:szCs w:val="24"/>
              </w:rPr>
              <w:t>江南转债</w:t>
            </w:r>
          </w:p>
        </w:tc>
        <w:tc>
          <w:tcPr>
            <w:tcW w:w="1387" w:type="dxa"/>
            <w:vAlign w:val="center"/>
          </w:tcPr>
          <w:p w:rsidR="00B22AA6" w:rsidRDefault="008C3252">
            <w:pPr>
              <w:jc w:val="right"/>
            </w:pPr>
            <w:r>
              <w:rPr>
                <w:color w:val="000000"/>
                <w:sz w:val="24"/>
                <w:szCs w:val="24"/>
              </w:rPr>
              <w:t>1,650</w:t>
            </w:r>
          </w:p>
        </w:tc>
        <w:tc>
          <w:tcPr>
            <w:tcW w:w="2150" w:type="dxa"/>
            <w:vAlign w:val="center"/>
          </w:tcPr>
          <w:p w:rsidR="00B22AA6" w:rsidRDefault="008C3252">
            <w:pPr>
              <w:jc w:val="right"/>
            </w:pPr>
            <w:r>
              <w:rPr>
                <w:color w:val="000000"/>
                <w:sz w:val="24"/>
                <w:szCs w:val="24"/>
              </w:rPr>
              <w:t>165,000.00</w:t>
            </w:r>
          </w:p>
        </w:tc>
        <w:tc>
          <w:tcPr>
            <w:tcW w:w="1237" w:type="dxa"/>
            <w:vAlign w:val="center"/>
          </w:tcPr>
          <w:p w:rsidR="00B22AA6" w:rsidRDefault="008C3252">
            <w:pPr>
              <w:jc w:val="right"/>
            </w:pPr>
            <w:r>
              <w:rPr>
                <w:color w:val="000000"/>
                <w:sz w:val="24"/>
                <w:szCs w:val="24"/>
              </w:rPr>
              <w:t>0.11</w:t>
            </w:r>
          </w:p>
        </w:tc>
      </w:tr>
      <w:tr w:rsidR="00B22AA6">
        <w:trPr>
          <w:jc w:val="center"/>
        </w:trPr>
        <w:tc>
          <w:tcPr>
            <w:tcW w:w="850" w:type="dxa"/>
            <w:vAlign w:val="center"/>
          </w:tcPr>
          <w:p w:rsidR="00B22AA6" w:rsidRDefault="008C3252">
            <w:pPr>
              <w:jc w:val="center"/>
            </w:pPr>
            <w:r>
              <w:rPr>
                <w:color w:val="000000"/>
                <w:sz w:val="24"/>
                <w:szCs w:val="24"/>
              </w:rPr>
              <w:t>5</w:t>
            </w:r>
          </w:p>
        </w:tc>
        <w:tc>
          <w:tcPr>
            <w:tcW w:w="1475" w:type="dxa"/>
            <w:vAlign w:val="center"/>
          </w:tcPr>
          <w:p w:rsidR="00B22AA6" w:rsidRDefault="008C3252">
            <w:pPr>
              <w:jc w:val="center"/>
            </w:pPr>
            <w:r>
              <w:rPr>
                <w:color w:val="000000"/>
                <w:sz w:val="24"/>
                <w:szCs w:val="24"/>
              </w:rPr>
              <w:t>110035</w:t>
            </w:r>
          </w:p>
        </w:tc>
        <w:tc>
          <w:tcPr>
            <w:tcW w:w="1769" w:type="dxa"/>
            <w:vAlign w:val="center"/>
          </w:tcPr>
          <w:p w:rsidR="00B22AA6" w:rsidRDefault="008C3252">
            <w:pPr>
              <w:jc w:val="center"/>
            </w:pPr>
            <w:r>
              <w:rPr>
                <w:color w:val="000000"/>
                <w:sz w:val="24"/>
                <w:szCs w:val="24"/>
              </w:rPr>
              <w:t>白云转债</w:t>
            </w:r>
          </w:p>
        </w:tc>
        <w:tc>
          <w:tcPr>
            <w:tcW w:w="1387" w:type="dxa"/>
            <w:vAlign w:val="center"/>
          </w:tcPr>
          <w:p w:rsidR="00B22AA6" w:rsidRDefault="008C3252">
            <w:pPr>
              <w:jc w:val="right"/>
            </w:pPr>
            <w:r>
              <w:rPr>
                <w:color w:val="000000"/>
                <w:sz w:val="24"/>
                <w:szCs w:val="24"/>
              </w:rPr>
              <w:t>1,260</w:t>
            </w:r>
          </w:p>
        </w:tc>
        <w:tc>
          <w:tcPr>
            <w:tcW w:w="2150" w:type="dxa"/>
            <w:vAlign w:val="center"/>
          </w:tcPr>
          <w:p w:rsidR="00B22AA6" w:rsidRDefault="008C3252">
            <w:pPr>
              <w:jc w:val="right"/>
            </w:pPr>
            <w:r>
              <w:rPr>
                <w:color w:val="000000"/>
                <w:sz w:val="24"/>
                <w:szCs w:val="24"/>
              </w:rPr>
              <w:t>155,345.40</w:t>
            </w:r>
          </w:p>
        </w:tc>
        <w:tc>
          <w:tcPr>
            <w:tcW w:w="1237" w:type="dxa"/>
            <w:vAlign w:val="center"/>
          </w:tcPr>
          <w:p w:rsidR="00B22AA6" w:rsidRDefault="008C3252">
            <w:pPr>
              <w:jc w:val="right"/>
            </w:pPr>
            <w:r>
              <w:rPr>
                <w:color w:val="000000"/>
                <w:sz w:val="24"/>
                <w:szCs w:val="24"/>
              </w:rPr>
              <w:t>0.10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68,304.86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371,951.40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5,108.01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445,364.27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22AA6">
        <w:trPr>
          <w:jc w:val="center"/>
        </w:trPr>
        <w:tc>
          <w:tcPr>
            <w:tcW w:w="1129" w:type="dxa"/>
            <w:vAlign w:val="center"/>
          </w:tcPr>
          <w:p w:rsidR="00B22AA6" w:rsidRDefault="008C3252">
            <w:pPr>
              <w:jc w:val="center"/>
            </w:pPr>
            <w:r>
              <w:rPr>
                <w:color w:val="000000"/>
                <w:sz w:val="24"/>
                <w:szCs w:val="24"/>
              </w:rPr>
              <w:t>1</w:t>
            </w:r>
          </w:p>
        </w:tc>
        <w:tc>
          <w:tcPr>
            <w:tcW w:w="1356" w:type="dxa"/>
            <w:vAlign w:val="center"/>
          </w:tcPr>
          <w:p w:rsidR="00B22AA6" w:rsidRDefault="008C3252">
            <w:pPr>
              <w:jc w:val="center"/>
            </w:pPr>
            <w:r>
              <w:rPr>
                <w:color w:val="000000"/>
                <w:sz w:val="24"/>
                <w:szCs w:val="24"/>
              </w:rPr>
              <w:t>300488</w:t>
            </w:r>
          </w:p>
        </w:tc>
        <w:tc>
          <w:tcPr>
            <w:tcW w:w="1355" w:type="dxa"/>
            <w:vAlign w:val="center"/>
          </w:tcPr>
          <w:p w:rsidR="00B22AA6" w:rsidRDefault="008C3252">
            <w:pPr>
              <w:jc w:val="center"/>
            </w:pPr>
            <w:r>
              <w:rPr>
                <w:color w:val="000000"/>
                <w:sz w:val="24"/>
                <w:szCs w:val="24"/>
              </w:rPr>
              <w:t>恒锋工具</w:t>
            </w:r>
          </w:p>
        </w:tc>
        <w:tc>
          <w:tcPr>
            <w:tcW w:w="1880" w:type="dxa"/>
            <w:vAlign w:val="center"/>
          </w:tcPr>
          <w:p w:rsidR="00B22AA6" w:rsidRDefault="008C3252">
            <w:pPr>
              <w:jc w:val="right"/>
            </w:pPr>
            <w:r>
              <w:rPr>
                <w:color w:val="000000"/>
                <w:sz w:val="24"/>
                <w:szCs w:val="24"/>
              </w:rPr>
              <w:t>2,140,527.36</w:t>
            </w:r>
          </w:p>
        </w:tc>
        <w:tc>
          <w:tcPr>
            <w:tcW w:w="1724" w:type="dxa"/>
            <w:vAlign w:val="center"/>
          </w:tcPr>
          <w:p w:rsidR="00B22AA6" w:rsidRDefault="008C3252">
            <w:pPr>
              <w:jc w:val="right"/>
            </w:pPr>
            <w:r>
              <w:rPr>
                <w:color w:val="000000"/>
                <w:sz w:val="24"/>
                <w:szCs w:val="24"/>
              </w:rPr>
              <w:t>1.38</w:t>
            </w:r>
          </w:p>
        </w:tc>
        <w:tc>
          <w:tcPr>
            <w:tcW w:w="1424" w:type="dxa"/>
            <w:vAlign w:val="center"/>
          </w:tcPr>
          <w:p w:rsidR="00B22AA6" w:rsidRDefault="008C3252">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132,422,664.82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1,206,603.67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6,418,265.69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127,211,002.80</w:t>
            </w:r>
          </w:p>
        </w:tc>
      </w:tr>
    </w:tbl>
    <w:p w:rsidR="00B22AA6" w:rsidRDefault="008C325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22AA6" w:rsidRDefault="008C325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B22AA6" w:rsidRDefault="008C325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rsidR="00B22AA6" w:rsidRDefault="008C325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rsidR="00B22AA6" w:rsidRDefault="008C325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rsidR="00B22AA6" w:rsidRDefault="008C3252">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B22AA6" w:rsidRDefault="008C3252">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B22AA6" w:rsidRDefault="008C3252">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rsidR="00B22AA6" w:rsidRDefault="008C3252">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22AA6" w:rsidRDefault="008C325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8D" w:rsidRDefault="00BC358D" w:rsidP="00876D65">
      <w:r>
        <w:separator/>
      </w:r>
    </w:p>
  </w:endnote>
  <w:endnote w:type="continuationSeparator" w:id="0">
    <w:p w:rsidR="00BC358D" w:rsidRDefault="00BC358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1527B8">
      <w:rPr>
        <w:noProof/>
        <w:kern w:val="0"/>
        <w:szCs w:val="21"/>
      </w:rPr>
      <w:t>6</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1527B8">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8D" w:rsidRDefault="00BC358D" w:rsidP="00876D65">
      <w:r>
        <w:separator/>
      </w:r>
    </w:p>
  </w:footnote>
  <w:footnote w:type="continuationSeparator" w:id="0">
    <w:p w:rsidR="00BC358D" w:rsidRDefault="00BC358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27B8"/>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AF8"/>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0F30"/>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3252"/>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AA6"/>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358D"/>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26AB"/>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23AD-16F7-40D1-AB2E-32C28198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13</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2016-04-18T06:10:00Z</dcterms:modified>
</cp:coreProperties>
</file>