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3238" w:rsidRDefault="00E756A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48,642,335.00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756A7" w:rsidRPr="00414345" w:rsidTr="00E756A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756A7" w:rsidRPr="00414345" w:rsidTr="00E756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-11,575,264.63</w:t>
            </w:r>
          </w:p>
        </w:tc>
      </w:tr>
      <w:tr w:rsidR="00E756A7" w:rsidRPr="00414345" w:rsidTr="00E756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-16,594,189.68</w:t>
            </w:r>
          </w:p>
        </w:tc>
      </w:tr>
      <w:tr w:rsidR="00E756A7" w:rsidRPr="00414345" w:rsidTr="00E756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-0.3280</w:t>
            </w:r>
          </w:p>
        </w:tc>
      </w:tr>
      <w:tr w:rsidR="00E756A7" w:rsidRPr="00414345" w:rsidTr="00E756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85,658,522.38</w:t>
            </w:r>
          </w:p>
        </w:tc>
      </w:tr>
      <w:tr w:rsidR="00E756A7" w:rsidRPr="00414345" w:rsidTr="00E756A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1.761</w:t>
            </w:r>
          </w:p>
        </w:tc>
      </w:tr>
    </w:tbl>
    <w:p w:rsidR="008A3238" w:rsidRDefault="00E756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3238">
        <w:trPr>
          <w:jc w:val="center"/>
        </w:trPr>
        <w:tc>
          <w:tcPr>
            <w:tcW w:w="1701" w:type="dxa"/>
            <w:vAlign w:val="center"/>
          </w:tcPr>
          <w:p w:rsidR="008A3238" w:rsidRDefault="00E756A7">
            <w:pPr>
              <w:jc w:val="left"/>
            </w:pPr>
            <w:r>
              <w:rPr>
                <w:color w:val="000000"/>
                <w:sz w:val="24"/>
                <w:szCs w:val="24"/>
              </w:rPr>
              <w:t>过去三个月</w:t>
            </w:r>
          </w:p>
        </w:tc>
        <w:tc>
          <w:tcPr>
            <w:tcW w:w="1045" w:type="dxa"/>
            <w:vAlign w:val="center"/>
          </w:tcPr>
          <w:p w:rsidR="008A3238" w:rsidRDefault="00E756A7">
            <w:pPr>
              <w:jc w:val="center"/>
            </w:pPr>
            <w:r>
              <w:rPr>
                <w:color w:val="000000"/>
                <w:sz w:val="24"/>
                <w:szCs w:val="24"/>
              </w:rPr>
              <w:t>-15.17%</w:t>
            </w:r>
          </w:p>
        </w:tc>
        <w:tc>
          <w:tcPr>
            <w:tcW w:w="1344" w:type="dxa"/>
            <w:vAlign w:val="center"/>
          </w:tcPr>
          <w:p w:rsidR="008A3238" w:rsidRDefault="00E756A7">
            <w:pPr>
              <w:jc w:val="center"/>
            </w:pPr>
            <w:r>
              <w:rPr>
                <w:color w:val="000000"/>
                <w:sz w:val="24"/>
                <w:szCs w:val="24"/>
              </w:rPr>
              <w:t>2.03%</w:t>
            </w:r>
          </w:p>
        </w:tc>
        <w:tc>
          <w:tcPr>
            <w:tcW w:w="1194" w:type="dxa"/>
            <w:vAlign w:val="center"/>
          </w:tcPr>
          <w:p w:rsidR="008A3238" w:rsidRDefault="00E756A7">
            <w:pPr>
              <w:jc w:val="center"/>
            </w:pPr>
            <w:r>
              <w:rPr>
                <w:color w:val="000000"/>
                <w:sz w:val="24"/>
                <w:szCs w:val="24"/>
              </w:rPr>
              <w:t>-6.31%</w:t>
            </w:r>
          </w:p>
        </w:tc>
        <w:tc>
          <w:tcPr>
            <w:tcW w:w="1492" w:type="dxa"/>
            <w:vAlign w:val="center"/>
          </w:tcPr>
          <w:p w:rsidR="008A3238" w:rsidRDefault="00E756A7">
            <w:pPr>
              <w:jc w:val="center"/>
            </w:pPr>
            <w:r>
              <w:rPr>
                <w:color w:val="000000"/>
                <w:sz w:val="24"/>
                <w:szCs w:val="24"/>
              </w:rPr>
              <w:t>1.24%</w:t>
            </w:r>
          </w:p>
        </w:tc>
        <w:tc>
          <w:tcPr>
            <w:tcW w:w="1194" w:type="dxa"/>
            <w:vAlign w:val="center"/>
          </w:tcPr>
          <w:p w:rsidR="008A3238" w:rsidRDefault="00E756A7">
            <w:pPr>
              <w:jc w:val="center"/>
            </w:pPr>
            <w:r>
              <w:rPr>
                <w:color w:val="000000"/>
                <w:sz w:val="24"/>
                <w:szCs w:val="24"/>
              </w:rPr>
              <w:t>-8.86%</w:t>
            </w:r>
          </w:p>
        </w:tc>
        <w:tc>
          <w:tcPr>
            <w:tcW w:w="898" w:type="dxa"/>
            <w:vAlign w:val="center"/>
          </w:tcPr>
          <w:p w:rsidR="008A3238" w:rsidRDefault="00E756A7">
            <w:pPr>
              <w:jc w:val="center"/>
            </w:pPr>
            <w:r>
              <w:rPr>
                <w:color w:val="000000"/>
                <w:sz w:val="24"/>
                <w:szCs w:val="24"/>
              </w:rPr>
              <w:t>0.79%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A3238">
        <w:trPr>
          <w:jc w:val="center"/>
        </w:trPr>
        <w:tc>
          <w:tcPr>
            <w:tcW w:w="846" w:type="dxa"/>
            <w:vAlign w:val="center"/>
          </w:tcPr>
          <w:p w:rsidR="008A3238" w:rsidRDefault="00E756A7">
            <w:pPr>
              <w:jc w:val="center"/>
            </w:pPr>
            <w:r>
              <w:rPr>
                <w:color w:val="000000"/>
                <w:sz w:val="24"/>
                <w:szCs w:val="24"/>
              </w:rPr>
              <w:t>杨浩</w:t>
            </w:r>
          </w:p>
        </w:tc>
        <w:tc>
          <w:tcPr>
            <w:tcW w:w="845" w:type="dxa"/>
            <w:vAlign w:val="center"/>
          </w:tcPr>
          <w:p w:rsidR="008A3238" w:rsidRDefault="00E756A7">
            <w:pPr>
              <w:jc w:val="center"/>
            </w:pPr>
            <w:r>
              <w:rPr>
                <w:color w:val="000000"/>
                <w:sz w:val="24"/>
                <w:szCs w:val="24"/>
              </w:rPr>
              <w:t>交银定期支付双息平衡混合的基金经理</w:t>
            </w:r>
          </w:p>
        </w:tc>
        <w:tc>
          <w:tcPr>
            <w:tcW w:w="1549" w:type="dxa"/>
            <w:vAlign w:val="center"/>
          </w:tcPr>
          <w:p w:rsidR="008A3238" w:rsidRDefault="00E756A7">
            <w:pPr>
              <w:jc w:val="center"/>
            </w:pPr>
            <w:r>
              <w:rPr>
                <w:color w:val="000000"/>
                <w:sz w:val="24"/>
                <w:szCs w:val="24"/>
              </w:rPr>
              <w:t>2015-08-15</w:t>
            </w:r>
          </w:p>
        </w:tc>
        <w:tc>
          <w:tcPr>
            <w:tcW w:w="1548" w:type="dxa"/>
            <w:vAlign w:val="center"/>
          </w:tcPr>
          <w:p w:rsidR="008A3238" w:rsidRDefault="00E756A7">
            <w:pPr>
              <w:jc w:val="center"/>
            </w:pPr>
            <w:r>
              <w:rPr>
                <w:color w:val="000000"/>
                <w:sz w:val="24"/>
                <w:szCs w:val="24"/>
              </w:rPr>
              <w:t>-</w:t>
            </w:r>
          </w:p>
        </w:tc>
        <w:tc>
          <w:tcPr>
            <w:tcW w:w="1407" w:type="dxa"/>
            <w:vAlign w:val="center"/>
          </w:tcPr>
          <w:p w:rsidR="008A3238" w:rsidRDefault="00E756A7">
            <w:pPr>
              <w:jc w:val="center"/>
            </w:pPr>
            <w:r>
              <w:rPr>
                <w:color w:val="000000"/>
                <w:sz w:val="24"/>
                <w:szCs w:val="24"/>
              </w:rPr>
              <w:t>6</w:t>
            </w:r>
            <w:r>
              <w:rPr>
                <w:color w:val="000000"/>
                <w:sz w:val="24"/>
                <w:szCs w:val="24"/>
              </w:rPr>
              <w:t>年</w:t>
            </w:r>
          </w:p>
        </w:tc>
        <w:tc>
          <w:tcPr>
            <w:tcW w:w="2673" w:type="dxa"/>
            <w:vAlign w:val="center"/>
          </w:tcPr>
          <w:p w:rsidR="008A3238" w:rsidRDefault="00E756A7">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3238" w:rsidRDefault="00E756A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3238" w:rsidRDefault="00E756A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3238" w:rsidRDefault="00E756A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BB5415" w:rsidRPr="00BB5415" w:rsidRDefault="00BB5415"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3238" w:rsidRDefault="00E756A7">
      <w:pPr>
        <w:spacing w:before="29" w:line="288" w:lineRule="auto"/>
        <w:ind w:firstLineChars="200" w:firstLine="480"/>
        <w:rPr>
          <w:color w:val="000000"/>
          <w:sz w:val="24"/>
          <w:szCs w:val="24"/>
        </w:rPr>
      </w:pPr>
      <w:r>
        <w:rPr>
          <w:color w:val="000000"/>
          <w:sz w:val="24"/>
          <w:szCs w:val="24"/>
        </w:rPr>
        <w:t>2016</w:t>
      </w:r>
      <w:r>
        <w:rPr>
          <w:color w:val="000000"/>
          <w:sz w:val="24"/>
          <w:szCs w:val="24"/>
        </w:rPr>
        <w:t>年开年市场整体跌幅较大，其中以创业板为代表的新兴成长行业跌幅较大。人民币兑美元持续贬值预期、</w:t>
      </w:r>
      <w:r>
        <w:rPr>
          <w:color w:val="000000"/>
          <w:sz w:val="24"/>
          <w:szCs w:val="24"/>
        </w:rPr>
        <w:t>2015</w:t>
      </w:r>
      <w:r>
        <w:rPr>
          <w:color w:val="000000"/>
          <w:sz w:val="24"/>
          <w:szCs w:val="24"/>
        </w:rPr>
        <w:t>年年底再次泡沫化的成长股估值调整、熔断交易机制的助推是主要原因。但在</w:t>
      </w:r>
      <w:r>
        <w:rPr>
          <w:color w:val="000000"/>
          <w:sz w:val="24"/>
          <w:szCs w:val="24"/>
        </w:rPr>
        <w:t>2</w:t>
      </w:r>
      <w:r>
        <w:rPr>
          <w:color w:val="000000"/>
          <w:sz w:val="24"/>
          <w:szCs w:val="24"/>
        </w:rPr>
        <w:t>月份、</w:t>
      </w:r>
      <w:r>
        <w:rPr>
          <w:color w:val="000000"/>
          <w:sz w:val="24"/>
          <w:szCs w:val="24"/>
        </w:rPr>
        <w:t>3</w:t>
      </w:r>
      <w:r>
        <w:rPr>
          <w:color w:val="000000"/>
          <w:sz w:val="24"/>
          <w:szCs w:val="24"/>
        </w:rPr>
        <w:t>月份汇率企稳，银行信贷投放加大、经济数据有所好转的背景下，市场出现小幅反弹，特别是景气度较高的细分行业具有较为明显的相对收益。总体而言，市场仍然是有效且敏锐的。</w:t>
      </w:r>
    </w:p>
    <w:p w:rsidR="008A3238" w:rsidRDefault="00E756A7">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年年初时配置以</w:t>
      </w:r>
      <w:r>
        <w:rPr>
          <w:color w:val="000000"/>
          <w:sz w:val="24"/>
          <w:szCs w:val="24"/>
        </w:rPr>
        <w:t>TMT</w:t>
      </w:r>
      <w:r>
        <w:rPr>
          <w:color w:val="000000"/>
          <w:sz w:val="24"/>
          <w:szCs w:val="24"/>
        </w:rPr>
        <w:t>为代表的成长股较多，净值受到影响，但整体而言降低组合贝塔的速度较快，避免了进一步的损失，并通过精选估值合理的行业龙头企业，加大对高景气度行业的个股配置，净值逐步回升。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展望二季度，短期通过信贷扩张造成的经济转好的持续性有待进一步观察，中长期而言，经济发展不能再走老路。同时美联储加息或有所推迟，但目前仍然在加息趋势中，人民币中期的贬值压力和</w:t>
      </w:r>
      <w:r w:rsidRPr="00414345">
        <w:rPr>
          <w:color w:val="000000"/>
          <w:sz w:val="24"/>
          <w:szCs w:val="24"/>
        </w:rPr>
        <w:t>CPI</w:t>
      </w:r>
      <w:r w:rsidRPr="00414345">
        <w:rPr>
          <w:color w:val="000000"/>
          <w:sz w:val="24"/>
          <w:szCs w:val="24"/>
        </w:rPr>
        <w:t>回升带来的滞涨隐患可能会影响国内进一步的流动性刺激的空间。对二季度，我们维持中性选股的投资策略，主要配置景气度高、竞争力强的优质公司股票，以合理的价格介入作中期布局，努力为持有人创造更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1.761</w:t>
      </w:r>
      <w:r w:rsidRPr="00414345">
        <w:rPr>
          <w:color w:val="000000"/>
          <w:sz w:val="24"/>
          <w:szCs w:val="24"/>
        </w:rPr>
        <w:t>元，本报告期份额净值增长率为</w:t>
      </w:r>
      <w:r w:rsidRPr="00414345">
        <w:rPr>
          <w:color w:val="000000"/>
          <w:sz w:val="24"/>
          <w:szCs w:val="24"/>
        </w:rPr>
        <w:t>-15.17%</w:t>
      </w:r>
      <w:r w:rsidRPr="00414345">
        <w:rPr>
          <w:color w:val="000000"/>
          <w:sz w:val="24"/>
          <w:szCs w:val="24"/>
        </w:rPr>
        <w:t>，同期业绩比较基准增长率为</w:t>
      </w:r>
      <w:r w:rsidRPr="00414345">
        <w:rPr>
          <w:color w:val="000000"/>
          <w:sz w:val="24"/>
          <w:szCs w:val="24"/>
        </w:rPr>
        <w:t>-6.31%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58,683,855.87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58,683,855.87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20,201,000.00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20,201,000.00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11,050,431.21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535,121.16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90,470,408.24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2,918,309.35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39,781,580.14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3,725,596.78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2,456,300.00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880,670.00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839,965.00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1,690,676.00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2,764,152.00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3,626,606.60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58,683,855.87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68.51</w:t>
            </w:r>
          </w:p>
        </w:tc>
      </w:tr>
    </w:tbl>
    <w:p w:rsidR="00E756A7" w:rsidRDefault="00E756A7" w:rsidP="00C15CAC">
      <w:pPr>
        <w:autoSpaceDE w:val="0"/>
        <w:autoSpaceDN w:val="0"/>
        <w:adjustRightInd w:val="0"/>
        <w:spacing w:before="29" w:line="288" w:lineRule="auto"/>
        <w:jc w:val="left"/>
        <w:rPr>
          <w:b/>
          <w:bCs/>
          <w:color w:val="000000"/>
          <w:kern w:val="0"/>
          <w:sz w:val="24"/>
          <w:szCs w:val="24"/>
        </w:rPr>
      </w:pPr>
    </w:p>
    <w:p w:rsidR="00E756A7" w:rsidRPr="008A409E" w:rsidRDefault="00E756A7" w:rsidP="00E756A7">
      <w:pPr>
        <w:jc w:val="left"/>
        <w:rPr>
          <w:rFonts w:asciiTheme="minorEastAsia" w:eastAsiaTheme="minorEastAsia" w:hAnsiTheme="minorEastAsia"/>
          <w:b/>
          <w:bCs/>
          <w:color w:val="000000" w:themeColor="text1"/>
          <w:kern w:val="0"/>
          <w:sz w:val="24"/>
        </w:rPr>
      </w:pPr>
      <w:r w:rsidRPr="00455DCF">
        <w:rPr>
          <w:rFonts w:eastAsiaTheme="minorEastAsia"/>
          <w:b/>
          <w:bCs/>
          <w:color w:val="000000" w:themeColor="text1"/>
          <w:kern w:val="0"/>
          <w:sz w:val="24"/>
        </w:rPr>
        <w:t>5.2.2</w:t>
      </w:r>
      <w:r w:rsidRPr="00010F9F">
        <w:rPr>
          <w:rFonts w:asciiTheme="minorEastAsia" w:eastAsiaTheme="minorEastAsia" w:hAnsiTheme="minorEastAsia" w:hint="eastAsia"/>
          <w:b/>
          <w:bCs/>
          <w:color w:val="000000" w:themeColor="text1"/>
          <w:kern w:val="0"/>
          <w:sz w:val="24"/>
        </w:rPr>
        <w:t>报告期末按行业分类的沪港通投资股票投资组合</w:t>
      </w:r>
    </w:p>
    <w:p w:rsidR="00E756A7" w:rsidRPr="00E756A7" w:rsidRDefault="00E756A7" w:rsidP="00E756A7">
      <w:pPr>
        <w:spacing w:before="29" w:line="360" w:lineRule="auto"/>
        <w:ind w:left="17"/>
        <w:rPr>
          <w:color w:val="000000"/>
          <w:sz w:val="24"/>
        </w:rPr>
      </w:pPr>
      <w:r w:rsidRPr="00FF0BBF">
        <w:rPr>
          <w:color w:val="000000"/>
          <w:sz w:val="24"/>
        </w:rPr>
        <w:t>本基金本报告期末未持有通过沪港通投资的股票。</w:t>
      </w:r>
    </w:p>
    <w:p w:rsidR="00E756A7" w:rsidRDefault="00E756A7"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A3238">
        <w:trPr>
          <w:jc w:val="center"/>
        </w:trPr>
        <w:tc>
          <w:tcPr>
            <w:tcW w:w="855" w:type="dxa"/>
            <w:vAlign w:val="center"/>
          </w:tcPr>
          <w:p w:rsidR="008A3238" w:rsidRDefault="00E756A7">
            <w:pPr>
              <w:jc w:val="center"/>
            </w:pPr>
            <w:r>
              <w:rPr>
                <w:color w:val="000000"/>
                <w:sz w:val="24"/>
                <w:szCs w:val="24"/>
              </w:rPr>
              <w:t>1</w:t>
            </w:r>
          </w:p>
        </w:tc>
        <w:tc>
          <w:tcPr>
            <w:tcW w:w="1334" w:type="dxa"/>
            <w:vAlign w:val="center"/>
          </w:tcPr>
          <w:p w:rsidR="008A3238" w:rsidRDefault="00E756A7">
            <w:pPr>
              <w:jc w:val="center"/>
            </w:pPr>
            <w:r>
              <w:rPr>
                <w:color w:val="000000"/>
                <w:sz w:val="24"/>
                <w:szCs w:val="24"/>
              </w:rPr>
              <w:t>002045</w:t>
            </w:r>
          </w:p>
        </w:tc>
        <w:tc>
          <w:tcPr>
            <w:tcW w:w="1777" w:type="dxa"/>
            <w:vAlign w:val="center"/>
          </w:tcPr>
          <w:p w:rsidR="008A3238" w:rsidRDefault="00E756A7">
            <w:pPr>
              <w:jc w:val="center"/>
            </w:pPr>
            <w:r>
              <w:rPr>
                <w:color w:val="000000"/>
                <w:sz w:val="24"/>
                <w:szCs w:val="24"/>
              </w:rPr>
              <w:t>国光电器</w:t>
            </w:r>
          </w:p>
        </w:tc>
        <w:tc>
          <w:tcPr>
            <w:tcW w:w="1334" w:type="dxa"/>
            <w:vAlign w:val="center"/>
          </w:tcPr>
          <w:p w:rsidR="008A3238" w:rsidRDefault="00E756A7">
            <w:pPr>
              <w:jc w:val="right"/>
            </w:pPr>
            <w:r>
              <w:rPr>
                <w:color w:val="000000"/>
                <w:sz w:val="24"/>
                <w:szCs w:val="24"/>
              </w:rPr>
              <w:t>305,367</w:t>
            </w:r>
          </w:p>
        </w:tc>
        <w:tc>
          <w:tcPr>
            <w:tcW w:w="1924" w:type="dxa"/>
            <w:vAlign w:val="center"/>
          </w:tcPr>
          <w:p w:rsidR="008A3238" w:rsidRDefault="00E756A7">
            <w:pPr>
              <w:jc w:val="right"/>
            </w:pPr>
            <w:r>
              <w:rPr>
                <w:color w:val="000000"/>
                <w:sz w:val="24"/>
                <w:szCs w:val="24"/>
              </w:rPr>
              <w:t>4,070,542.11</w:t>
            </w:r>
          </w:p>
        </w:tc>
        <w:tc>
          <w:tcPr>
            <w:tcW w:w="1644" w:type="dxa"/>
            <w:vAlign w:val="center"/>
          </w:tcPr>
          <w:p w:rsidR="008A3238" w:rsidRDefault="00E756A7">
            <w:pPr>
              <w:jc w:val="right"/>
            </w:pPr>
            <w:r>
              <w:rPr>
                <w:color w:val="000000"/>
                <w:sz w:val="24"/>
                <w:szCs w:val="24"/>
              </w:rPr>
              <w:t>4.75</w:t>
            </w:r>
          </w:p>
        </w:tc>
      </w:tr>
      <w:tr w:rsidR="008A3238">
        <w:trPr>
          <w:jc w:val="center"/>
        </w:trPr>
        <w:tc>
          <w:tcPr>
            <w:tcW w:w="855" w:type="dxa"/>
            <w:vAlign w:val="center"/>
          </w:tcPr>
          <w:p w:rsidR="008A3238" w:rsidRDefault="00E756A7">
            <w:pPr>
              <w:jc w:val="center"/>
            </w:pPr>
            <w:r>
              <w:rPr>
                <w:color w:val="000000"/>
                <w:sz w:val="24"/>
                <w:szCs w:val="24"/>
              </w:rPr>
              <w:t>2</w:t>
            </w:r>
          </w:p>
        </w:tc>
        <w:tc>
          <w:tcPr>
            <w:tcW w:w="1334" w:type="dxa"/>
            <w:vAlign w:val="center"/>
          </w:tcPr>
          <w:p w:rsidR="008A3238" w:rsidRDefault="00E756A7">
            <w:pPr>
              <w:jc w:val="center"/>
            </w:pPr>
            <w:r>
              <w:rPr>
                <w:color w:val="000000"/>
                <w:sz w:val="24"/>
                <w:szCs w:val="24"/>
              </w:rPr>
              <w:t>002131</w:t>
            </w:r>
          </w:p>
        </w:tc>
        <w:tc>
          <w:tcPr>
            <w:tcW w:w="1777" w:type="dxa"/>
            <w:vAlign w:val="center"/>
          </w:tcPr>
          <w:p w:rsidR="008A3238" w:rsidRDefault="00E756A7">
            <w:pPr>
              <w:jc w:val="center"/>
            </w:pPr>
            <w:r>
              <w:rPr>
                <w:color w:val="000000"/>
                <w:sz w:val="24"/>
                <w:szCs w:val="24"/>
              </w:rPr>
              <w:t>利欧股份</w:t>
            </w:r>
          </w:p>
        </w:tc>
        <w:tc>
          <w:tcPr>
            <w:tcW w:w="1334" w:type="dxa"/>
            <w:vAlign w:val="center"/>
          </w:tcPr>
          <w:p w:rsidR="008A3238" w:rsidRDefault="00E756A7">
            <w:pPr>
              <w:jc w:val="right"/>
            </w:pPr>
            <w:r>
              <w:rPr>
                <w:color w:val="000000"/>
                <w:sz w:val="24"/>
                <w:szCs w:val="24"/>
              </w:rPr>
              <w:t>199,215</w:t>
            </w:r>
          </w:p>
        </w:tc>
        <w:tc>
          <w:tcPr>
            <w:tcW w:w="1924" w:type="dxa"/>
            <w:vAlign w:val="center"/>
          </w:tcPr>
          <w:p w:rsidR="008A3238" w:rsidRDefault="00E756A7">
            <w:pPr>
              <w:jc w:val="right"/>
            </w:pPr>
            <w:r>
              <w:rPr>
                <w:color w:val="000000"/>
                <w:sz w:val="24"/>
                <w:szCs w:val="24"/>
              </w:rPr>
              <w:t>3,344,819.85</w:t>
            </w:r>
          </w:p>
        </w:tc>
        <w:tc>
          <w:tcPr>
            <w:tcW w:w="1644" w:type="dxa"/>
            <w:vAlign w:val="center"/>
          </w:tcPr>
          <w:p w:rsidR="008A3238" w:rsidRDefault="00E756A7">
            <w:pPr>
              <w:jc w:val="right"/>
            </w:pPr>
            <w:r>
              <w:rPr>
                <w:color w:val="000000"/>
                <w:sz w:val="24"/>
                <w:szCs w:val="24"/>
              </w:rPr>
              <w:t>3.90</w:t>
            </w:r>
          </w:p>
        </w:tc>
      </w:tr>
      <w:tr w:rsidR="008A3238">
        <w:trPr>
          <w:jc w:val="center"/>
        </w:trPr>
        <w:tc>
          <w:tcPr>
            <w:tcW w:w="855" w:type="dxa"/>
            <w:vAlign w:val="center"/>
          </w:tcPr>
          <w:p w:rsidR="008A3238" w:rsidRDefault="00E756A7">
            <w:pPr>
              <w:jc w:val="center"/>
            </w:pPr>
            <w:r>
              <w:rPr>
                <w:color w:val="000000"/>
                <w:sz w:val="24"/>
                <w:szCs w:val="24"/>
              </w:rPr>
              <w:t>3</w:t>
            </w:r>
          </w:p>
        </w:tc>
        <w:tc>
          <w:tcPr>
            <w:tcW w:w="1334" w:type="dxa"/>
            <w:vAlign w:val="center"/>
          </w:tcPr>
          <w:p w:rsidR="008A3238" w:rsidRDefault="00E756A7">
            <w:pPr>
              <w:jc w:val="center"/>
            </w:pPr>
            <w:r>
              <w:rPr>
                <w:color w:val="000000"/>
                <w:sz w:val="24"/>
                <w:szCs w:val="24"/>
              </w:rPr>
              <w:t>002456</w:t>
            </w:r>
          </w:p>
        </w:tc>
        <w:tc>
          <w:tcPr>
            <w:tcW w:w="1777" w:type="dxa"/>
            <w:vAlign w:val="center"/>
          </w:tcPr>
          <w:p w:rsidR="008A3238" w:rsidRDefault="00E756A7">
            <w:pPr>
              <w:jc w:val="center"/>
            </w:pPr>
            <w:r>
              <w:rPr>
                <w:color w:val="000000"/>
                <w:sz w:val="24"/>
                <w:szCs w:val="24"/>
              </w:rPr>
              <w:t>欧菲光</w:t>
            </w:r>
          </w:p>
        </w:tc>
        <w:tc>
          <w:tcPr>
            <w:tcW w:w="1334" w:type="dxa"/>
            <w:vAlign w:val="center"/>
          </w:tcPr>
          <w:p w:rsidR="008A3238" w:rsidRDefault="00E756A7">
            <w:pPr>
              <w:jc w:val="right"/>
            </w:pPr>
            <w:r>
              <w:rPr>
                <w:color w:val="000000"/>
                <w:sz w:val="24"/>
                <w:szCs w:val="24"/>
              </w:rPr>
              <w:t>111,557</w:t>
            </w:r>
          </w:p>
        </w:tc>
        <w:tc>
          <w:tcPr>
            <w:tcW w:w="1924" w:type="dxa"/>
            <w:vAlign w:val="center"/>
          </w:tcPr>
          <w:p w:rsidR="008A3238" w:rsidRDefault="00E756A7">
            <w:pPr>
              <w:jc w:val="right"/>
            </w:pPr>
            <w:r>
              <w:rPr>
                <w:color w:val="000000"/>
                <w:sz w:val="24"/>
                <w:szCs w:val="24"/>
              </w:rPr>
              <w:t>2,960,722.78</w:t>
            </w:r>
          </w:p>
        </w:tc>
        <w:tc>
          <w:tcPr>
            <w:tcW w:w="1644" w:type="dxa"/>
            <w:vAlign w:val="center"/>
          </w:tcPr>
          <w:p w:rsidR="008A3238" w:rsidRDefault="00E756A7">
            <w:pPr>
              <w:jc w:val="right"/>
            </w:pPr>
            <w:r>
              <w:rPr>
                <w:color w:val="000000"/>
                <w:sz w:val="24"/>
                <w:szCs w:val="24"/>
              </w:rPr>
              <w:t>3.46</w:t>
            </w:r>
          </w:p>
        </w:tc>
      </w:tr>
      <w:tr w:rsidR="008A3238">
        <w:trPr>
          <w:jc w:val="center"/>
        </w:trPr>
        <w:tc>
          <w:tcPr>
            <w:tcW w:w="855" w:type="dxa"/>
            <w:vAlign w:val="center"/>
          </w:tcPr>
          <w:p w:rsidR="008A3238" w:rsidRDefault="00E756A7">
            <w:pPr>
              <w:jc w:val="center"/>
            </w:pPr>
            <w:r>
              <w:rPr>
                <w:color w:val="000000"/>
                <w:sz w:val="24"/>
                <w:szCs w:val="24"/>
              </w:rPr>
              <w:t>4</w:t>
            </w:r>
          </w:p>
        </w:tc>
        <w:tc>
          <w:tcPr>
            <w:tcW w:w="1334" w:type="dxa"/>
            <w:vAlign w:val="center"/>
          </w:tcPr>
          <w:p w:rsidR="008A3238" w:rsidRDefault="00E756A7">
            <w:pPr>
              <w:jc w:val="center"/>
            </w:pPr>
            <w:r>
              <w:rPr>
                <w:color w:val="000000"/>
                <w:sz w:val="24"/>
                <w:szCs w:val="24"/>
              </w:rPr>
              <w:t>600054</w:t>
            </w:r>
          </w:p>
        </w:tc>
        <w:tc>
          <w:tcPr>
            <w:tcW w:w="1777" w:type="dxa"/>
            <w:vAlign w:val="center"/>
          </w:tcPr>
          <w:p w:rsidR="008A3238" w:rsidRDefault="00E756A7">
            <w:pPr>
              <w:jc w:val="center"/>
            </w:pPr>
            <w:r>
              <w:rPr>
                <w:color w:val="000000"/>
                <w:sz w:val="24"/>
                <w:szCs w:val="24"/>
              </w:rPr>
              <w:t>黄山旅游</w:t>
            </w:r>
          </w:p>
        </w:tc>
        <w:tc>
          <w:tcPr>
            <w:tcW w:w="1334" w:type="dxa"/>
            <w:vAlign w:val="center"/>
          </w:tcPr>
          <w:p w:rsidR="008A3238" w:rsidRDefault="00E756A7">
            <w:pPr>
              <w:jc w:val="right"/>
            </w:pPr>
            <w:r>
              <w:rPr>
                <w:color w:val="000000"/>
                <w:sz w:val="24"/>
                <w:szCs w:val="24"/>
              </w:rPr>
              <w:t>114,600</w:t>
            </w:r>
          </w:p>
        </w:tc>
        <w:tc>
          <w:tcPr>
            <w:tcW w:w="1924" w:type="dxa"/>
            <w:vAlign w:val="center"/>
          </w:tcPr>
          <w:p w:rsidR="008A3238" w:rsidRDefault="00E756A7">
            <w:pPr>
              <w:jc w:val="right"/>
            </w:pPr>
            <w:r>
              <w:rPr>
                <w:color w:val="000000"/>
                <w:sz w:val="24"/>
                <w:szCs w:val="24"/>
              </w:rPr>
              <w:t>2,764,152.00</w:t>
            </w:r>
          </w:p>
        </w:tc>
        <w:tc>
          <w:tcPr>
            <w:tcW w:w="1644" w:type="dxa"/>
            <w:vAlign w:val="center"/>
          </w:tcPr>
          <w:p w:rsidR="008A3238" w:rsidRDefault="00E756A7">
            <w:pPr>
              <w:jc w:val="right"/>
            </w:pPr>
            <w:r>
              <w:rPr>
                <w:color w:val="000000"/>
                <w:sz w:val="24"/>
                <w:szCs w:val="24"/>
              </w:rPr>
              <w:t>3.23</w:t>
            </w:r>
          </w:p>
        </w:tc>
      </w:tr>
      <w:tr w:rsidR="008A3238">
        <w:trPr>
          <w:jc w:val="center"/>
        </w:trPr>
        <w:tc>
          <w:tcPr>
            <w:tcW w:w="855" w:type="dxa"/>
            <w:vAlign w:val="center"/>
          </w:tcPr>
          <w:p w:rsidR="008A3238" w:rsidRDefault="00E756A7">
            <w:pPr>
              <w:jc w:val="center"/>
            </w:pPr>
            <w:r>
              <w:rPr>
                <w:color w:val="000000"/>
                <w:sz w:val="24"/>
                <w:szCs w:val="24"/>
              </w:rPr>
              <w:t>5</w:t>
            </w:r>
          </w:p>
        </w:tc>
        <w:tc>
          <w:tcPr>
            <w:tcW w:w="1334" w:type="dxa"/>
            <w:vAlign w:val="center"/>
          </w:tcPr>
          <w:p w:rsidR="008A3238" w:rsidRDefault="00E756A7">
            <w:pPr>
              <w:jc w:val="center"/>
            </w:pPr>
            <w:r>
              <w:rPr>
                <w:color w:val="000000"/>
                <w:sz w:val="24"/>
                <w:szCs w:val="24"/>
              </w:rPr>
              <w:t>600519</w:t>
            </w:r>
          </w:p>
        </w:tc>
        <w:tc>
          <w:tcPr>
            <w:tcW w:w="1777" w:type="dxa"/>
            <w:vAlign w:val="center"/>
          </w:tcPr>
          <w:p w:rsidR="008A3238" w:rsidRDefault="00E756A7">
            <w:pPr>
              <w:jc w:val="center"/>
            </w:pPr>
            <w:r>
              <w:rPr>
                <w:color w:val="000000"/>
                <w:sz w:val="24"/>
                <w:szCs w:val="24"/>
              </w:rPr>
              <w:t>贵州茅台</w:t>
            </w:r>
          </w:p>
        </w:tc>
        <w:tc>
          <w:tcPr>
            <w:tcW w:w="1334" w:type="dxa"/>
            <w:vAlign w:val="center"/>
          </w:tcPr>
          <w:p w:rsidR="008A3238" w:rsidRDefault="00E756A7">
            <w:pPr>
              <w:jc w:val="right"/>
            </w:pPr>
            <w:r>
              <w:rPr>
                <w:color w:val="000000"/>
                <w:sz w:val="24"/>
                <w:szCs w:val="24"/>
              </w:rPr>
              <w:t>11,000</w:t>
            </w:r>
          </w:p>
        </w:tc>
        <w:tc>
          <w:tcPr>
            <w:tcW w:w="1924" w:type="dxa"/>
            <w:vAlign w:val="center"/>
          </w:tcPr>
          <w:p w:rsidR="008A3238" w:rsidRDefault="00E756A7">
            <w:pPr>
              <w:jc w:val="right"/>
            </w:pPr>
            <w:r>
              <w:rPr>
                <w:color w:val="000000"/>
                <w:sz w:val="24"/>
                <w:szCs w:val="24"/>
              </w:rPr>
              <w:t>2,724,040.00</w:t>
            </w:r>
          </w:p>
        </w:tc>
        <w:tc>
          <w:tcPr>
            <w:tcW w:w="1644" w:type="dxa"/>
            <w:vAlign w:val="center"/>
          </w:tcPr>
          <w:p w:rsidR="008A3238" w:rsidRDefault="00E756A7">
            <w:pPr>
              <w:jc w:val="right"/>
            </w:pPr>
            <w:r>
              <w:rPr>
                <w:color w:val="000000"/>
                <w:sz w:val="24"/>
                <w:szCs w:val="24"/>
              </w:rPr>
              <w:t>3.18</w:t>
            </w:r>
          </w:p>
        </w:tc>
      </w:tr>
      <w:tr w:rsidR="008A3238">
        <w:trPr>
          <w:jc w:val="center"/>
        </w:trPr>
        <w:tc>
          <w:tcPr>
            <w:tcW w:w="855" w:type="dxa"/>
            <w:vAlign w:val="center"/>
          </w:tcPr>
          <w:p w:rsidR="008A3238" w:rsidRDefault="00E756A7">
            <w:pPr>
              <w:jc w:val="center"/>
            </w:pPr>
            <w:r>
              <w:rPr>
                <w:color w:val="000000"/>
                <w:sz w:val="24"/>
                <w:szCs w:val="24"/>
              </w:rPr>
              <w:t>6</w:t>
            </w:r>
          </w:p>
        </w:tc>
        <w:tc>
          <w:tcPr>
            <w:tcW w:w="1334" w:type="dxa"/>
            <w:vAlign w:val="center"/>
          </w:tcPr>
          <w:p w:rsidR="008A3238" w:rsidRDefault="00E756A7">
            <w:pPr>
              <w:jc w:val="center"/>
            </w:pPr>
            <w:r>
              <w:rPr>
                <w:color w:val="000000"/>
                <w:sz w:val="24"/>
                <w:szCs w:val="24"/>
              </w:rPr>
              <w:t>600172</w:t>
            </w:r>
          </w:p>
        </w:tc>
        <w:tc>
          <w:tcPr>
            <w:tcW w:w="1777" w:type="dxa"/>
            <w:vAlign w:val="center"/>
          </w:tcPr>
          <w:p w:rsidR="008A3238" w:rsidRDefault="00E756A7">
            <w:pPr>
              <w:jc w:val="center"/>
            </w:pPr>
            <w:r>
              <w:rPr>
                <w:color w:val="000000"/>
                <w:sz w:val="24"/>
                <w:szCs w:val="24"/>
              </w:rPr>
              <w:t>黄河旋风</w:t>
            </w:r>
          </w:p>
        </w:tc>
        <w:tc>
          <w:tcPr>
            <w:tcW w:w="1334" w:type="dxa"/>
            <w:vAlign w:val="center"/>
          </w:tcPr>
          <w:p w:rsidR="008A3238" w:rsidRDefault="00E756A7">
            <w:pPr>
              <w:jc w:val="right"/>
            </w:pPr>
            <w:r>
              <w:rPr>
                <w:color w:val="000000"/>
                <w:sz w:val="24"/>
                <w:szCs w:val="24"/>
              </w:rPr>
              <w:t>162,100</w:t>
            </w:r>
          </w:p>
        </w:tc>
        <w:tc>
          <w:tcPr>
            <w:tcW w:w="1924" w:type="dxa"/>
            <w:vAlign w:val="center"/>
          </w:tcPr>
          <w:p w:rsidR="008A3238" w:rsidRDefault="00E756A7">
            <w:pPr>
              <w:jc w:val="right"/>
            </w:pPr>
            <w:r>
              <w:rPr>
                <w:color w:val="000000"/>
                <w:sz w:val="24"/>
                <w:szCs w:val="24"/>
              </w:rPr>
              <w:t>2,593,600.00</w:t>
            </w:r>
          </w:p>
        </w:tc>
        <w:tc>
          <w:tcPr>
            <w:tcW w:w="1644" w:type="dxa"/>
            <w:vAlign w:val="center"/>
          </w:tcPr>
          <w:p w:rsidR="008A3238" w:rsidRDefault="00E756A7">
            <w:pPr>
              <w:jc w:val="right"/>
            </w:pPr>
            <w:r>
              <w:rPr>
                <w:color w:val="000000"/>
                <w:sz w:val="24"/>
                <w:szCs w:val="24"/>
              </w:rPr>
              <w:t>3.03</w:t>
            </w:r>
          </w:p>
        </w:tc>
      </w:tr>
      <w:tr w:rsidR="008A3238">
        <w:trPr>
          <w:jc w:val="center"/>
        </w:trPr>
        <w:tc>
          <w:tcPr>
            <w:tcW w:w="855" w:type="dxa"/>
            <w:vAlign w:val="center"/>
          </w:tcPr>
          <w:p w:rsidR="008A3238" w:rsidRDefault="00E756A7">
            <w:pPr>
              <w:jc w:val="center"/>
            </w:pPr>
            <w:r>
              <w:rPr>
                <w:color w:val="000000"/>
                <w:sz w:val="24"/>
                <w:szCs w:val="24"/>
              </w:rPr>
              <w:t>7</w:t>
            </w:r>
          </w:p>
        </w:tc>
        <w:tc>
          <w:tcPr>
            <w:tcW w:w="1334" w:type="dxa"/>
            <w:vAlign w:val="center"/>
          </w:tcPr>
          <w:p w:rsidR="008A3238" w:rsidRDefault="00E756A7">
            <w:pPr>
              <w:jc w:val="center"/>
            </w:pPr>
            <w:r>
              <w:rPr>
                <w:color w:val="000000"/>
                <w:sz w:val="24"/>
                <w:szCs w:val="24"/>
              </w:rPr>
              <w:t>600521</w:t>
            </w:r>
          </w:p>
        </w:tc>
        <w:tc>
          <w:tcPr>
            <w:tcW w:w="1777" w:type="dxa"/>
            <w:vAlign w:val="center"/>
          </w:tcPr>
          <w:p w:rsidR="008A3238" w:rsidRDefault="00E756A7">
            <w:pPr>
              <w:jc w:val="center"/>
            </w:pPr>
            <w:r>
              <w:rPr>
                <w:color w:val="000000"/>
                <w:sz w:val="24"/>
                <w:szCs w:val="24"/>
              </w:rPr>
              <w:t>华海药业</w:t>
            </w:r>
          </w:p>
        </w:tc>
        <w:tc>
          <w:tcPr>
            <w:tcW w:w="1334" w:type="dxa"/>
            <w:vAlign w:val="center"/>
          </w:tcPr>
          <w:p w:rsidR="008A3238" w:rsidRDefault="00E756A7">
            <w:pPr>
              <w:jc w:val="right"/>
            </w:pPr>
            <w:r>
              <w:rPr>
                <w:color w:val="000000"/>
                <w:sz w:val="24"/>
                <w:szCs w:val="24"/>
              </w:rPr>
              <w:t>97,600</w:t>
            </w:r>
          </w:p>
        </w:tc>
        <w:tc>
          <w:tcPr>
            <w:tcW w:w="1924" w:type="dxa"/>
            <w:vAlign w:val="center"/>
          </w:tcPr>
          <w:p w:rsidR="008A3238" w:rsidRDefault="00E756A7">
            <w:pPr>
              <w:jc w:val="right"/>
            </w:pPr>
            <w:r>
              <w:rPr>
                <w:color w:val="000000"/>
                <w:sz w:val="24"/>
                <w:szCs w:val="24"/>
              </w:rPr>
              <w:t>2,543,456.00</w:t>
            </w:r>
          </w:p>
        </w:tc>
        <w:tc>
          <w:tcPr>
            <w:tcW w:w="1644" w:type="dxa"/>
            <w:vAlign w:val="center"/>
          </w:tcPr>
          <w:p w:rsidR="008A3238" w:rsidRDefault="00E756A7">
            <w:pPr>
              <w:jc w:val="right"/>
            </w:pPr>
            <w:r>
              <w:rPr>
                <w:color w:val="000000"/>
                <w:sz w:val="24"/>
                <w:szCs w:val="24"/>
              </w:rPr>
              <w:t>2.97</w:t>
            </w:r>
          </w:p>
        </w:tc>
      </w:tr>
      <w:tr w:rsidR="008A3238">
        <w:trPr>
          <w:jc w:val="center"/>
        </w:trPr>
        <w:tc>
          <w:tcPr>
            <w:tcW w:w="855" w:type="dxa"/>
            <w:vAlign w:val="center"/>
          </w:tcPr>
          <w:p w:rsidR="008A3238" w:rsidRDefault="00E756A7">
            <w:pPr>
              <w:jc w:val="center"/>
            </w:pPr>
            <w:r>
              <w:rPr>
                <w:color w:val="000000"/>
                <w:sz w:val="24"/>
                <w:szCs w:val="24"/>
              </w:rPr>
              <w:t>8</w:t>
            </w:r>
          </w:p>
        </w:tc>
        <w:tc>
          <w:tcPr>
            <w:tcW w:w="1334" w:type="dxa"/>
            <w:vAlign w:val="center"/>
          </w:tcPr>
          <w:p w:rsidR="008A3238" w:rsidRDefault="00E756A7">
            <w:pPr>
              <w:jc w:val="center"/>
            </w:pPr>
            <w:r>
              <w:rPr>
                <w:color w:val="000000"/>
                <w:sz w:val="24"/>
                <w:szCs w:val="24"/>
              </w:rPr>
              <w:t>300033</w:t>
            </w:r>
          </w:p>
        </w:tc>
        <w:tc>
          <w:tcPr>
            <w:tcW w:w="1777" w:type="dxa"/>
            <w:vAlign w:val="center"/>
          </w:tcPr>
          <w:p w:rsidR="008A3238" w:rsidRDefault="00E756A7">
            <w:pPr>
              <w:jc w:val="center"/>
            </w:pPr>
            <w:r>
              <w:rPr>
                <w:color w:val="000000"/>
                <w:sz w:val="24"/>
                <w:szCs w:val="24"/>
              </w:rPr>
              <w:t>同花顺</w:t>
            </w:r>
          </w:p>
        </w:tc>
        <w:tc>
          <w:tcPr>
            <w:tcW w:w="1334" w:type="dxa"/>
            <w:vAlign w:val="center"/>
          </w:tcPr>
          <w:p w:rsidR="008A3238" w:rsidRDefault="00E756A7">
            <w:pPr>
              <w:jc w:val="right"/>
            </w:pPr>
            <w:r>
              <w:rPr>
                <w:color w:val="000000"/>
                <w:sz w:val="24"/>
                <w:szCs w:val="24"/>
              </w:rPr>
              <w:t>31,900</w:t>
            </w:r>
          </w:p>
        </w:tc>
        <w:tc>
          <w:tcPr>
            <w:tcW w:w="1924" w:type="dxa"/>
            <w:vAlign w:val="center"/>
          </w:tcPr>
          <w:p w:rsidR="008A3238" w:rsidRDefault="00E756A7">
            <w:pPr>
              <w:jc w:val="right"/>
            </w:pPr>
            <w:r>
              <w:rPr>
                <w:color w:val="000000"/>
                <w:sz w:val="24"/>
                <w:szCs w:val="24"/>
              </w:rPr>
              <w:t>2,456,300.00</w:t>
            </w:r>
          </w:p>
        </w:tc>
        <w:tc>
          <w:tcPr>
            <w:tcW w:w="1644" w:type="dxa"/>
            <w:vAlign w:val="center"/>
          </w:tcPr>
          <w:p w:rsidR="008A3238" w:rsidRDefault="00E756A7">
            <w:pPr>
              <w:jc w:val="right"/>
            </w:pPr>
            <w:r>
              <w:rPr>
                <w:color w:val="000000"/>
                <w:sz w:val="24"/>
                <w:szCs w:val="24"/>
              </w:rPr>
              <w:t>2.87</w:t>
            </w:r>
          </w:p>
        </w:tc>
      </w:tr>
      <w:tr w:rsidR="008A3238">
        <w:trPr>
          <w:jc w:val="center"/>
        </w:trPr>
        <w:tc>
          <w:tcPr>
            <w:tcW w:w="855" w:type="dxa"/>
            <w:vAlign w:val="center"/>
          </w:tcPr>
          <w:p w:rsidR="008A3238" w:rsidRDefault="00E756A7">
            <w:pPr>
              <w:jc w:val="center"/>
            </w:pPr>
            <w:r>
              <w:rPr>
                <w:color w:val="000000"/>
                <w:sz w:val="24"/>
                <w:szCs w:val="24"/>
              </w:rPr>
              <w:t>9</w:t>
            </w:r>
          </w:p>
        </w:tc>
        <w:tc>
          <w:tcPr>
            <w:tcW w:w="1334" w:type="dxa"/>
            <w:vAlign w:val="center"/>
          </w:tcPr>
          <w:p w:rsidR="008A3238" w:rsidRDefault="00E756A7">
            <w:pPr>
              <w:jc w:val="center"/>
            </w:pPr>
            <w:r>
              <w:rPr>
                <w:color w:val="000000"/>
                <w:sz w:val="24"/>
                <w:szCs w:val="24"/>
              </w:rPr>
              <w:t>000951</w:t>
            </w:r>
          </w:p>
        </w:tc>
        <w:tc>
          <w:tcPr>
            <w:tcW w:w="1777" w:type="dxa"/>
            <w:vAlign w:val="center"/>
          </w:tcPr>
          <w:p w:rsidR="008A3238" w:rsidRDefault="00E756A7">
            <w:pPr>
              <w:jc w:val="center"/>
            </w:pPr>
            <w:r>
              <w:rPr>
                <w:color w:val="000000"/>
                <w:sz w:val="24"/>
                <w:szCs w:val="24"/>
              </w:rPr>
              <w:t>中国重汽</w:t>
            </w:r>
          </w:p>
        </w:tc>
        <w:tc>
          <w:tcPr>
            <w:tcW w:w="1334" w:type="dxa"/>
            <w:vAlign w:val="center"/>
          </w:tcPr>
          <w:p w:rsidR="008A3238" w:rsidRDefault="00E756A7">
            <w:pPr>
              <w:jc w:val="right"/>
            </w:pPr>
            <w:r>
              <w:rPr>
                <w:color w:val="000000"/>
                <w:sz w:val="24"/>
                <w:szCs w:val="24"/>
              </w:rPr>
              <w:t>142,016</w:t>
            </w:r>
          </w:p>
        </w:tc>
        <w:tc>
          <w:tcPr>
            <w:tcW w:w="1924" w:type="dxa"/>
            <w:vAlign w:val="center"/>
          </w:tcPr>
          <w:p w:rsidR="008A3238" w:rsidRDefault="00E756A7">
            <w:pPr>
              <w:jc w:val="right"/>
            </w:pPr>
            <w:r>
              <w:rPr>
                <w:color w:val="000000"/>
                <w:sz w:val="24"/>
                <w:szCs w:val="24"/>
              </w:rPr>
              <w:t>2,448,355.84</w:t>
            </w:r>
          </w:p>
        </w:tc>
        <w:tc>
          <w:tcPr>
            <w:tcW w:w="1644" w:type="dxa"/>
            <w:vAlign w:val="center"/>
          </w:tcPr>
          <w:p w:rsidR="008A3238" w:rsidRDefault="00E756A7">
            <w:pPr>
              <w:jc w:val="right"/>
            </w:pPr>
            <w:r>
              <w:rPr>
                <w:color w:val="000000"/>
                <w:sz w:val="24"/>
                <w:szCs w:val="24"/>
              </w:rPr>
              <w:t>2.86</w:t>
            </w:r>
          </w:p>
        </w:tc>
      </w:tr>
      <w:tr w:rsidR="008A3238">
        <w:trPr>
          <w:jc w:val="center"/>
        </w:trPr>
        <w:tc>
          <w:tcPr>
            <w:tcW w:w="855" w:type="dxa"/>
            <w:vAlign w:val="center"/>
          </w:tcPr>
          <w:p w:rsidR="008A3238" w:rsidRDefault="00E756A7">
            <w:pPr>
              <w:jc w:val="center"/>
            </w:pPr>
            <w:r>
              <w:rPr>
                <w:color w:val="000000"/>
                <w:sz w:val="24"/>
                <w:szCs w:val="24"/>
              </w:rPr>
              <w:t>10</w:t>
            </w:r>
          </w:p>
        </w:tc>
        <w:tc>
          <w:tcPr>
            <w:tcW w:w="1334" w:type="dxa"/>
            <w:vAlign w:val="center"/>
          </w:tcPr>
          <w:p w:rsidR="008A3238" w:rsidRDefault="00E756A7">
            <w:pPr>
              <w:jc w:val="center"/>
            </w:pPr>
            <w:r>
              <w:rPr>
                <w:color w:val="000000"/>
                <w:sz w:val="24"/>
                <w:szCs w:val="24"/>
              </w:rPr>
              <w:t>000157</w:t>
            </w:r>
          </w:p>
        </w:tc>
        <w:tc>
          <w:tcPr>
            <w:tcW w:w="1777" w:type="dxa"/>
            <w:vAlign w:val="center"/>
          </w:tcPr>
          <w:p w:rsidR="008A3238" w:rsidRDefault="00E756A7">
            <w:pPr>
              <w:jc w:val="center"/>
            </w:pPr>
            <w:r>
              <w:rPr>
                <w:color w:val="000000"/>
                <w:sz w:val="24"/>
                <w:szCs w:val="24"/>
              </w:rPr>
              <w:t>中联重科</w:t>
            </w:r>
          </w:p>
        </w:tc>
        <w:tc>
          <w:tcPr>
            <w:tcW w:w="1334" w:type="dxa"/>
            <w:vAlign w:val="center"/>
          </w:tcPr>
          <w:p w:rsidR="008A3238" w:rsidRDefault="00E756A7">
            <w:pPr>
              <w:jc w:val="right"/>
            </w:pPr>
            <w:r>
              <w:rPr>
                <w:color w:val="000000"/>
                <w:sz w:val="24"/>
                <w:szCs w:val="24"/>
              </w:rPr>
              <w:t>524,700</w:t>
            </w:r>
          </w:p>
        </w:tc>
        <w:tc>
          <w:tcPr>
            <w:tcW w:w="1924" w:type="dxa"/>
            <w:vAlign w:val="center"/>
          </w:tcPr>
          <w:p w:rsidR="008A3238" w:rsidRDefault="00E756A7">
            <w:pPr>
              <w:jc w:val="right"/>
            </w:pPr>
            <w:r>
              <w:rPr>
                <w:color w:val="000000"/>
                <w:sz w:val="24"/>
                <w:szCs w:val="24"/>
              </w:rPr>
              <w:t>2,408,373.00</w:t>
            </w:r>
          </w:p>
        </w:tc>
        <w:tc>
          <w:tcPr>
            <w:tcW w:w="1644" w:type="dxa"/>
            <w:vAlign w:val="center"/>
          </w:tcPr>
          <w:p w:rsidR="008A3238" w:rsidRDefault="00E756A7">
            <w:pPr>
              <w:jc w:val="right"/>
            </w:pPr>
            <w:r>
              <w:rPr>
                <w:color w:val="000000"/>
                <w:sz w:val="24"/>
                <w:szCs w:val="24"/>
              </w:rPr>
              <w:t>2.81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20,201,000.00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20,201,000.00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23.58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20,201,000.00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3238">
        <w:trPr>
          <w:jc w:val="center"/>
        </w:trPr>
        <w:tc>
          <w:tcPr>
            <w:tcW w:w="850" w:type="dxa"/>
            <w:vAlign w:val="center"/>
          </w:tcPr>
          <w:p w:rsidR="008A3238" w:rsidRDefault="00E756A7">
            <w:pPr>
              <w:jc w:val="center"/>
            </w:pPr>
            <w:r>
              <w:rPr>
                <w:color w:val="000000"/>
                <w:sz w:val="24"/>
                <w:szCs w:val="24"/>
              </w:rPr>
              <w:t>1</w:t>
            </w:r>
          </w:p>
        </w:tc>
        <w:tc>
          <w:tcPr>
            <w:tcW w:w="1475" w:type="dxa"/>
            <w:vAlign w:val="center"/>
          </w:tcPr>
          <w:p w:rsidR="008A3238" w:rsidRDefault="00E756A7">
            <w:pPr>
              <w:jc w:val="center"/>
            </w:pPr>
            <w:r>
              <w:rPr>
                <w:color w:val="000000"/>
                <w:sz w:val="24"/>
                <w:szCs w:val="24"/>
              </w:rPr>
              <w:t>150201</w:t>
            </w:r>
          </w:p>
        </w:tc>
        <w:tc>
          <w:tcPr>
            <w:tcW w:w="1769" w:type="dxa"/>
            <w:vAlign w:val="center"/>
          </w:tcPr>
          <w:p w:rsidR="008A3238" w:rsidRDefault="00E756A7">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8A3238" w:rsidRDefault="00E756A7">
            <w:pPr>
              <w:jc w:val="right"/>
            </w:pPr>
            <w:r>
              <w:rPr>
                <w:color w:val="000000"/>
                <w:sz w:val="24"/>
                <w:szCs w:val="24"/>
              </w:rPr>
              <w:t>100,000</w:t>
            </w:r>
          </w:p>
        </w:tc>
        <w:tc>
          <w:tcPr>
            <w:tcW w:w="2150" w:type="dxa"/>
            <w:vAlign w:val="center"/>
          </w:tcPr>
          <w:p w:rsidR="008A3238" w:rsidRDefault="00E756A7">
            <w:pPr>
              <w:jc w:val="right"/>
            </w:pPr>
            <w:r>
              <w:rPr>
                <w:color w:val="000000"/>
                <w:sz w:val="24"/>
                <w:szCs w:val="24"/>
              </w:rPr>
              <w:t>10,199,000.00</w:t>
            </w:r>
          </w:p>
        </w:tc>
        <w:tc>
          <w:tcPr>
            <w:tcW w:w="1237" w:type="dxa"/>
            <w:vAlign w:val="center"/>
          </w:tcPr>
          <w:p w:rsidR="008A3238" w:rsidRDefault="00E756A7">
            <w:pPr>
              <w:jc w:val="right"/>
            </w:pPr>
            <w:r>
              <w:rPr>
                <w:color w:val="000000"/>
                <w:sz w:val="24"/>
                <w:szCs w:val="24"/>
              </w:rPr>
              <w:t>11.91</w:t>
            </w:r>
          </w:p>
        </w:tc>
      </w:tr>
      <w:tr w:rsidR="008A3238">
        <w:trPr>
          <w:jc w:val="center"/>
        </w:trPr>
        <w:tc>
          <w:tcPr>
            <w:tcW w:w="850" w:type="dxa"/>
            <w:vAlign w:val="center"/>
          </w:tcPr>
          <w:p w:rsidR="008A3238" w:rsidRDefault="00E756A7">
            <w:pPr>
              <w:jc w:val="center"/>
            </w:pPr>
            <w:r>
              <w:rPr>
                <w:color w:val="000000"/>
                <w:sz w:val="24"/>
                <w:szCs w:val="24"/>
              </w:rPr>
              <w:t>2</w:t>
            </w:r>
          </w:p>
        </w:tc>
        <w:tc>
          <w:tcPr>
            <w:tcW w:w="1475" w:type="dxa"/>
            <w:vAlign w:val="center"/>
          </w:tcPr>
          <w:p w:rsidR="008A3238" w:rsidRDefault="00E756A7">
            <w:pPr>
              <w:jc w:val="center"/>
            </w:pPr>
            <w:r>
              <w:rPr>
                <w:color w:val="000000"/>
                <w:sz w:val="24"/>
                <w:szCs w:val="24"/>
              </w:rPr>
              <w:t>150311</w:t>
            </w:r>
          </w:p>
        </w:tc>
        <w:tc>
          <w:tcPr>
            <w:tcW w:w="1769" w:type="dxa"/>
            <w:vAlign w:val="center"/>
          </w:tcPr>
          <w:p w:rsidR="008A3238" w:rsidRDefault="00E756A7">
            <w:pPr>
              <w:jc w:val="center"/>
            </w:pPr>
            <w:r>
              <w:rPr>
                <w:color w:val="000000"/>
                <w:sz w:val="24"/>
                <w:szCs w:val="24"/>
              </w:rPr>
              <w:t>15</w:t>
            </w:r>
            <w:r>
              <w:rPr>
                <w:color w:val="000000"/>
                <w:sz w:val="24"/>
                <w:szCs w:val="24"/>
              </w:rPr>
              <w:t>进出</w:t>
            </w:r>
            <w:r>
              <w:rPr>
                <w:color w:val="000000"/>
                <w:sz w:val="24"/>
                <w:szCs w:val="24"/>
              </w:rPr>
              <w:t>11</w:t>
            </w:r>
          </w:p>
        </w:tc>
        <w:tc>
          <w:tcPr>
            <w:tcW w:w="1387" w:type="dxa"/>
            <w:vAlign w:val="center"/>
          </w:tcPr>
          <w:p w:rsidR="008A3238" w:rsidRDefault="00E756A7">
            <w:pPr>
              <w:jc w:val="right"/>
            </w:pPr>
            <w:r>
              <w:rPr>
                <w:color w:val="000000"/>
                <w:sz w:val="24"/>
                <w:szCs w:val="24"/>
              </w:rPr>
              <w:t>100,000</w:t>
            </w:r>
          </w:p>
        </w:tc>
        <w:tc>
          <w:tcPr>
            <w:tcW w:w="2150" w:type="dxa"/>
            <w:vAlign w:val="center"/>
          </w:tcPr>
          <w:p w:rsidR="008A3238" w:rsidRDefault="00E756A7">
            <w:pPr>
              <w:jc w:val="right"/>
            </w:pPr>
            <w:r>
              <w:rPr>
                <w:color w:val="000000"/>
                <w:sz w:val="24"/>
                <w:szCs w:val="24"/>
              </w:rPr>
              <w:t>10,002,000.00</w:t>
            </w:r>
          </w:p>
        </w:tc>
        <w:tc>
          <w:tcPr>
            <w:tcW w:w="1237" w:type="dxa"/>
            <w:vAlign w:val="center"/>
          </w:tcPr>
          <w:p w:rsidR="008A3238" w:rsidRDefault="00E756A7">
            <w:pPr>
              <w:jc w:val="right"/>
            </w:pPr>
            <w:r>
              <w:rPr>
                <w:color w:val="000000"/>
                <w:sz w:val="24"/>
                <w:szCs w:val="24"/>
              </w:rPr>
              <w:t>11.68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报告期内本基金投资的前十名证券的发行主体除华海药业（证券代码：</w:t>
      </w:r>
      <w:r w:rsidRPr="00BE5388">
        <w:rPr>
          <w:bCs/>
          <w:color w:val="000000"/>
          <w:kern w:val="0"/>
          <w:sz w:val="24"/>
          <w:szCs w:val="24"/>
        </w:rPr>
        <w:t>600521</w:t>
      </w:r>
      <w:r w:rsidRPr="00BE5388">
        <w:rPr>
          <w:bCs/>
          <w:color w:val="000000"/>
          <w:kern w:val="0"/>
          <w:sz w:val="24"/>
          <w:szCs w:val="24"/>
        </w:rPr>
        <w:t>）外，未出现被监管部门立案调查，或在报告编制日前一年内受到公开谴责、处罚的情形。</w:t>
      </w:r>
    </w:p>
    <w:p w:rsidR="008A3238" w:rsidRDefault="00E756A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报告期内本基金投资的前十名证券之一华海药业（证券代码：</w:t>
      </w:r>
      <w:r>
        <w:rPr>
          <w:bCs/>
          <w:color w:val="000000"/>
          <w:kern w:val="0"/>
          <w:sz w:val="24"/>
          <w:szCs w:val="24"/>
        </w:rPr>
        <w:t>600521</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6</w:t>
      </w:r>
      <w:r>
        <w:rPr>
          <w:bCs/>
          <w:color w:val="000000"/>
          <w:kern w:val="0"/>
          <w:sz w:val="24"/>
          <w:szCs w:val="24"/>
        </w:rPr>
        <w:t>月</w:t>
      </w:r>
      <w:r>
        <w:rPr>
          <w:bCs/>
          <w:color w:val="000000"/>
          <w:kern w:val="0"/>
          <w:sz w:val="24"/>
          <w:szCs w:val="24"/>
        </w:rPr>
        <w:t>10</w:t>
      </w:r>
      <w:r>
        <w:rPr>
          <w:bCs/>
          <w:color w:val="000000"/>
          <w:kern w:val="0"/>
          <w:sz w:val="24"/>
          <w:szCs w:val="24"/>
        </w:rPr>
        <w:t>日因项目未经环评批复先行建设被临海市环境保护局以临环罚字［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63</w:t>
      </w:r>
      <w:r>
        <w:rPr>
          <w:bCs/>
          <w:color w:val="000000"/>
          <w:kern w:val="0"/>
          <w:sz w:val="24"/>
          <w:szCs w:val="24"/>
        </w:rPr>
        <w:t>号《行政处罚决定书》处以责令停止未批项目建设（生产）、罚款人民币</w:t>
      </w:r>
      <w:r>
        <w:rPr>
          <w:bCs/>
          <w:color w:val="000000"/>
          <w:kern w:val="0"/>
          <w:sz w:val="24"/>
          <w:szCs w:val="24"/>
        </w:rPr>
        <w:t>6</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23</w:t>
      </w:r>
      <w:r>
        <w:rPr>
          <w:bCs/>
          <w:color w:val="000000"/>
          <w:kern w:val="0"/>
          <w:sz w:val="24"/>
          <w:szCs w:val="24"/>
        </w:rPr>
        <w:t>日因川南一分厂不正常使用大气污染物处理设施的行为被临海市环境保护局以临环罚字［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108</w:t>
      </w:r>
      <w:r>
        <w:rPr>
          <w:bCs/>
          <w:color w:val="000000"/>
          <w:kern w:val="0"/>
          <w:sz w:val="24"/>
          <w:szCs w:val="24"/>
        </w:rPr>
        <w:t>号《行政处罚决定书》处以责令停止违法行为和罚款人民币</w:t>
      </w:r>
      <w:r>
        <w:rPr>
          <w:bCs/>
          <w:color w:val="000000"/>
          <w:kern w:val="0"/>
          <w:sz w:val="24"/>
          <w:szCs w:val="24"/>
        </w:rPr>
        <w:t>5</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24</w:t>
      </w:r>
      <w:r>
        <w:rPr>
          <w:bCs/>
          <w:color w:val="000000"/>
          <w:kern w:val="0"/>
          <w:sz w:val="24"/>
          <w:szCs w:val="24"/>
        </w:rPr>
        <w:t>日因川南一分厂废水超标排放被临海市环境保护局以临环罚字［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119</w:t>
      </w:r>
      <w:r>
        <w:rPr>
          <w:bCs/>
          <w:color w:val="000000"/>
          <w:kern w:val="0"/>
          <w:sz w:val="24"/>
          <w:szCs w:val="24"/>
        </w:rPr>
        <w:t>号《行政处罚决定书》处以责令停止违法行为、罚款人民币</w:t>
      </w:r>
      <w:r>
        <w:rPr>
          <w:bCs/>
          <w:color w:val="000000"/>
          <w:kern w:val="0"/>
          <w:sz w:val="24"/>
          <w:szCs w:val="24"/>
        </w:rPr>
        <w:t>58.6</w:t>
      </w:r>
      <w:r>
        <w:rPr>
          <w:bCs/>
          <w:color w:val="000000"/>
          <w:kern w:val="0"/>
          <w:sz w:val="24"/>
          <w:szCs w:val="24"/>
        </w:rPr>
        <w:t>万元的处罚。</w:t>
      </w:r>
    </w:p>
    <w:p w:rsidR="008A3238" w:rsidRDefault="00E756A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221,236.82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313,165.41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718.93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535,121.16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50,520,459.95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5,275,157.73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7,153,282.68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48,642,335.00</w:t>
            </w:r>
          </w:p>
        </w:tc>
      </w:tr>
    </w:tbl>
    <w:p w:rsidR="008A3238" w:rsidRDefault="00E756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A3238" w:rsidRDefault="00E756A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A3238" w:rsidRDefault="00E756A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A3238" w:rsidRDefault="00E756A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BB5415">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BB5415">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238"/>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415"/>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756A7"/>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0E51-AFE9-4737-B9A0-7CF5F528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563</cp:revision>
  <dcterms:created xsi:type="dcterms:W3CDTF">2012-10-16T06:07:00Z</dcterms:created>
  <dcterms:modified xsi:type="dcterms:W3CDTF">2016-04-18T06:10:00Z</dcterms:modified>
</cp:coreProperties>
</file>