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二〇一六年四月二十日</w:t>
      </w:r>
    </w:p>
    <w:p w:rsidR="00902E3F" w:rsidRPr="000E4C40" w:rsidRDefault="00902E3F" w:rsidP="009F79A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013F1" w:rsidRDefault="009F79A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013F1" w:rsidRDefault="009F79A4">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013F1" w:rsidRDefault="009F79A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013F1" w:rsidRDefault="009F79A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013F1" w:rsidRDefault="009F79A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39,762,469.64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9,298,542.96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30,463,926.68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37,048.21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133,017.68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37,048.21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133,017.68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9,298,542.96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30,463,926.68</w:t>
            </w:r>
          </w:p>
        </w:tc>
      </w:tr>
    </w:tbl>
    <w:p w:rsidR="00F013F1" w:rsidRDefault="009F79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013F1">
        <w:trPr>
          <w:jc w:val="center"/>
        </w:trPr>
        <w:tc>
          <w:tcPr>
            <w:tcW w:w="1266" w:type="dxa"/>
            <w:vAlign w:val="center"/>
          </w:tcPr>
          <w:p w:rsidR="00F013F1" w:rsidRDefault="009F79A4">
            <w:pPr>
              <w:jc w:val="left"/>
            </w:pPr>
            <w:r>
              <w:rPr>
                <w:color w:val="000000"/>
              </w:rPr>
              <w:t>过去三个月</w:t>
            </w:r>
          </w:p>
        </w:tc>
        <w:tc>
          <w:tcPr>
            <w:tcW w:w="1267" w:type="dxa"/>
            <w:vAlign w:val="center"/>
          </w:tcPr>
          <w:p w:rsidR="00F013F1" w:rsidRDefault="009F79A4">
            <w:pPr>
              <w:jc w:val="center"/>
            </w:pPr>
            <w:r>
              <w:rPr>
                <w:color w:val="000000"/>
              </w:rPr>
              <w:t>0.3654%</w:t>
            </w:r>
          </w:p>
        </w:tc>
        <w:tc>
          <w:tcPr>
            <w:tcW w:w="1267" w:type="dxa"/>
            <w:vAlign w:val="center"/>
          </w:tcPr>
          <w:p w:rsidR="00F013F1" w:rsidRDefault="009F79A4">
            <w:pPr>
              <w:jc w:val="center"/>
            </w:pPr>
            <w:r>
              <w:rPr>
                <w:color w:val="000000"/>
              </w:rPr>
              <w:t>0.0027%</w:t>
            </w:r>
          </w:p>
        </w:tc>
        <w:tc>
          <w:tcPr>
            <w:tcW w:w="1267" w:type="dxa"/>
            <w:vAlign w:val="center"/>
          </w:tcPr>
          <w:p w:rsidR="00F013F1" w:rsidRDefault="009F79A4">
            <w:pPr>
              <w:jc w:val="center"/>
            </w:pPr>
            <w:r>
              <w:rPr>
                <w:color w:val="000000"/>
              </w:rPr>
              <w:t>0.3366%</w:t>
            </w:r>
          </w:p>
        </w:tc>
        <w:tc>
          <w:tcPr>
            <w:tcW w:w="1267" w:type="dxa"/>
            <w:vAlign w:val="center"/>
          </w:tcPr>
          <w:p w:rsidR="00F013F1" w:rsidRDefault="009F79A4">
            <w:pPr>
              <w:jc w:val="center"/>
            </w:pPr>
            <w:r>
              <w:rPr>
                <w:color w:val="000000"/>
              </w:rPr>
              <w:t>0.0000%</w:t>
            </w:r>
          </w:p>
        </w:tc>
        <w:tc>
          <w:tcPr>
            <w:tcW w:w="1267" w:type="dxa"/>
            <w:vAlign w:val="center"/>
          </w:tcPr>
          <w:p w:rsidR="00F013F1" w:rsidRDefault="009F79A4">
            <w:pPr>
              <w:jc w:val="center"/>
            </w:pPr>
            <w:r>
              <w:rPr>
                <w:color w:val="000000"/>
              </w:rPr>
              <w:t>0.0288%</w:t>
            </w:r>
          </w:p>
        </w:tc>
        <w:tc>
          <w:tcPr>
            <w:tcW w:w="1267" w:type="dxa"/>
            <w:vAlign w:val="center"/>
          </w:tcPr>
          <w:p w:rsidR="00F013F1" w:rsidRDefault="009F79A4">
            <w:pPr>
              <w:jc w:val="center"/>
            </w:pPr>
            <w:r>
              <w:rPr>
                <w:color w:val="000000"/>
              </w:rPr>
              <w:t>0.0027%</w:t>
            </w:r>
          </w:p>
        </w:tc>
      </w:tr>
    </w:tbl>
    <w:p w:rsidR="00F013F1" w:rsidRDefault="009F79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013F1">
        <w:trPr>
          <w:jc w:val="center"/>
        </w:trPr>
        <w:tc>
          <w:tcPr>
            <w:tcW w:w="1266" w:type="dxa"/>
            <w:vAlign w:val="center"/>
          </w:tcPr>
          <w:p w:rsidR="00F013F1" w:rsidRDefault="009F79A4">
            <w:pPr>
              <w:jc w:val="left"/>
            </w:pPr>
            <w:r>
              <w:rPr>
                <w:color w:val="000000"/>
              </w:rPr>
              <w:t>过去三个月</w:t>
            </w:r>
          </w:p>
        </w:tc>
        <w:tc>
          <w:tcPr>
            <w:tcW w:w="1267" w:type="dxa"/>
            <w:vAlign w:val="center"/>
          </w:tcPr>
          <w:p w:rsidR="00F013F1" w:rsidRDefault="009F79A4">
            <w:pPr>
              <w:jc w:val="center"/>
            </w:pPr>
            <w:r>
              <w:rPr>
                <w:color w:val="000000"/>
              </w:rPr>
              <w:t>0.4378%</w:t>
            </w:r>
          </w:p>
        </w:tc>
        <w:tc>
          <w:tcPr>
            <w:tcW w:w="1267" w:type="dxa"/>
            <w:vAlign w:val="center"/>
          </w:tcPr>
          <w:p w:rsidR="00F013F1" w:rsidRDefault="009F79A4">
            <w:pPr>
              <w:jc w:val="center"/>
            </w:pPr>
            <w:r>
              <w:rPr>
                <w:color w:val="000000"/>
              </w:rPr>
              <w:t>0.0027%</w:t>
            </w:r>
          </w:p>
        </w:tc>
        <w:tc>
          <w:tcPr>
            <w:tcW w:w="1267" w:type="dxa"/>
            <w:vAlign w:val="center"/>
          </w:tcPr>
          <w:p w:rsidR="00F013F1" w:rsidRDefault="009F79A4">
            <w:pPr>
              <w:jc w:val="center"/>
            </w:pPr>
            <w:r>
              <w:rPr>
                <w:color w:val="000000"/>
              </w:rPr>
              <w:t>0.3366%</w:t>
            </w:r>
          </w:p>
        </w:tc>
        <w:tc>
          <w:tcPr>
            <w:tcW w:w="1267" w:type="dxa"/>
            <w:vAlign w:val="center"/>
          </w:tcPr>
          <w:p w:rsidR="00F013F1" w:rsidRDefault="009F79A4">
            <w:pPr>
              <w:jc w:val="center"/>
            </w:pPr>
            <w:r>
              <w:rPr>
                <w:color w:val="000000"/>
              </w:rPr>
              <w:t>0.0000%</w:t>
            </w:r>
          </w:p>
        </w:tc>
        <w:tc>
          <w:tcPr>
            <w:tcW w:w="1267" w:type="dxa"/>
            <w:vAlign w:val="center"/>
          </w:tcPr>
          <w:p w:rsidR="00F013F1" w:rsidRDefault="009F79A4">
            <w:pPr>
              <w:jc w:val="center"/>
            </w:pPr>
            <w:r>
              <w:rPr>
                <w:color w:val="000000"/>
              </w:rPr>
              <w:t>0.1012%</w:t>
            </w:r>
          </w:p>
        </w:tc>
        <w:tc>
          <w:tcPr>
            <w:tcW w:w="1267" w:type="dxa"/>
            <w:vAlign w:val="center"/>
          </w:tcPr>
          <w:p w:rsidR="00F013F1" w:rsidRDefault="009F79A4">
            <w:pPr>
              <w:jc w:val="center"/>
            </w:pPr>
            <w:r>
              <w:rPr>
                <w:color w:val="000000"/>
              </w:rPr>
              <w:t>0.0027%</w:t>
            </w:r>
          </w:p>
        </w:tc>
      </w:tr>
    </w:tbl>
    <w:p w:rsidR="00F013F1" w:rsidRDefault="009F79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013F1">
        <w:trPr>
          <w:jc w:val="center"/>
        </w:trPr>
        <w:tc>
          <w:tcPr>
            <w:tcW w:w="945" w:type="dxa"/>
            <w:vAlign w:val="center"/>
          </w:tcPr>
          <w:p w:rsidR="00F013F1" w:rsidRDefault="009F79A4">
            <w:pPr>
              <w:jc w:val="center"/>
            </w:pPr>
            <w:r>
              <w:rPr>
                <w:color w:val="000000"/>
                <w:sz w:val="24"/>
              </w:rPr>
              <w:t>连端清</w:t>
            </w:r>
          </w:p>
        </w:tc>
        <w:tc>
          <w:tcPr>
            <w:tcW w:w="1589" w:type="dxa"/>
            <w:vAlign w:val="center"/>
          </w:tcPr>
          <w:p w:rsidR="00F013F1" w:rsidRDefault="009F79A4">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78" w:type="dxa"/>
            <w:vAlign w:val="center"/>
          </w:tcPr>
          <w:p w:rsidR="00F013F1" w:rsidRDefault="009F79A4">
            <w:pPr>
              <w:jc w:val="center"/>
            </w:pPr>
            <w:r>
              <w:rPr>
                <w:color w:val="000000"/>
                <w:sz w:val="24"/>
              </w:rPr>
              <w:t>2015-10-16</w:t>
            </w:r>
          </w:p>
        </w:tc>
        <w:tc>
          <w:tcPr>
            <w:tcW w:w="1478" w:type="dxa"/>
            <w:vAlign w:val="center"/>
          </w:tcPr>
          <w:p w:rsidR="00F013F1" w:rsidRDefault="009F79A4">
            <w:pPr>
              <w:jc w:val="center"/>
            </w:pPr>
            <w:r>
              <w:rPr>
                <w:color w:val="000000"/>
                <w:sz w:val="24"/>
              </w:rPr>
              <w:t>-</w:t>
            </w:r>
          </w:p>
        </w:tc>
        <w:tc>
          <w:tcPr>
            <w:tcW w:w="986" w:type="dxa"/>
            <w:vAlign w:val="center"/>
          </w:tcPr>
          <w:p w:rsidR="00F013F1" w:rsidRDefault="009F79A4">
            <w:pPr>
              <w:jc w:val="center"/>
            </w:pPr>
            <w:r>
              <w:rPr>
                <w:color w:val="000000"/>
                <w:sz w:val="24"/>
              </w:rPr>
              <w:t>5</w:t>
            </w:r>
            <w:r>
              <w:rPr>
                <w:color w:val="000000"/>
                <w:sz w:val="24"/>
              </w:rPr>
              <w:t>年</w:t>
            </w:r>
          </w:p>
        </w:tc>
        <w:tc>
          <w:tcPr>
            <w:tcW w:w="2392" w:type="dxa"/>
            <w:vAlign w:val="center"/>
          </w:tcPr>
          <w:p w:rsidR="00F013F1" w:rsidRDefault="009F79A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013F1" w:rsidRDefault="009F79A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13F1" w:rsidRDefault="009F79A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13F1" w:rsidRDefault="009F79A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4668FD" w:rsidRPr="004668FD" w:rsidRDefault="004668FD" w:rsidP="00281564">
      <w:pPr>
        <w:spacing w:before="29" w:line="288" w:lineRule="auto"/>
        <w:ind w:firstLineChars="200" w:firstLine="480"/>
        <w:rPr>
          <w:rFonts w:hint="eastAsia"/>
          <w:color w:val="000000"/>
          <w:sz w:val="24"/>
        </w:rPr>
      </w:pPr>
      <w:bookmarkStart w:id="0" w:name="_GoBack"/>
      <w:bookmarkEnd w:id="0"/>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013F1" w:rsidRDefault="009F79A4">
      <w:pPr>
        <w:spacing w:before="29" w:line="288" w:lineRule="auto"/>
        <w:ind w:firstLineChars="200" w:firstLine="480"/>
        <w:rPr>
          <w:color w:val="000000"/>
          <w:sz w:val="24"/>
        </w:rPr>
      </w:pPr>
      <w:r>
        <w:rPr>
          <w:color w:val="000000"/>
          <w:sz w:val="24"/>
        </w:rPr>
        <w:t>2016</w:t>
      </w:r>
      <w:r>
        <w:rPr>
          <w:color w:val="000000"/>
          <w:sz w:val="24"/>
        </w:rPr>
        <w:t>年一季度，主要受房地产投资反弹、基建及供给侧改革推进影响，国内经济出现回暖稳迹象。</w:t>
      </w:r>
      <w:r>
        <w:rPr>
          <w:color w:val="000000"/>
          <w:sz w:val="24"/>
        </w:rPr>
        <w:t>2016</w:t>
      </w:r>
      <w:r>
        <w:rPr>
          <w:color w:val="000000"/>
          <w:sz w:val="24"/>
        </w:rPr>
        <w:t>年</w:t>
      </w:r>
      <w:r>
        <w:rPr>
          <w:color w:val="000000"/>
          <w:sz w:val="24"/>
        </w:rPr>
        <w:t>1</w:t>
      </w:r>
      <w:r>
        <w:rPr>
          <w:color w:val="000000"/>
          <w:sz w:val="24"/>
        </w:rPr>
        <w:t>月份、</w:t>
      </w:r>
      <w:r>
        <w:rPr>
          <w:color w:val="000000"/>
          <w:sz w:val="24"/>
        </w:rPr>
        <w:t>2</w:t>
      </w:r>
      <w:r>
        <w:rPr>
          <w:color w:val="000000"/>
          <w:sz w:val="24"/>
        </w:rPr>
        <w:t>月份，房地产投资出现</w:t>
      </w:r>
      <w:r>
        <w:rPr>
          <w:color w:val="000000"/>
          <w:sz w:val="24"/>
        </w:rPr>
        <w:t>2</w:t>
      </w:r>
      <w:r>
        <w:rPr>
          <w:color w:val="000000"/>
          <w:sz w:val="24"/>
        </w:rPr>
        <w:t>年以来首次止跌回升，带动固定资产投资企稳回升。伴随着经济有所回暖，一季度</w:t>
      </w:r>
      <w:r>
        <w:rPr>
          <w:color w:val="000000"/>
          <w:sz w:val="24"/>
        </w:rPr>
        <w:t>CPI</w:t>
      </w:r>
      <w:r>
        <w:rPr>
          <w:color w:val="000000"/>
          <w:sz w:val="24"/>
        </w:rPr>
        <w:t>持续攀升，</w:t>
      </w:r>
      <w:r>
        <w:rPr>
          <w:color w:val="000000"/>
          <w:sz w:val="24"/>
        </w:rPr>
        <w:t>PPI</w:t>
      </w:r>
      <w:r>
        <w:rPr>
          <w:color w:val="000000"/>
          <w:sz w:val="24"/>
        </w:rPr>
        <w:t>降幅不断收窄。货币政策上，央行货币政策维持宽松操作思路，但宽松的边际在收窄。</w:t>
      </w:r>
      <w:r>
        <w:rPr>
          <w:color w:val="000000"/>
          <w:sz w:val="24"/>
        </w:rPr>
        <w:t>2016</w:t>
      </w:r>
      <w:r>
        <w:rPr>
          <w:color w:val="000000"/>
          <w:sz w:val="24"/>
        </w:rPr>
        <w:t>年春节前，央行通过公开市场及定向工具投放了巨额流动性，并且将公开市场操作频率由一周两次改为每个工作日，以维持相对宽松的资金面。</w:t>
      </w:r>
      <w:r>
        <w:rPr>
          <w:color w:val="000000"/>
          <w:sz w:val="24"/>
        </w:rPr>
        <w:t>2016</w:t>
      </w:r>
      <w:r>
        <w:rPr>
          <w:color w:val="000000"/>
          <w:sz w:val="24"/>
        </w:rPr>
        <w:t>年</w:t>
      </w:r>
      <w:r>
        <w:rPr>
          <w:color w:val="000000"/>
          <w:sz w:val="24"/>
        </w:rPr>
        <w:t>3</w:t>
      </w:r>
      <w:r>
        <w:rPr>
          <w:color w:val="000000"/>
          <w:sz w:val="24"/>
        </w:rPr>
        <w:t>月</w:t>
      </w:r>
      <w:r>
        <w:rPr>
          <w:color w:val="000000"/>
          <w:sz w:val="24"/>
        </w:rPr>
        <w:t>1</w:t>
      </w:r>
      <w:r>
        <w:rPr>
          <w:color w:val="000000"/>
          <w:sz w:val="24"/>
        </w:rPr>
        <w:t>日再次降准</w:t>
      </w:r>
      <w:r>
        <w:rPr>
          <w:color w:val="000000"/>
          <w:sz w:val="24"/>
        </w:rPr>
        <w:t>0.5</w:t>
      </w:r>
      <w:r>
        <w:rPr>
          <w:color w:val="000000"/>
          <w:sz w:val="24"/>
        </w:rPr>
        <w:t>个百分点。但是，</w:t>
      </w:r>
      <w:r>
        <w:rPr>
          <w:color w:val="000000"/>
          <w:sz w:val="24"/>
        </w:rPr>
        <w:t>3</w:t>
      </w:r>
      <w:r>
        <w:rPr>
          <w:color w:val="000000"/>
          <w:sz w:val="24"/>
        </w:rPr>
        <w:t>月下旬央行净投放的力度明显减弱。</w:t>
      </w:r>
    </w:p>
    <w:p w:rsidR="00F013F1" w:rsidRDefault="009F79A4">
      <w:pPr>
        <w:spacing w:before="29" w:line="288" w:lineRule="auto"/>
        <w:ind w:firstLineChars="200" w:firstLine="480"/>
        <w:rPr>
          <w:color w:val="000000"/>
          <w:sz w:val="24"/>
        </w:rPr>
      </w:pPr>
      <w:r>
        <w:rPr>
          <w:color w:val="000000"/>
          <w:sz w:val="24"/>
        </w:rPr>
        <w:t>一季度尽管市场资金整体依旧充裕，但是受信贷投放较大、央行</w:t>
      </w:r>
      <w:r>
        <w:rPr>
          <w:color w:val="000000"/>
          <w:sz w:val="24"/>
        </w:rPr>
        <w:t>MPA</w:t>
      </w:r>
      <w:r>
        <w:rPr>
          <w:color w:val="000000"/>
          <w:sz w:val="24"/>
        </w:rPr>
        <w:t>季末考核等影响，银行间市场资金面多次结构性趋紧，回购利率中枢在上移。受经济回暖及央行宽松力度低于预期等影响，一季度利率债出现震荡回调走势。但在旺盛的配置需求下，高评级信用债震荡下行，低评级中短期限信用债大幅下行。</w:t>
      </w:r>
    </w:p>
    <w:p w:rsidR="00F013F1" w:rsidRDefault="009F79A4">
      <w:pPr>
        <w:spacing w:before="29" w:line="288" w:lineRule="auto"/>
        <w:ind w:firstLineChars="200" w:firstLine="480"/>
        <w:rPr>
          <w:color w:val="000000"/>
          <w:sz w:val="24"/>
        </w:rPr>
      </w:pPr>
      <w:r>
        <w:rPr>
          <w:color w:val="000000"/>
          <w:sz w:val="24"/>
        </w:rPr>
        <w:t>基金操作方面，报告期内本基金规模较小，在资产类别配置上以同业存款为主，卖出信用债券，增加了组合收益，同时符合各项风控要求。</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考虑房地产投资回升及基建稳增长等累积效应带动经济回暖的势头可能持续一段时间，央行货币政策向稳健回归具有一定基础，预计央行将更多以定向工具及公开市场操作为主来调节流动性。组合管理方面，本基金将密切关注经济回暖的力度与央行货币政策动态，保持较好流动性，紧抓市场机会，同时控制风险，努力为投资者带来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0.3654%</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0.4378%</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9F79A4">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10236C" w:rsidRDefault="0010236C" w:rsidP="0010236C">
      <w:pPr>
        <w:spacing w:before="29" w:line="288" w:lineRule="auto"/>
        <w:ind w:firstLineChars="200" w:firstLine="480"/>
        <w:rPr>
          <w:color w:val="000000"/>
          <w:sz w:val="24"/>
        </w:rPr>
      </w:pPr>
    </w:p>
    <w:p w:rsidR="00902E3F" w:rsidRPr="000E4C40" w:rsidRDefault="00902E3F"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13,007,175.82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32.55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13,007,175.82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32.55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26,505,182.12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448,249.14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1.12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39,960,607.08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74.21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13,007,175.82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32.71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13,007,175.82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32.71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13,007,175.82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32.71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110"/>
        <w:gridCol w:w="1237"/>
        <w:gridCol w:w="1440"/>
        <w:gridCol w:w="1209"/>
        <w:gridCol w:w="2277"/>
        <w:gridCol w:w="159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013F1">
        <w:trPr>
          <w:jc w:val="center"/>
        </w:trPr>
        <w:tc>
          <w:tcPr>
            <w:tcW w:w="0" w:type="auto"/>
            <w:vAlign w:val="center"/>
          </w:tcPr>
          <w:p w:rsidR="00F013F1" w:rsidRDefault="009F79A4">
            <w:pPr>
              <w:jc w:val="center"/>
            </w:pPr>
            <w:r>
              <w:rPr>
                <w:color w:val="000000"/>
                <w:sz w:val="24"/>
              </w:rPr>
              <w:t>1</w:t>
            </w:r>
          </w:p>
        </w:tc>
        <w:tc>
          <w:tcPr>
            <w:tcW w:w="0" w:type="auto"/>
            <w:vAlign w:val="center"/>
          </w:tcPr>
          <w:p w:rsidR="00F013F1" w:rsidRDefault="009F79A4">
            <w:pPr>
              <w:jc w:val="center"/>
            </w:pPr>
            <w:r>
              <w:rPr>
                <w:color w:val="000000"/>
                <w:sz w:val="24"/>
              </w:rPr>
              <w:t>150211</w:t>
            </w:r>
          </w:p>
        </w:tc>
        <w:tc>
          <w:tcPr>
            <w:tcW w:w="0" w:type="auto"/>
            <w:vAlign w:val="center"/>
          </w:tcPr>
          <w:p w:rsidR="00F013F1" w:rsidRDefault="009F79A4">
            <w:pPr>
              <w:jc w:val="center"/>
            </w:pPr>
            <w:r>
              <w:rPr>
                <w:color w:val="000000"/>
                <w:sz w:val="24"/>
              </w:rPr>
              <w:t>15</w:t>
            </w:r>
            <w:r>
              <w:rPr>
                <w:color w:val="000000"/>
                <w:sz w:val="24"/>
              </w:rPr>
              <w:t>国开</w:t>
            </w:r>
            <w:r>
              <w:rPr>
                <w:color w:val="000000"/>
                <w:sz w:val="24"/>
              </w:rPr>
              <w:t>11</w:t>
            </w:r>
          </w:p>
        </w:tc>
        <w:tc>
          <w:tcPr>
            <w:tcW w:w="0" w:type="auto"/>
            <w:vAlign w:val="center"/>
          </w:tcPr>
          <w:p w:rsidR="00F013F1" w:rsidRDefault="009F79A4">
            <w:pPr>
              <w:jc w:val="right"/>
            </w:pPr>
            <w:r>
              <w:rPr>
                <w:color w:val="000000"/>
                <w:sz w:val="24"/>
              </w:rPr>
              <w:t>100,000</w:t>
            </w:r>
          </w:p>
        </w:tc>
        <w:tc>
          <w:tcPr>
            <w:tcW w:w="0" w:type="auto"/>
            <w:vAlign w:val="center"/>
          </w:tcPr>
          <w:p w:rsidR="00F013F1" w:rsidRDefault="009F79A4">
            <w:pPr>
              <w:jc w:val="right"/>
            </w:pPr>
            <w:r>
              <w:rPr>
                <w:color w:val="000000"/>
                <w:sz w:val="24"/>
              </w:rPr>
              <w:t>10,005,805.29</w:t>
            </w:r>
          </w:p>
        </w:tc>
        <w:tc>
          <w:tcPr>
            <w:tcW w:w="0" w:type="auto"/>
            <w:vAlign w:val="center"/>
          </w:tcPr>
          <w:p w:rsidR="00F013F1" w:rsidRDefault="009F79A4">
            <w:pPr>
              <w:jc w:val="right"/>
            </w:pPr>
            <w:r>
              <w:rPr>
                <w:color w:val="000000"/>
                <w:sz w:val="24"/>
              </w:rPr>
              <w:t>25.16</w:t>
            </w:r>
          </w:p>
        </w:tc>
      </w:tr>
      <w:tr w:rsidR="00F013F1">
        <w:trPr>
          <w:jc w:val="center"/>
        </w:trPr>
        <w:tc>
          <w:tcPr>
            <w:tcW w:w="0" w:type="auto"/>
            <w:vAlign w:val="center"/>
          </w:tcPr>
          <w:p w:rsidR="00F013F1" w:rsidRDefault="009F79A4">
            <w:pPr>
              <w:jc w:val="center"/>
            </w:pPr>
            <w:r>
              <w:rPr>
                <w:color w:val="000000"/>
                <w:sz w:val="24"/>
              </w:rPr>
              <w:t>2</w:t>
            </w:r>
          </w:p>
        </w:tc>
        <w:tc>
          <w:tcPr>
            <w:tcW w:w="0" w:type="auto"/>
            <w:vAlign w:val="center"/>
          </w:tcPr>
          <w:p w:rsidR="00F013F1" w:rsidRDefault="009F79A4">
            <w:pPr>
              <w:jc w:val="center"/>
            </w:pPr>
            <w:r>
              <w:rPr>
                <w:color w:val="000000"/>
                <w:sz w:val="24"/>
              </w:rPr>
              <w:t>150411</w:t>
            </w:r>
          </w:p>
        </w:tc>
        <w:tc>
          <w:tcPr>
            <w:tcW w:w="0" w:type="auto"/>
            <w:vAlign w:val="center"/>
          </w:tcPr>
          <w:p w:rsidR="00F013F1" w:rsidRDefault="009F79A4">
            <w:pPr>
              <w:jc w:val="center"/>
            </w:pPr>
            <w:r>
              <w:rPr>
                <w:color w:val="000000"/>
                <w:sz w:val="24"/>
              </w:rPr>
              <w:t>15</w:t>
            </w:r>
            <w:r>
              <w:rPr>
                <w:color w:val="000000"/>
                <w:sz w:val="24"/>
              </w:rPr>
              <w:t>农发</w:t>
            </w:r>
            <w:r>
              <w:rPr>
                <w:color w:val="000000"/>
                <w:sz w:val="24"/>
              </w:rPr>
              <w:t>11</w:t>
            </w:r>
          </w:p>
        </w:tc>
        <w:tc>
          <w:tcPr>
            <w:tcW w:w="0" w:type="auto"/>
            <w:vAlign w:val="center"/>
          </w:tcPr>
          <w:p w:rsidR="00F013F1" w:rsidRDefault="009F79A4">
            <w:pPr>
              <w:jc w:val="right"/>
            </w:pPr>
            <w:r>
              <w:rPr>
                <w:color w:val="000000"/>
                <w:sz w:val="24"/>
              </w:rPr>
              <w:t>30,000</w:t>
            </w:r>
          </w:p>
        </w:tc>
        <w:tc>
          <w:tcPr>
            <w:tcW w:w="0" w:type="auto"/>
            <w:vAlign w:val="center"/>
          </w:tcPr>
          <w:p w:rsidR="00F013F1" w:rsidRDefault="009F79A4">
            <w:pPr>
              <w:jc w:val="right"/>
            </w:pPr>
            <w:r>
              <w:rPr>
                <w:color w:val="000000"/>
                <w:sz w:val="24"/>
              </w:rPr>
              <w:t>3,001,370.53</w:t>
            </w:r>
          </w:p>
        </w:tc>
        <w:tc>
          <w:tcPr>
            <w:tcW w:w="0" w:type="auto"/>
            <w:vAlign w:val="center"/>
          </w:tcPr>
          <w:p w:rsidR="00F013F1" w:rsidRDefault="009F79A4">
            <w:pPr>
              <w:jc w:val="right"/>
            </w:pPr>
            <w:r>
              <w:rPr>
                <w:color w:val="000000"/>
                <w:sz w:val="24"/>
              </w:rPr>
              <w:t>7.55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0.0601%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0.0016%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E554CF">
            <w:pPr>
              <w:spacing w:before="29" w:line="288" w:lineRule="auto"/>
              <w:jc w:val="right"/>
              <w:rPr>
                <w:sz w:val="24"/>
              </w:rPr>
            </w:pPr>
            <w:r w:rsidRPr="000E4C40">
              <w:rPr>
                <w:color w:val="000000"/>
                <w:sz w:val="24"/>
              </w:rPr>
              <w:t>0.017</w:t>
            </w:r>
            <w:r w:rsidR="00E554CF">
              <w:rPr>
                <w:color w:val="000000"/>
                <w:sz w:val="24"/>
              </w:rPr>
              <w:t>5</w:t>
            </w:r>
            <w:r w:rsidRPr="000E4C40">
              <w:rPr>
                <w:color w:val="000000"/>
                <w:sz w:val="24"/>
              </w:rPr>
              <w:t>%</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448,249.14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448,249.14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11,104,428.92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30,352,509.92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163,598.41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112,416.76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1,969,484.37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9,298,542.96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30,463,926.68</w:t>
            </w:r>
          </w:p>
        </w:tc>
      </w:tr>
    </w:tbl>
    <w:p w:rsidR="00F013F1" w:rsidRDefault="009F79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9F79A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F013F1" w:rsidRDefault="009F79A4">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013F1" w:rsidRDefault="009F79A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F013F1" w:rsidRDefault="009F79A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F013F1">
      <w:rPr>
        <w:kern w:val="0"/>
        <w:szCs w:val="21"/>
      </w:rPr>
      <w:fldChar w:fldCharType="begin"/>
    </w:r>
    <w:r>
      <w:rPr>
        <w:kern w:val="0"/>
        <w:szCs w:val="21"/>
      </w:rPr>
      <w:instrText xml:space="preserve"> PAGE </w:instrText>
    </w:r>
    <w:r w:rsidR="00F013F1">
      <w:rPr>
        <w:kern w:val="0"/>
        <w:szCs w:val="21"/>
      </w:rPr>
      <w:fldChar w:fldCharType="separate"/>
    </w:r>
    <w:r w:rsidR="004668FD">
      <w:rPr>
        <w:noProof/>
        <w:kern w:val="0"/>
        <w:szCs w:val="21"/>
      </w:rPr>
      <w:t>7</w:t>
    </w:r>
    <w:r w:rsidR="00F013F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F013F1">
      <w:rPr>
        <w:rFonts w:hint="eastAsia"/>
        <w:kern w:val="0"/>
        <w:szCs w:val="21"/>
      </w:rPr>
      <w:fldChar w:fldCharType="begin"/>
    </w:r>
    <w:r>
      <w:rPr>
        <w:kern w:val="0"/>
        <w:szCs w:val="21"/>
      </w:rPr>
      <w:instrText xml:space="preserve"> NUMPAGES </w:instrText>
    </w:r>
    <w:r w:rsidR="00F013F1">
      <w:rPr>
        <w:rFonts w:hint="eastAsia"/>
        <w:kern w:val="0"/>
        <w:szCs w:val="21"/>
      </w:rPr>
      <w:fldChar w:fldCharType="separate"/>
    </w:r>
    <w:r w:rsidR="004668FD">
      <w:rPr>
        <w:noProof/>
        <w:kern w:val="0"/>
        <w:szCs w:val="21"/>
      </w:rPr>
      <w:t>13</w:t>
    </w:r>
    <w:r w:rsidR="00F013F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2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668FD"/>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9F79A4"/>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4CF"/>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13F1"/>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oNotEmbedSmartTags/>
  <w:decimalSymbol w:val="."/>
  <w:listSeparator w:val=","/>
  <w15:docId w15:val="{C99A2037-2DB5-4F7F-850F-B833FB4C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BBA71-DE84-45B4-A5D8-872C4BE2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1044</Words>
  <Characters>5951</Characters>
  <Application>Microsoft Office Word</Application>
  <DocSecurity>0</DocSecurity>
  <Lines>49</Lines>
  <Paragraphs>13</Paragraphs>
  <ScaleCrop>false</ScaleCrop>
  <Company>jysld</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308</cp:revision>
  <cp:lastPrinted>2009-01-22T10:11:00Z</cp:lastPrinted>
  <dcterms:created xsi:type="dcterms:W3CDTF">2012-11-21T05:49:00Z</dcterms:created>
  <dcterms:modified xsi:type="dcterms:W3CDTF">2016-04-18T06:08:00Z</dcterms:modified>
</cp:coreProperties>
</file>